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菏泽鲁西新区汽车智能核心零部件特色产业集群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山东嘉泰交通设备有限公司企业分析报告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嘉泰交通设备有限公司成立于2015年1月26日，法定代表人李超（历史登记曾为韩文麟），统一社会信用代码9137170032848773XC，企业类型为有限责任公司（自然人投资或控股），注册资本2,000万元，注册地址位于山东菏泽高新区（鲁西新区）兰州路2166号，登记机关为菏泽鲁西新区市场监督管理局，经营状态为存续，参保人数约100人。公司是国内轨道交通座椅领域重要制造企业。</w:t>
      </w:r>
    </w:p>
    <w:p>
      <w:pPr>
        <w:spacing w:lineRule="exact" w:line="600" w:before="0" w:after="0"/>
        <w:ind w:firstLine="420"/>
        <w:jc w:val="both"/>
      </w:pPr>
      <w:r>
        <w:rPr>
          <w:rFonts w:ascii="仿宋_GB2312" w:hAnsi="仿宋_GB2312" w:eastAsia="仿宋_GB2312"/>
          <w:b w:val="0"/>
          <w:color w:val="000000"/>
          <w:sz w:val="32"/>
        </w:rPr>
        <w:t>股权结构：股东为青岛亚通达铁路设备有限公司（持股51%）与青岛昌运盛轨道交通有限公司（持股49%）。历史上青岛亚通达为广东华铁通达高铁装备股份有限公司（现威奥股份）下属控股主体，嘉泰曾为其控股子公司（间接持股51%）。公司为民营控股、自然人投资或控股的有限责任公司，无自然人单一绝对控制。</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兼总经理（韩文麟/李超）、董事及经营管理层，业务涵盖高铁商务座椅、客室座椅、城际列车座椅的研发、设计、生产、销售及服务，并具备轨道交通专用设备、关键系统及部件销售与铁路机车车辆维修等许可资质。</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2015年1月成立；专注轨道交通座椅研发制造，逐步成为中车青岛四方、中车唐山、中车长客等客车制造厂的座椅核心供应商；产品先后应用于智利、阿联酋、老挝等海外项目；2023年10月为雅万高铁（东南亚首列高铁）交付二等座椅（4列共2,216个），实现“菏泽造”高铁座椅扬帆出海；近年获评山东省科技领军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唯一拥有全系列轨道交通座椅产品供应商资质的企业、高铁座椅生产领域专精特新龙头。主营业务为高铁商务座椅、客室座椅、城际列车座椅等轨道交通座椅的研发、设计、生产、销售及服务，产品涵盖VIP座椅、一等座椅、二等座椅、城际列车座椅等30余类。</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业务以轨道交通座椅为核心，覆盖高铁VIP/一等/二等座椅、城际列车座椅及客室座椅，并向智能化、人性化座椅升级。公司未公开披露分产品收入占比。据税务报道，2023年预计产值约3亿元（同比+36.36%）。</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要产品：高铁商务座椅、客室座椅、城际列车座椅，涵盖VIP、一等、二等及30余类细分产品；采用防火、减重、镁合金等材质，具备旋转支架、脚踏、平躺等功能，技术含量高。为雅万高铁“量身定制”增加头枕、采用轻型镁合金骨架与旋转限位板，蒙面采用蓝灰跳色设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为中车集团下属中车青岛四方、中车唐山、中车长春轨道客车等客车制造厂的座椅核心供应商；产品应用于雅万高铁、智利、阿联酋、老挝等国内外项目，客户层级高、粘性较强。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生产所需镁合金、钢材、面料、发泡材料、电子元件等为主要采购对象，原料价格与供应稳定性影响成本与交期。</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具备年产15万座的生产规模，拥有专利40余项；持有铁路机车车辆维修等许可资质，具备轨道交通座椅全流程研发制造能力；为国内唯一全系列轨道交通座椅产品供应商资质企业。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以直销对接中车各主机厂及海外项目总包方为主，提供选材、设计、测试、交付全流程服务；随“一带一路”拓展海外市场。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近年完整财务未单独公开披露。历史公开数据：2020年经审计营业收入56,696.59万元、净利润22,738.19万元、总资产74,270.51万元、净资产48,015.62万元（华铁股份公告口径，为彼时合并范围数据）。2023年税务报道预计产值约3亿元（同比+36.36%）。公司为国内唯一全系列轨道交通座椅供应商，稀缺性突出，但国内高铁座椅市场趋于饱和，海外成为主要增量。</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山东嘉泰为非上市企业，近年完整财务未公开披露；下表列2020年经审计数据（华铁股份公告）及2023年产值报道，单位：万元，仅供历史参照，不作编造。</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2020年（经审计）</w:t>
            </w:r>
          </w:p>
        </w:tc>
        <w:tc>
          <w:tcPr>
            <w:tcW w:type="dxa" w:w="2835"/>
          </w:tcPr>
          <w:p>
            <w:pPr>
              <w:spacing w:lineRule="exact" w:line="600"/>
              <w:jc w:val="center"/>
            </w:pPr>
            <w:r/>
            <w:r>
              <w:rPr>
                <w:rFonts w:ascii="黑体" w:hAnsi="黑体" w:eastAsia="黑体"/>
                <w:b/>
                <w:color w:val="000000"/>
                <w:sz w:val="32"/>
              </w:rPr>
              <w:t>2023年（报道）</w:t>
            </w:r>
          </w:p>
        </w:tc>
      </w:tr>
      <w:tr>
        <w:tc>
          <w:tcPr>
            <w:tcW w:type="dxa" w:w="2551"/>
          </w:tcPr>
          <w:p>
            <w:pPr>
              <w:spacing w:lineRule="exact" w:line="600"/>
              <w:jc w:val="center"/>
            </w:pPr>
            <w:r/>
            <w:r>
              <w:rPr>
                <w:rFonts w:ascii="仿宋_GB2312" w:hAnsi="仿宋_GB2312" w:eastAsia="仿宋_GB2312"/>
                <w:b w:val="0"/>
                <w:color w:val="000000"/>
                <w:sz w:val="32"/>
              </w:rPr>
              <w:t>营业收入</w:t>
            </w:r>
          </w:p>
        </w:tc>
        <w:tc>
          <w:tcPr>
            <w:tcW w:type="dxa" w:w="3118"/>
          </w:tcPr>
          <w:p>
            <w:pPr>
              <w:spacing w:lineRule="exact" w:line="600"/>
              <w:jc w:val="center"/>
            </w:pPr>
            <w:r/>
            <w:r>
              <w:rPr>
                <w:rFonts w:ascii="仿宋_GB2312" w:hAnsi="仿宋_GB2312" w:eastAsia="仿宋_GB2312"/>
                <w:b w:val="0"/>
                <w:color w:val="000000"/>
                <w:sz w:val="32"/>
              </w:rPr>
              <w:t>56,696.59</w:t>
            </w:r>
          </w:p>
        </w:tc>
        <w:tc>
          <w:tcPr>
            <w:tcW w:type="dxa" w:w="2835"/>
          </w:tcPr>
          <w:p>
            <w:pPr>
              <w:spacing w:lineRule="exact" w:line="600"/>
              <w:jc w:val="center"/>
            </w:pPr>
            <w:r/>
            <w:r>
              <w:rPr>
                <w:rFonts w:ascii="仿宋_GB2312" w:hAnsi="仿宋_GB2312" w:eastAsia="仿宋_GB2312"/>
                <w:b w:val="0"/>
                <w:color w:val="000000"/>
                <w:sz w:val="32"/>
              </w:rPr>
              <w:t>约30,000（产值）</w:t>
            </w:r>
          </w:p>
        </w:tc>
      </w:tr>
      <w:tr>
        <w:tc>
          <w:tcPr>
            <w:tcW w:type="dxa" w:w="2551"/>
          </w:tcPr>
          <w:p>
            <w:pPr>
              <w:spacing w:lineRule="exact" w:line="600"/>
              <w:jc w:val="center"/>
            </w:pPr>
            <w:r/>
            <w:r>
              <w:rPr>
                <w:rFonts w:ascii="仿宋_GB2312" w:hAnsi="仿宋_GB2312" w:eastAsia="仿宋_GB2312"/>
                <w:b w:val="0"/>
                <w:color w:val="000000"/>
                <w:sz w:val="32"/>
              </w:rPr>
              <w:t>净利润</w:t>
            </w:r>
          </w:p>
        </w:tc>
        <w:tc>
          <w:tcPr>
            <w:tcW w:type="dxa" w:w="3118"/>
          </w:tcPr>
          <w:p>
            <w:pPr>
              <w:spacing w:lineRule="exact" w:line="600"/>
              <w:jc w:val="center"/>
            </w:pPr>
            <w:r/>
            <w:r>
              <w:rPr>
                <w:rFonts w:ascii="仿宋_GB2312" w:hAnsi="仿宋_GB2312" w:eastAsia="仿宋_GB2312"/>
                <w:b w:val="0"/>
                <w:color w:val="000000"/>
                <w:sz w:val="32"/>
              </w:rPr>
              <w:t>22,738.19</w:t>
            </w:r>
          </w:p>
        </w:tc>
        <w:tc>
          <w:tcPr>
            <w:tcW w:type="dxa" w:w="2835"/>
          </w:tcPr>
          <w:p>
            <w:pPr>
              <w:spacing w:lineRule="exact" w:line="600"/>
              <w:jc w:val="center"/>
            </w:pPr>
            <w:r/>
            <w:r>
              <w:rPr>
                <w:rFonts w:ascii="仿宋_GB2312" w:hAnsi="仿宋_GB2312" w:eastAsia="仿宋_GB2312"/>
                <w:b w:val="0"/>
                <w:color w:val="000000"/>
                <w:sz w:val="32"/>
              </w:rPr>
              <w:t>未披露</w:t>
            </w:r>
          </w:p>
        </w:tc>
      </w:tr>
      <w:tr>
        <w:tc>
          <w:tcPr>
            <w:tcW w:type="dxa" w:w="2551"/>
          </w:tcPr>
          <w:p>
            <w:pPr>
              <w:spacing w:lineRule="exact" w:line="600"/>
              <w:jc w:val="center"/>
            </w:pPr>
            <w:r/>
            <w:r>
              <w:rPr>
                <w:rFonts w:ascii="仿宋_GB2312" w:hAnsi="仿宋_GB2312" w:eastAsia="仿宋_GB2312"/>
                <w:b w:val="0"/>
                <w:color w:val="000000"/>
                <w:sz w:val="32"/>
              </w:rPr>
              <w:t>总资产</w:t>
            </w:r>
          </w:p>
        </w:tc>
        <w:tc>
          <w:tcPr>
            <w:tcW w:type="dxa" w:w="3118"/>
          </w:tcPr>
          <w:p>
            <w:pPr>
              <w:spacing w:lineRule="exact" w:line="600"/>
              <w:jc w:val="center"/>
            </w:pPr>
            <w:r/>
            <w:r>
              <w:rPr>
                <w:rFonts w:ascii="仿宋_GB2312" w:hAnsi="仿宋_GB2312" w:eastAsia="仿宋_GB2312"/>
                <w:b w:val="0"/>
                <w:color w:val="000000"/>
                <w:sz w:val="32"/>
              </w:rPr>
              <w:t>74,270.51</w:t>
            </w:r>
          </w:p>
        </w:tc>
        <w:tc>
          <w:tcPr>
            <w:tcW w:type="dxa" w:w="2835"/>
          </w:tcPr>
          <w:p>
            <w:pPr>
              <w:spacing w:lineRule="exact" w:line="600"/>
              <w:jc w:val="center"/>
            </w:pPr>
            <w:r/>
            <w:r>
              <w:rPr>
                <w:rFonts w:ascii="仿宋_GB2312" w:hAnsi="仿宋_GB2312" w:eastAsia="仿宋_GB2312"/>
                <w:b w:val="0"/>
                <w:color w:val="000000"/>
                <w:sz w:val="32"/>
              </w:rPr>
              <w:t>未披露</w:t>
            </w:r>
          </w:p>
        </w:tc>
      </w:tr>
      <w:tr>
        <w:tc>
          <w:tcPr>
            <w:tcW w:type="dxa" w:w="2551"/>
          </w:tcPr>
          <w:p>
            <w:pPr>
              <w:spacing w:lineRule="exact" w:line="600"/>
              <w:jc w:val="center"/>
            </w:pPr>
            <w:r/>
            <w:r>
              <w:rPr>
                <w:rFonts w:ascii="仿宋_GB2312" w:hAnsi="仿宋_GB2312" w:eastAsia="仿宋_GB2312"/>
                <w:b w:val="0"/>
                <w:color w:val="000000"/>
                <w:sz w:val="32"/>
              </w:rPr>
              <w:t>净资产</w:t>
            </w:r>
          </w:p>
        </w:tc>
        <w:tc>
          <w:tcPr>
            <w:tcW w:type="dxa" w:w="3118"/>
          </w:tcPr>
          <w:p>
            <w:pPr>
              <w:spacing w:lineRule="exact" w:line="600"/>
              <w:jc w:val="center"/>
            </w:pPr>
            <w:r/>
            <w:r>
              <w:rPr>
                <w:rFonts w:ascii="仿宋_GB2312" w:hAnsi="仿宋_GB2312" w:eastAsia="仿宋_GB2312"/>
                <w:b w:val="0"/>
                <w:color w:val="000000"/>
                <w:sz w:val="32"/>
              </w:rPr>
              <w:t>48,015.62</w:t>
            </w:r>
          </w:p>
        </w:tc>
        <w:tc>
          <w:tcPr>
            <w:tcW w:type="dxa" w:w="2835"/>
          </w:tcPr>
          <w:p>
            <w:pPr>
              <w:spacing w:lineRule="exact" w:line="600"/>
              <w:jc w:val="center"/>
            </w:pPr>
            <w:r/>
            <w:r>
              <w:rPr>
                <w:rFonts w:ascii="仿宋_GB2312" w:hAnsi="仿宋_GB2312" w:eastAsia="仿宋_GB2312"/>
                <w:b w:val="0"/>
                <w:color w:val="000000"/>
                <w:sz w:val="32"/>
              </w:rPr>
              <w:t>未披露</w:t>
            </w:r>
          </w:p>
        </w:tc>
      </w:tr>
      <w:tr>
        <w:tc>
          <w:tcPr>
            <w:tcW w:type="dxa" w:w="2551"/>
          </w:tcPr>
          <w:p>
            <w:pPr>
              <w:spacing w:lineRule="exact" w:line="600"/>
              <w:jc w:val="center"/>
            </w:pPr>
            <w:r/>
            <w:r>
              <w:rPr>
                <w:rFonts w:ascii="仿宋_GB2312" w:hAnsi="仿宋_GB2312" w:eastAsia="仿宋_GB2312"/>
                <w:b w:val="0"/>
                <w:color w:val="000000"/>
                <w:sz w:val="32"/>
              </w:rPr>
              <w:t>年产规模</w:t>
            </w:r>
          </w:p>
        </w:tc>
        <w:tc>
          <w:tcPr>
            <w:tcW w:type="dxa" w:w="3118"/>
          </w:tcPr>
          <w:p>
            <w:pPr>
              <w:spacing w:lineRule="exact" w:line="600"/>
              <w:jc w:val="center"/>
            </w:pPr>
            <w:r/>
            <w:r>
              <w:rPr>
                <w:rFonts w:ascii="仿宋_GB2312" w:hAnsi="仿宋_GB2312" w:eastAsia="仿宋_GB2312"/>
                <w:b w:val="0"/>
                <w:color w:val="000000"/>
                <w:sz w:val="32"/>
              </w:rPr>
              <w:t>15万座</w:t>
            </w:r>
          </w:p>
        </w:tc>
        <w:tc>
          <w:tcPr>
            <w:tcW w:type="dxa" w:w="2835"/>
          </w:tcPr>
          <w:p>
            <w:pPr>
              <w:spacing w:lineRule="exact" w:line="600"/>
              <w:jc w:val="center"/>
            </w:pPr>
            <w:r/>
            <w:r>
              <w:rPr>
                <w:rFonts w:ascii="仿宋_GB2312" w:hAnsi="仿宋_GB2312" w:eastAsia="仿宋_GB2312"/>
                <w:b w:val="0"/>
                <w:color w:val="000000"/>
                <w:sz w:val="32"/>
              </w:rPr>
              <w:t>15万座</w:t>
            </w:r>
          </w:p>
        </w:tc>
      </w:tr>
      <w:tr>
        <w:tc>
          <w:tcPr>
            <w:tcW w:type="dxa" w:w="2551"/>
          </w:tcPr>
          <w:p>
            <w:pPr>
              <w:spacing w:lineRule="exact" w:line="600"/>
              <w:jc w:val="center"/>
            </w:pPr>
            <w:r/>
            <w:r>
              <w:rPr>
                <w:rFonts w:ascii="仿宋_GB2312" w:hAnsi="仿宋_GB2312" w:eastAsia="仿宋_GB2312"/>
                <w:b w:val="0"/>
                <w:color w:val="000000"/>
                <w:sz w:val="32"/>
              </w:rPr>
              <w:t>专利</w:t>
            </w:r>
          </w:p>
        </w:tc>
        <w:tc>
          <w:tcPr>
            <w:tcW w:type="dxa" w:w="3118"/>
          </w:tcPr>
          <w:p>
            <w:pPr>
              <w:spacing w:lineRule="exact" w:line="600"/>
              <w:jc w:val="center"/>
            </w:pPr>
            <w:r/>
            <w:r>
              <w:rPr>
                <w:rFonts w:ascii="仿宋_GB2312" w:hAnsi="仿宋_GB2312" w:eastAsia="仿宋_GB2312"/>
                <w:b w:val="0"/>
                <w:color w:val="000000"/>
                <w:sz w:val="32"/>
              </w:rPr>
              <w:t>40余项</w:t>
            </w:r>
          </w:p>
        </w:tc>
        <w:tc>
          <w:tcPr>
            <w:tcW w:type="dxa" w:w="2835"/>
          </w:tcPr>
          <w:p>
            <w:pPr>
              <w:spacing w:lineRule="exact" w:line="600"/>
              <w:jc w:val="center"/>
            </w:pPr>
            <w:r/>
            <w:r>
              <w:rPr>
                <w:rFonts w:ascii="仿宋_GB2312" w:hAnsi="仿宋_GB2312" w:eastAsia="仿宋_GB2312"/>
                <w:b w:val="0"/>
                <w:color w:val="000000"/>
                <w:sz w:val="32"/>
              </w:rPr>
              <w:t>40余项</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2020年审计净利润2.27亿元，盈利水平较高（座椅附加值高、客户优质）；近年受高铁建设节奏与股权变动影响，盈利波动，缺乏公开近期数据。海外订单（雅万等）带动2023年产值增长36.36%。</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2020年总资产7.43亿元、净资产4.80亿元，资产以固定资产（厂房、产线）、存货与应收为主。近年资产数据未公开。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2020年负债2.63亿元、资产负债率约35%，杠杆较低；近期负债数据未公开，建议授信前核查征信与对外担保。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无公开近期现金流数据。轨道交通装备回款周期较长，需关注经营性现金流与应收管理。</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与国内轨道交通座椅配套企业相比，嘉泰的独特性在于“国内唯一全系列轨道交通座椅产品供应商资质”及中车三大主机厂核心供应商地位，稀缺性强于一般配套企业；但规模受高铁投资周期约束。</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有限责任公司（自然人投资或控股），设董事长兼总经理、董事及经营管理层；历史上为上市公司（华铁股份/威奥股份）下属控股子公司，治理相对规范。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法定代表人/董事长兼总经理李超（历史为韩文麟）；技术研发中心部长李名誉公开代表公司技术战略；财务负责人时博。管理层具备轨道交通座椅专业背景。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通过铁路机车车辆维修等资质认证，具备轨道交通座椅全流程研发制造与质量管控体系；作为高端装备企业须符合铁路行业安全与质量标准。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参保约100人，以研发、生产与工程技术人员为主；拥有专利40余项，研发密度较高。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资质壁垒：国内唯一拥有全系列轨道交通座椅产品供应商资质的企业，稀缺性强。二是客户壁垒：中车青岛四方、唐山、长客三大主机厂核心座椅供应商，客户层级高、粘性大。三是技术与专利：40余项专利，具备防火、减重、镁合金、平躺等高端座椅技术，为雅万高铁等“量身定制”。四是出海能力：产品应用于雅万高铁、智利、阿联酋、老挝等，具备“一带一路”项目经验。五是产能：年产15万座规模，柔性制造多类座椅。</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市场饱和风险：国内高铁座椅市场趋于饱和，增量依赖海外；应对为加速“一带一路”出海抢订单。二是客户集中风险：高度依赖中车体系订单，波动影响大。三是回款风险：轨道交通装备回款周期长，公开信息显示存在一定司法/开庭记录，需强化应收管理。四是股权变动风险：历史上为上市公司控股子公司，股权结构曾调整，需关注稳定性。五是技术迭代风险：座椅向智能化、轻量化升级，须持续研发。</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中车主机厂的应收账款账期较长，可开展保理融资盘活资金。供应链金融：围绕核心客户为其上游面料/型材供应商提供订单融资。融资租赁：座椅产线及检测设备升级适合直租/回租。小贷：面向临时周转。嘉泰资质稀缺、客户优质、海外增量明确，是优质培育客户，建议以“中车应收保理+设备融资租赁”切入，并关注股权稳定性与回款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嘉泰是国内唯一全系列轨道交通座椅供应商、中车三大主机厂核心配套企业，资质稀缺、客户优质、出海成效显著，但国内市尝趋于饱和、财务透明度有限、依赖中车订单。发展展望：据行业趋势与“一带一路”，海外高铁/城际项目（雅万等）带来持续增量，公司可向智能化、轻量化座椅升级。建议：一是对接中车应收保理与产线设备融资租赁；二是要求补充规范财务资料并以增信控制风险；三是关注国内饱和与回款风险，设动态监测；四是支持其出海抢订单的融资需求。</w:t>
      </w:r>
    </w:p>
    <w:p>
      <w:pPr>
        <w:spacing w:lineRule="exact" w:line="600" w:before="0" w:after="0"/>
        <w:jc w:val="left"/>
      </w:pPr>
      <w:r>
        <w:rPr>
          <w:rFonts w:ascii="仿宋_GB2312" w:hAnsi="仿宋_GB2312" w:eastAsia="仿宋_GB2312"/>
          <w:b w:val="0"/>
          <w:color w:val="000000"/>
          <w:sz w:val="28"/>
        </w:rPr>
        <w:t>数据来源说明：天眼查/爱企查（工商、股权、参保）、中国税务报/齐鲁壹点/闪电新闻（雅万高铁、年产15万座、专利40余项、2023产值约3亿）、华铁股份公告（2020年审计财务）、菏泽日报/大众网（鲁西新区链主、山东省科技领军企业）。近年完整财务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