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菏泽鲁西新区汽车智能核心零部件特色产业集群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山东英搏尔电气有限公司企业分析报告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英搏尔电气有限公司成立于2021年5月13日，法定代表人贺文涛，统一社会信用代码91371702MA943DD36U，企业类型为有限责任公司（自然人投资或控股的法人独资），注册资本10,000万元，注册地址位于山东省菏泽市牡丹区吴店高端装备制造产业园英搏尔路1号，登记机关为菏泽市牡丹区市场监督管理局，经营状态为存续，参保人数约485人。系珠海英搏尔电气股份有限公司（300681.SZ）全资子公司，占地120亩、建筑面积6.5万平方米，为牡丹区新能源产业链重点“链主”企业。</w:t>
      </w:r>
    </w:p>
    <w:p>
      <w:pPr>
        <w:spacing w:lineRule="exact" w:line="600" w:before="0" w:after="0"/>
        <w:ind w:firstLine="420"/>
        <w:jc w:val="both"/>
      </w:pPr>
      <w:r>
        <w:rPr>
          <w:rFonts w:ascii="仿宋_GB2312" w:hAnsi="仿宋_GB2312" w:eastAsia="仿宋_GB2312"/>
          <w:b w:val="0"/>
          <w:color w:val="000000"/>
          <w:sz w:val="32"/>
        </w:rPr>
        <w:t>股权结构：珠海英搏尔电气股份有限公司（300681.SZ，深交所创业板上市）持有100%股权，为法人独资企业。母公司实际控制人为姜桂宾（持股约28.29%），属上市公众公司体系内企业，无自然人直接出资人。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作为英搏尔北方新能源动力核心智造基地，设研发、生产、质量、销售及职能管理部门，2021年8月一期投产，二期用地120亩、2023年逐步达产，定位为百万级电驱动系统关键零部件产业园。</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2021年5月注册成立、8月一期投产；作为英搏尔北上市布局核心基地快速发展；2024年7月山东英搏尔新能源汽车驱动系统产业园项目投产；2024年英搏尔电控电源双项目通过ASPICE CL3等级评估，并与博世旗下公司计划成立合资公司布局特种车辆业务；2025年6月通过国家级专精特新“小巨人”评审（牡丹区首家）。</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英搏尔北方新能源动力核心智造基地、牡丹区新能源产业链链主，深耕新能源车辆动力系统研发生产。主营业务为新能源汽车动力总成、电源总成以及驱动电机、电机控制器、车载充电机、DC-DC转换器及eVTOL电推进系统等新能源动力域核心产品的研发、制造与销售。</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新能源车辆动力系统为核心，形成“动力总成、电源总成、驱动电机、电机控制器、车载充电机、DC-DC”多产品矩阵。母公司英搏尔2024年新能源汽车电驱与电源系统收入为主，山东基地承接关键零部件制造。公司未单独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要产品：新能源汽车动力总成、电源总成、驱动电机、电机控制器、车载充电机（OBC）、DC-DC转换器及eVTOL电推进系统。独创“集成芯”技术平台，将电机、电控、减速器高度一体化集成，较行业同类产品体积缩减约30%、成本降低约20%，攻克散热、电磁兼容、噪声振动等行业共性难题。</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覆盖吉利汽车、上汽通用五菱、长安汽车、北汽、江淮、长城、小鹏、福特、采埃孚等国内外知名车企与大型零部件集团，以及杭叉、星邦、徐工、比亚迪、玛西尔等；并与曼尼通、林德、博世等国际化公司开展合作，搭建海外营销体系。</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生产所需功率半导体、电磁线、磁性材料、结构件等为主要采购对象，受上游电子与金属材料行情影响。</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占地120亩、建筑面积6.5万平方米，二期达产后为百万级电驱动系统关键零部件产业园；手握两百余项授权专利，获评省级智能工厂、省级企业技术中心、国家级专精特新“小巨人”（2025年评审通过）等资质，关键核心技术自主可控。</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以直销对接整车厂与 Tier1 供应商为主，依托母公司全球客户网络与海外营销体系，覆盖微型车、叉车、工程机械、乘用车、eVTOL 等多场景。</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山东英搏尔为非上市子公司，单体财务未单独公开；母公司英搏尔2024年营业收入24.30亿元（同比+23.77%）、归母净利润7,100万元（同比-13.79%）。山东基地为英搏尔核心制造增量，2024年产业园投产、产能释放，是英搏尔北方“芯之都”与百万级零部件产业园的承载主体。</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山东英搏尔为英搏尔（300681.SZ）全资子公司，单体财务未单独公开；下表列母公司英搏尔合并口径近三年主要数据（来源年报/东方财富），单位：亿元，供参照。</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268"/>
          </w:tcPr>
          <w:p>
            <w:pPr>
              <w:spacing w:lineRule="exact" w:line="600"/>
              <w:jc w:val="center"/>
            </w:pPr>
            <w:r/>
            <w:r>
              <w:rPr>
                <w:rFonts w:ascii="黑体" w:hAnsi="黑体" w:eastAsia="黑体"/>
                <w:b/>
                <w:color w:val="000000"/>
                <w:sz w:val="32"/>
              </w:rPr>
              <w:t>指标</w:t>
            </w:r>
          </w:p>
        </w:tc>
        <w:tc>
          <w:tcPr>
            <w:tcW w:type="dxa" w:w="1984"/>
          </w:tcPr>
          <w:p>
            <w:pPr>
              <w:spacing w:lineRule="exact" w:line="600"/>
              <w:jc w:val="center"/>
            </w:pPr>
            <w:r/>
            <w:r>
              <w:rPr>
                <w:rFonts w:ascii="黑体" w:hAnsi="黑体" w:eastAsia="黑体"/>
                <w:b/>
                <w:color w:val="000000"/>
                <w:sz w:val="32"/>
              </w:rPr>
              <w:t>2022年</w:t>
            </w:r>
          </w:p>
        </w:tc>
        <w:tc>
          <w:tcPr>
            <w:tcW w:type="dxa" w:w="1984"/>
          </w:tcPr>
          <w:p>
            <w:pPr>
              <w:spacing w:lineRule="exact" w:line="600"/>
              <w:jc w:val="center"/>
            </w:pPr>
            <w:r/>
            <w:r>
              <w:rPr>
                <w:rFonts w:ascii="黑体" w:hAnsi="黑体" w:eastAsia="黑体"/>
                <w:b/>
                <w:color w:val="000000"/>
                <w:sz w:val="32"/>
              </w:rPr>
              <w:t>2023年</w:t>
            </w:r>
          </w:p>
        </w:tc>
        <w:tc>
          <w:tcPr>
            <w:tcW w:type="dxa" w:w="2268"/>
          </w:tcPr>
          <w:p>
            <w:pPr>
              <w:spacing w:lineRule="exact" w:line="600"/>
              <w:jc w:val="center"/>
            </w:pPr>
            <w:r/>
            <w:r>
              <w:rPr>
                <w:rFonts w:ascii="黑体" w:hAnsi="黑体" w:eastAsia="黑体"/>
                <w:b/>
                <w:color w:val="000000"/>
                <w:sz w:val="32"/>
              </w:rPr>
              <w:t>2024年</w:t>
            </w:r>
          </w:p>
        </w:tc>
      </w:tr>
      <w:tr>
        <w:tc>
          <w:tcPr>
            <w:tcW w:type="dxa" w:w="2268"/>
          </w:tcPr>
          <w:p>
            <w:pPr>
              <w:spacing w:lineRule="exact" w:line="600"/>
              <w:jc w:val="center"/>
            </w:pPr>
            <w:r/>
            <w:r>
              <w:rPr>
                <w:rFonts w:ascii="仿宋_GB2312" w:hAnsi="仿宋_GB2312" w:eastAsia="仿宋_GB2312"/>
                <w:b w:val="0"/>
                <w:color w:val="000000"/>
                <w:sz w:val="32"/>
              </w:rPr>
              <w:t>营业收入</w:t>
            </w:r>
          </w:p>
        </w:tc>
        <w:tc>
          <w:tcPr>
            <w:tcW w:type="dxa" w:w="1984"/>
          </w:tcPr>
          <w:p>
            <w:pPr>
              <w:spacing w:lineRule="exact" w:line="600"/>
              <w:jc w:val="center"/>
            </w:pPr>
            <w:r/>
            <w:r>
              <w:rPr>
                <w:rFonts w:ascii="仿宋_GB2312" w:hAnsi="仿宋_GB2312" w:eastAsia="仿宋_GB2312"/>
                <w:b w:val="0"/>
                <w:color w:val="000000"/>
                <w:sz w:val="32"/>
              </w:rPr>
              <w:t>20.06</w:t>
            </w:r>
          </w:p>
        </w:tc>
        <w:tc>
          <w:tcPr>
            <w:tcW w:type="dxa" w:w="1984"/>
          </w:tcPr>
          <w:p>
            <w:pPr>
              <w:spacing w:lineRule="exact" w:line="600"/>
              <w:jc w:val="center"/>
            </w:pPr>
            <w:r/>
            <w:r>
              <w:rPr>
                <w:rFonts w:ascii="仿宋_GB2312" w:hAnsi="仿宋_GB2312" w:eastAsia="仿宋_GB2312"/>
                <w:b w:val="0"/>
                <w:color w:val="000000"/>
                <w:sz w:val="32"/>
              </w:rPr>
              <w:t>19.63</w:t>
            </w:r>
          </w:p>
        </w:tc>
        <w:tc>
          <w:tcPr>
            <w:tcW w:type="dxa" w:w="2268"/>
          </w:tcPr>
          <w:p>
            <w:pPr>
              <w:spacing w:lineRule="exact" w:line="600"/>
              <w:jc w:val="center"/>
            </w:pPr>
            <w:r/>
            <w:r>
              <w:rPr>
                <w:rFonts w:ascii="仿宋_GB2312" w:hAnsi="仿宋_GB2312" w:eastAsia="仿宋_GB2312"/>
                <w:b w:val="0"/>
                <w:color w:val="000000"/>
                <w:sz w:val="32"/>
              </w:rPr>
              <w:t>24.30</w:t>
            </w:r>
          </w:p>
        </w:tc>
      </w:tr>
      <w:tr>
        <w:tc>
          <w:tcPr>
            <w:tcW w:type="dxa" w:w="2268"/>
          </w:tcPr>
          <w:p>
            <w:pPr>
              <w:spacing w:lineRule="exact" w:line="600"/>
              <w:jc w:val="center"/>
            </w:pPr>
            <w:r/>
            <w:r>
              <w:rPr>
                <w:rFonts w:ascii="仿宋_GB2312" w:hAnsi="仿宋_GB2312" w:eastAsia="仿宋_GB2312"/>
                <w:b w:val="0"/>
                <w:color w:val="000000"/>
                <w:sz w:val="32"/>
              </w:rPr>
              <w:t>归母净利润</w:t>
            </w:r>
          </w:p>
        </w:tc>
        <w:tc>
          <w:tcPr>
            <w:tcW w:type="dxa" w:w="1984"/>
          </w:tcPr>
          <w:p>
            <w:pPr>
              <w:spacing w:lineRule="exact" w:line="600"/>
              <w:jc w:val="center"/>
            </w:pPr>
            <w:r/>
            <w:r>
              <w:rPr>
                <w:rFonts w:ascii="仿宋_GB2312" w:hAnsi="仿宋_GB2312" w:eastAsia="仿宋_GB2312"/>
                <w:b w:val="0"/>
                <w:color w:val="000000"/>
                <w:sz w:val="32"/>
              </w:rPr>
              <w:t>0.25</w:t>
            </w:r>
          </w:p>
        </w:tc>
        <w:tc>
          <w:tcPr>
            <w:tcW w:type="dxa" w:w="1984"/>
          </w:tcPr>
          <w:p>
            <w:pPr>
              <w:spacing w:lineRule="exact" w:line="600"/>
              <w:jc w:val="center"/>
            </w:pPr>
            <w:r/>
            <w:r>
              <w:rPr>
                <w:rFonts w:ascii="仿宋_GB2312" w:hAnsi="仿宋_GB2312" w:eastAsia="仿宋_GB2312"/>
                <w:b w:val="0"/>
                <w:color w:val="000000"/>
                <w:sz w:val="32"/>
              </w:rPr>
              <w:t>0.82</w:t>
            </w:r>
          </w:p>
        </w:tc>
        <w:tc>
          <w:tcPr>
            <w:tcW w:type="dxa" w:w="2268"/>
          </w:tcPr>
          <w:p>
            <w:pPr>
              <w:spacing w:lineRule="exact" w:line="600"/>
              <w:jc w:val="center"/>
            </w:pPr>
            <w:r/>
            <w:r>
              <w:rPr>
                <w:rFonts w:ascii="仿宋_GB2312" w:hAnsi="仿宋_GB2312" w:eastAsia="仿宋_GB2312"/>
                <w:b w:val="0"/>
                <w:color w:val="000000"/>
                <w:sz w:val="32"/>
              </w:rPr>
              <w:t>0.71</w:t>
            </w:r>
          </w:p>
        </w:tc>
      </w:tr>
      <w:tr>
        <w:tc>
          <w:tcPr>
            <w:tcW w:type="dxa" w:w="2268"/>
          </w:tcPr>
          <w:p>
            <w:pPr>
              <w:spacing w:lineRule="exact" w:line="600"/>
              <w:jc w:val="center"/>
            </w:pPr>
            <w:r/>
            <w:r>
              <w:rPr>
                <w:rFonts w:ascii="仿宋_GB2312" w:hAnsi="仿宋_GB2312" w:eastAsia="仿宋_GB2312"/>
                <w:b w:val="0"/>
                <w:color w:val="000000"/>
                <w:sz w:val="32"/>
              </w:rPr>
              <w:t>毛利率</w:t>
            </w:r>
          </w:p>
        </w:tc>
        <w:tc>
          <w:tcPr>
            <w:tcW w:type="dxa" w:w="1984"/>
          </w:tcPr>
          <w:p>
            <w:pPr>
              <w:spacing w:lineRule="exact" w:line="600"/>
              <w:jc w:val="center"/>
            </w:pPr>
            <w:r/>
            <w:r>
              <w:rPr>
                <w:rFonts w:ascii="仿宋_GB2312" w:hAnsi="仿宋_GB2312" w:eastAsia="仿宋_GB2312"/>
                <w:b w:val="0"/>
                <w:color w:val="000000"/>
                <w:sz w:val="32"/>
              </w:rPr>
              <w:t>—</w:t>
            </w:r>
          </w:p>
        </w:tc>
        <w:tc>
          <w:tcPr>
            <w:tcW w:type="dxa" w:w="1984"/>
          </w:tcPr>
          <w:p>
            <w:pPr>
              <w:spacing w:lineRule="exact" w:line="600"/>
              <w:jc w:val="center"/>
            </w:pPr>
            <w:r/>
            <w:r>
              <w:rPr>
                <w:rFonts w:ascii="仿宋_GB2312" w:hAnsi="仿宋_GB2312" w:eastAsia="仿宋_GB2312"/>
                <w:b w:val="0"/>
                <w:color w:val="000000"/>
                <w:sz w:val="32"/>
              </w:rPr>
              <w:t>—</w:t>
            </w:r>
          </w:p>
        </w:tc>
        <w:tc>
          <w:tcPr>
            <w:tcW w:type="dxa" w:w="2268"/>
          </w:tcPr>
          <w:p>
            <w:pPr>
              <w:spacing w:lineRule="exact" w:line="600"/>
              <w:jc w:val="center"/>
            </w:pPr>
            <w:r/>
            <w:r>
              <w:rPr>
                <w:rFonts w:ascii="仿宋_GB2312" w:hAnsi="仿宋_GB2312" w:eastAsia="仿宋_GB2312"/>
                <w:b w:val="0"/>
                <w:color w:val="000000"/>
                <w:sz w:val="32"/>
              </w:rPr>
              <w:t>14.86%</w:t>
            </w:r>
          </w:p>
        </w:tc>
      </w:tr>
      <w:tr>
        <w:tc>
          <w:tcPr>
            <w:tcW w:type="dxa" w:w="2268"/>
          </w:tcPr>
          <w:p>
            <w:pPr>
              <w:spacing w:lineRule="exact" w:line="600"/>
              <w:jc w:val="center"/>
            </w:pPr>
            <w:r/>
            <w:r>
              <w:rPr>
                <w:rFonts w:ascii="仿宋_GB2312" w:hAnsi="仿宋_GB2312" w:eastAsia="仿宋_GB2312"/>
                <w:b w:val="0"/>
                <w:color w:val="000000"/>
                <w:sz w:val="32"/>
              </w:rPr>
              <w:t>资产负债率</w:t>
            </w:r>
          </w:p>
        </w:tc>
        <w:tc>
          <w:tcPr>
            <w:tcW w:type="dxa" w:w="1984"/>
          </w:tcPr>
          <w:p>
            <w:pPr>
              <w:spacing w:lineRule="exact" w:line="600"/>
              <w:jc w:val="center"/>
            </w:pPr>
            <w:r/>
            <w:r>
              <w:rPr>
                <w:rFonts w:ascii="仿宋_GB2312" w:hAnsi="仿宋_GB2312" w:eastAsia="仿宋_GB2312"/>
                <w:b w:val="0"/>
                <w:color w:val="000000"/>
                <w:sz w:val="32"/>
              </w:rPr>
              <w:t>—</w:t>
            </w:r>
          </w:p>
        </w:tc>
        <w:tc>
          <w:tcPr>
            <w:tcW w:type="dxa" w:w="1984"/>
          </w:tcPr>
          <w:p>
            <w:pPr>
              <w:spacing w:lineRule="exact" w:line="600"/>
              <w:jc w:val="center"/>
            </w:pPr>
            <w:r/>
            <w:r>
              <w:rPr>
                <w:rFonts w:ascii="仿宋_GB2312" w:hAnsi="仿宋_GB2312" w:eastAsia="仿宋_GB2312"/>
                <w:b w:val="0"/>
                <w:color w:val="000000"/>
                <w:sz w:val="32"/>
              </w:rPr>
              <w:t>约56%</w:t>
            </w:r>
          </w:p>
        </w:tc>
        <w:tc>
          <w:tcPr>
            <w:tcW w:type="dxa" w:w="2268"/>
          </w:tcPr>
          <w:p>
            <w:pPr>
              <w:spacing w:lineRule="exact" w:line="600"/>
              <w:jc w:val="center"/>
            </w:pPr>
            <w:r/>
            <w:r>
              <w:rPr>
                <w:rFonts w:ascii="仿宋_GB2312" w:hAnsi="仿宋_GB2312" w:eastAsia="仿宋_GB2312"/>
                <w:b w:val="0"/>
                <w:color w:val="000000"/>
                <w:sz w:val="32"/>
              </w:rPr>
              <w:t>60.81%</w:t>
            </w:r>
          </w:p>
        </w:tc>
      </w:tr>
      <w:tr>
        <w:tc>
          <w:tcPr>
            <w:tcW w:type="dxa" w:w="2268"/>
          </w:tcPr>
          <w:p>
            <w:pPr>
              <w:spacing w:lineRule="exact" w:line="600"/>
              <w:jc w:val="center"/>
            </w:pPr>
            <w:r/>
            <w:r>
              <w:rPr>
                <w:rFonts w:ascii="仿宋_GB2312" w:hAnsi="仿宋_GB2312" w:eastAsia="仿宋_GB2312"/>
                <w:b w:val="0"/>
                <w:color w:val="000000"/>
                <w:sz w:val="32"/>
              </w:rPr>
              <w:t>经营现金流净额</w:t>
            </w:r>
          </w:p>
        </w:tc>
        <w:tc>
          <w:tcPr>
            <w:tcW w:type="dxa" w:w="1984"/>
          </w:tcPr>
          <w:p>
            <w:pPr>
              <w:spacing w:lineRule="exact" w:line="600"/>
              <w:jc w:val="center"/>
            </w:pPr>
            <w:r/>
            <w:r>
              <w:rPr>
                <w:rFonts w:ascii="仿宋_GB2312" w:hAnsi="仿宋_GB2312" w:eastAsia="仿宋_GB2312"/>
                <w:b w:val="0"/>
                <w:color w:val="000000"/>
                <w:sz w:val="32"/>
              </w:rPr>
              <w:t>—</w:t>
            </w:r>
          </w:p>
        </w:tc>
        <w:tc>
          <w:tcPr>
            <w:tcW w:type="dxa" w:w="1984"/>
          </w:tcPr>
          <w:p>
            <w:pPr>
              <w:spacing w:lineRule="exact" w:line="600"/>
              <w:jc w:val="center"/>
            </w:pPr>
            <w:r/>
            <w:r>
              <w:rPr>
                <w:rFonts w:ascii="仿宋_GB2312" w:hAnsi="仿宋_GB2312" w:eastAsia="仿宋_GB2312"/>
                <w:b w:val="0"/>
                <w:color w:val="000000"/>
                <w:sz w:val="32"/>
              </w:rPr>
              <w:t>—</w:t>
            </w:r>
          </w:p>
        </w:tc>
        <w:tc>
          <w:tcPr>
            <w:tcW w:type="dxa" w:w="2268"/>
          </w:tcPr>
          <w:p>
            <w:pPr>
              <w:spacing w:lineRule="exact" w:line="600"/>
              <w:jc w:val="center"/>
            </w:pPr>
            <w:r/>
            <w:r>
              <w:rPr>
                <w:rFonts w:ascii="仿宋_GB2312" w:hAnsi="仿宋_GB2312" w:eastAsia="仿宋_GB2312"/>
                <w:b w:val="0"/>
                <w:color w:val="000000"/>
                <w:sz w:val="32"/>
              </w:rPr>
              <w:t>3.00</w:t>
            </w:r>
          </w:p>
        </w:tc>
      </w:tr>
      <w:tr>
        <w:tc>
          <w:tcPr>
            <w:tcW w:type="dxa" w:w="2268"/>
          </w:tcPr>
          <w:p>
            <w:pPr>
              <w:spacing w:lineRule="exact" w:line="600"/>
              <w:jc w:val="center"/>
            </w:pPr>
            <w:r/>
            <w:r>
              <w:rPr>
                <w:rFonts w:ascii="仿宋_GB2312" w:hAnsi="仿宋_GB2312" w:eastAsia="仿宋_GB2312"/>
                <w:b w:val="0"/>
                <w:color w:val="000000"/>
                <w:sz w:val="32"/>
              </w:rPr>
              <w:t>研发投入占比</w:t>
            </w:r>
          </w:p>
        </w:tc>
        <w:tc>
          <w:tcPr>
            <w:tcW w:type="dxa" w:w="1984"/>
          </w:tcPr>
          <w:p>
            <w:pPr>
              <w:spacing w:lineRule="exact" w:line="600"/>
              <w:jc w:val="center"/>
            </w:pPr>
            <w:r/>
            <w:r>
              <w:rPr>
                <w:rFonts w:ascii="仿宋_GB2312" w:hAnsi="仿宋_GB2312" w:eastAsia="仿宋_GB2312"/>
                <w:b w:val="0"/>
                <w:color w:val="000000"/>
                <w:sz w:val="32"/>
              </w:rPr>
              <w:t>—</w:t>
            </w:r>
          </w:p>
        </w:tc>
        <w:tc>
          <w:tcPr>
            <w:tcW w:type="dxa" w:w="1984"/>
          </w:tcPr>
          <w:p>
            <w:pPr>
              <w:spacing w:lineRule="exact" w:line="600"/>
              <w:jc w:val="center"/>
            </w:pPr>
            <w:r/>
            <w:r>
              <w:rPr>
                <w:rFonts w:ascii="仿宋_GB2312" w:hAnsi="仿宋_GB2312" w:eastAsia="仿宋_GB2312"/>
                <w:b w:val="0"/>
                <w:color w:val="000000"/>
                <w:sz w:val="32"/>
              </w:rPr>
              <w:t>—</w:t>
            </w:r>
          </w:p>
        </w:tc>
        <w:tc>
          <w:tcPr>
            <w:tcW w:type="dxa" w:w="2268"/>
          </w:tcPr>
          <w:p>
            <w:pPr>
              <w:spacing w:lineRule="exact" w:line="600"/>
              <w:jc w:val="center"/>
            </w:pPr>
            <w:r/>
            <w:r>
              <w:rPr>
                <w:rFonts w:ascii="仿宋_GB2312" w:hAnsi="仿宋_GB2312" w:eastAsia="仿宋_GB2312"/>
                <w:b w:val="0"/>
                <w:color w:val="000000"/>
                <w:sz w:val="32"/>
              </w:rPr>
              <w:t>7.88%</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母公司英搏尔营收由2023年19.63亿元增至2024年24.30亿元（+23.77%），归母净利润0.71亿元（同比-13.79%，受价格竞争与费用影响）；毛利率14.86%，净利率2.92%，盈利规模较小但保持正利润，优于仍处亏损的同业精进电动。山东基地产能释放将支撑母公司规模增长。</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母公司2024年末总资产52.35亿元，以固定资产（产线）、存货、应收为主，重资产制造属性；山东基地120亩/6.5万㎡厂房与设备构成重要资产增量。</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母公司2024年末资产负债率60.81%，流动比率1.67、速动比率1.17，有息负债率约39.9%，偿债压力总体可控，优于精进电动（77%）。</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母公司2024年经营现金流净额3.00亿元，净利润现金含量422%，现金流质量较好，支撑扩产与研发。</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精进电动（688280，2024营收13.05亿、亏损、毛利率4.98%）相比，英搏尔营收规模更大、已盈利、毛利率更高（14.86%）、现金流更优，但二者均面临电驱动系统价格竞争；英搏尔“集成芯”平台与多元客户（含叉车/工程机械）使其盈利韧性较强。</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作为创业板上市公司全资子公司，治理规范，重大事项由母公司英搏尔董事会决策；设总经理（贺文涛）及经营管理层。</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母公司英搏尔实际控制人、董事长姜桂宾主导战略；山东英搏尔法定代表人、总经理贺文涛负责基地运营；总经理助理褚宏图公开代表公司技术战略。管理层产业与研发背景强。</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获评省级智能工厂、省级企业技术中心，通过ASPICE CL3评估（电控电源双项目），研发与质量内控体系较完备。</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山东英搏尔参保约485人，以研发、生产与工程人员为主；母公司手握两百余项专利，研发团队实力较强。</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一是技术平台壁垒：“集成芯”多合一高度集成技术，体积-30%、成本-20%，两百余项授权专利、省级企业技术中心、ASPICE CL3，技术自主可控。二是客户与规模：配套吉利、长城、小鹏、比亚迪、采埃孚等，多元场景（乘用车/叉车/工程机械/eVTOL）分散风险。三是资质与基地：国家级专精特新“小巨人”、省级智能工厂，北方百万级零部件产业园产能支撑。四是盈利韧性：母公司已盈利、现金流优，优于多数同业。</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价格竞争风险：新能源电驱动系统价格战致毛利率承压（14.86%）、净利下滑；应对以“集成芯”降本与高附加值产品提升溢价。二是客户集中风险：依赖头部车企订单，波动影响大。三是技术迭代风险：电驱/电源技术快速演进，须持续研发。四是扩张风险：山东二期达产需匹配需求，存在产能消化不确定性。五是贸易风险：海外业务拓展受汇率与地缘影响。</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吉利、长城、小鹏等整车厂应收账款账期较长，可开展保理融资。供应链金融：围绕核心企业为其上游半导体/零部件供应商提供订单与存货融资。融资租赁：山东二期产线设备投资适合直租/回租。小贷：面向临时周转。英搏尔为已盈利、现金流优、国家级“小巨人”的优质客户，建议以“核心客户应收保理+设备融资租赁”组合切入，额度匹配其规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英搏尔是英搏尔北方新能源动力核心智造基地、牡丹区链主，技术（“集成芯”平台、两百余项专利）、资质（国家级小巨人、省级智能工厂）与客户（吉利/长城/小鹏/比亚迪等）优势突出，母公司已盈利、现金流优；但处价格竞争期、盈利弹性有限。发展展望：据行业趋势与母公司规划，山东基地百万级零部件产业园达产、eVTOL等新场景拓展，成长空间明确。建议：一是对接核心客户应收保理与二期设备融资租赁；二是关注价格竞争对盈利的挤压，设动态监测；三是可探索与精进电动等集群企业协同补链。</w:t>
      </w:r>
    </w:p>
    <w:p>
      <w:pPr>
        <w:spacing w:lineRule="exact" w:line="600" w:before="0" w:after="0"/>
        <w:jc w:val="left"/>
      </w:pPr>
      <w:r>
        <w:rPr>
          <w:rFonts w:ascii="仿宋_GB2312" w:hAnsi="仿宋_GB2312" w:eastAsia="仿宋_GB2312"/>
          <w:b w:val="0"/>
          <w:color w:val="000000"/>
          <w:sz w:val="28"/>
        </w:rPr>
        <w:t>数据来源说明：英搏尔（300681.SZ）2022—2024年年报及东方财富/巨潮资讯、公司官网enpower-sd.com、菏泽广电网/牡丹区报道（链主地位、集成芯、小巨人评审）、天眼查（工商股权、参保）。山东英搏尔单体财务未单独公开，采用母公司合并口径参照。</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