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邹城经济开发区绿色化工特色产业集群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山东鲁抗医药股份有限公司企业分析报告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（本报告数据来源于鲁抗医药2021—2023年年度报告、东方财富/同花顺/新浪财经公开数据。统计时点截至2023年年报。股票代码600789.SH，上海证券交易所主板上市。）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抗医药股份有限公司为上海证券交易所主板上市公司，股票代码600789.SH，注册地址位于山东省济宁市（邹城等有生产基地），主营医药产品研发、生产和销售。实际控制人为山东省国资委下属的华鲁控股集团有限公司（华鲁控股为控股股东，持股约20.75%）。属国有控股上市药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股权结构：华鲁控股集团有限公司持股约20.75%为控股股东，华鲁投资发展有限公司持股约3.14%，香港中央结算等；实控人为山东省国资委。国企属性突出，需突出国资层级与治理。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公司下设原料药、制剂、兽用药等板块，拥有生物医药循环产业园，设党委与"三重一大"决策机制，为国有控股上市公司。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1997年上市，老牌抗生素企业；近年推进原料药与制剂"登峰计划"、销售精细化、研发"精品工程"，2023年营收与净利双增。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定位为抗生素与原料药国企龙头，主营兽用药、制剂药品、半合成抗生素原料药等，产品含青霉素类、头孢类、氨基酸、心脑血管等。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2023年营收61.47亿元：兽用药25.85亿元（占42.05%）、制剂药品23.26亿元（占37.83%，同比+21.05%）、半合成抗生素原料药6.93亿元（占11.28%）。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兽用抗生素、制剂药品、半合成抗生素原料药（青霉素钠等通过一致性评价）。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前五大客户销售17.13亿元（占25.40%），前五大供应商采购16.87亿元（占37.69%）。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原料与中间体外采，供应商集中度高。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生物医药循环产业园（二期转固）；国企质量体系；2023年研发投入3.90亿元（占营收6.35%）。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直供医院、经销商与养殖企业，销售精细化管理。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2023年营收61.47亿元（同比+9.34%），归母净利2.46亿元（同比+78.37%），毛利率24.65%。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49.24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56.21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61.47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0.89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1.38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2.46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约23.9%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22.19%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24.65%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约59.82%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57.50%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1.77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4.44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6.04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2023年营收+9.34%、归母净利+78.37%，毛利率24.65%（同比+2.46pct），盈利改善；兽用药毛利率18.16%、制剂38.02%、半合成原料药5.71%。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2023年末总资产88.02亿元，存货14.06亿元（占净资产38.93%），应收账款增16.32%，资产质量稳健。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2023年末资产负债率57.50%（同比-2.32pct），流动比率1.04、速动比率0.64，偿债能力适中。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2023年经营现金流净额6.04亿元（同比+35.92%），净现比245.36%，现金流健康。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对标华北制药、哈药，鲁抗在兽用药与制剂具特色；国企背景与华鲁控股赋能明显。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国有控股上市公司，设党委，落实"三重一大"决策制度；华鲁控股为控股股东，山东省国资委实控；董事会、监事会规范。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管理层具医药产业与国企背景，党委书记与董事长职责清晰。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国企内控、党建与合规体系完善，执行"三重一大"集体决策。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2023年末员工6484人，人均创收94.80万元、人均创利3.80万元。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一是山东省国资委/华鲁控股国资背景与资源；二是兽用药+制剂+原料药全产业链；三是青霉素类一致性评价与国企质量体系；四是生物医药循环产业园产能。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抗生素集采、环保与限抗政策。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原料药价格、供应商集中（前五大占37.69%）。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资产负债率57.50%适中，现金流健康，财务稳健。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药品生产许可、环保与国资合规为重点，公司体系强。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推进"登峰计划"、研发精品工程、销售精细化、降本增效。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①原料采购保理；②产业园设备融资租赁；③研发项目贷款；④对下游客户应收账款保理。山东投资可围绕"医药+绿色化工"提供金融，国企背景合作顺畅。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鲁抗医药是邹城绿色化工集群骨干国企，兽用药与制剂全产业链、华鲁控股赋能，2023年业绩显著改善。作为国企，党建与"三重一大"治理规范。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展望：建议强化研发精品、拓展制剂与兽用药高端，稳健经营。山东投资以供应链金融与设备租赁支持其国企链主提质。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鲁抗医药（600789.SH）2021—2023年年度报告；东方财富、同花顺、新浪财经等公开数据；公司官网。财务数据以年报披露为准。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