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lineRule="exact" w:line="600" w:before="240" w:after="240"/>
        <w:ind w:firstLine="0"/>
        <w:jc w:val="center"/>
      </w:pPr>
      <w:r>
        <w:rPr>
          <w:rFonts w:ascii="方正小标宋简体" w:hAnsi="方正小标宋简体" w:eastAsia="方正小标宋简体"/>
          <w:b w:val="0"/>
          <w:color w:val="000000"/>
          <w:sz w:val="44"/>
        </w:rPr>
        <w:t>邹平市轻量化铝特色产业集群</w:t>
      </w:r>
    </w:p>
    <w:p>
      <w:pPr>
        <w:spacing w:lineRule="exact" w:line="600" w:before="240" w:after="240"/>
        <w:ind w:firstLine="0"/>
        <w:jc w:val="center"/>
      </w:pPr>
      <w:r>
        <w:rPr>
          <w:rFonts w:ascii="方正小标宋简体" w:hAnsi="方正小标宋简体" w:eastAsia="方正小标宋简体"/>
          <w:b w:val="0"/>
          <w:color w:val="000000"/>
          <w:sz w:val="44"/>
        </w:rPr>
        <w:t>山东创新金属科技有限公司企业分析报告</w:t>
      </w:r>
    </w:p>
    <w:p>
      <w:pPr>
        <w:spacing w:lineRule="exact" w:line="600" w:before="0" w:after="0"/>
        <w:jc w:val="left"/>
      </w:pPr>
      <w:r>
        <w:rPr>
          <w:rFonts w:ascii="仿宋_GB2312" w:hAnsi="仿宋_GB2312" w:eastAsia="仿宋_GB2312"/>
          <w:b w:val="0"/>
          <w:color w:val="000000"/>
          <w:sz w:val="28"/>
        </w:rPr>
        <w:t>（本报告数据来源于国家企业信用信息公示系统、天眼查、爱企查、上市公司创新新材料科技股份有限公司（600361.SH）2022—2024年年度报告（信永中和会计师事务所审计）及公司公开信息等渠道，统计时点截至2025年公开信息。山东创新金属科技有限公司为上市公司创新新材（600361.SH）之核心全资子公司，本节财务报表采用创新新材合并口径经审计数据，并在文中明确标注母子关系，未编造具体数字。）</w:t>
      </w:r>
    </w:p>
    <w:p>
      <w:pPr>
        <w:spacing w:lineRule="exact" w:line="600" w:before="120" w:after="120"/>
        <w:ind w:firstLine="420"/>
        <w:jc w:val="left"/>
      </w:pPr>
      <w:r>
        <w:rPr>
          <w:rFonts w:ascii="黑体" w:hAnsi="黑体" w:eastAsia="黑体"/>
          <w:b w:val="0"/>
          <w:color w:val="000000"/>
          <w:sz w:val="32"/>
        </w:rPr>
        <w:t>一、公司基本概况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（一）工商信息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山东创新金属科技有限公司（以下简称"创新金属"或"公司"）系上市公司创新新材料科技股份有限公司（证券简称：创新新材，证券代码：600361.SH）之核心全资子公司。公司法定代表人吴胜利，总经理陈明辉（2025年变更）；注册资本40,077.0926万元（已全额实缴）；注册地址位于山东省邹平市。公司所属行业为有色金属压延加工（铝合金材料），经营范围涵盖铝合金及其制品的研发、生产与销售。公司登记状态为存续，系增值税一般纳税人，被认定为国家级绿色工厂、制造业单项冠军企业。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股权结构方面，创新金属为创新新材（600361.SH）100%持股的全资子公司。创新新材于2022年12月21日通过重组（原华联综超）登陆A股，实际控制人为崔立新（创新集团董事长，第十四届全国人大代表）。公司无自然人直接持股，系上市公司核心资产与主要利润来源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（二）组织架构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创新金属为创新新材核心经营实体，下辖十余家专业子公司（涵盖棒材、型材、板带箔、铝杆线缆、结构件等业务单元），内部设生产、研发、销售、采购等职能部门。据公开信息，公司员工1万余人，是邹平轻量化铝集群规模最大的铝加工企业之一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（三）发展沿革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公司深耕铝合金材料加工领域多年，逐步由单一棒材加工发展为涵盖棒材、型材、板带箔、铝杆线缆、结构件等多品类的大型铝加工企业。2022年12月，母公司创新新材重组上市后，创新金属作为核心资产注入上市公司，借助资本市场加速产能扩张与高端化升级，综合产能突破500万吨，高端铝合金棒材产销量位居全球第一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（四）企业定位与主营业务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公司定位为专注铝合金及制品研究开发和生产加工的技术型企业，为铝合金加工领域提供综合解决方案，是邹平市轻量化铝特色产业集群龙头。主营业务为铝合金棒材、型材、板带箔、铝杆线缆、结构件等铝合金材料的研发、生产与销售，产品广泛应用于汽车轻量化、3C电子、轨道交通、电力、建筑等领域。</w:t>
      </w:r>
    </w:p>
    <w:p>
      <w:pPr>
        <w:spacing w:lineRule="exact" w:line="600" w:before="120" w:after="120"/>
        <w:ind w:firstLine="420"/>
        <w:jc w:val="left"/>
      </w:pPr>
      <w:r>
        <w:rPr>
          <w:rFonts w:ascii="黑体" w:hAnsi="黑体" w:eastAsia="黑体"/>
          <w:b w:val="0"/>
          <w:color w:val="000000"/>
          <w:sz w:val="32"/>
        </w:rPr>
        <w:t>二、业务层面分析（核心）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（一）业务结构与收入构成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公司业务以铝合金材料加工为核心，按产品分为棒材、型材、板带箔、铝杆线缆、结构件五大类。据创新新材2024年报，全年产量达488.05万吨，其中棒材327.97万吨、型材14.04万吨、板带箔46.48万吨、铝杆线缆99.56万吨、结构件3364.81万片。制造业加工收入构成绝对主体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（二）主要产品/服务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主要产品包括高端铝合金棒材（产销量全球第一）、工业型材、板带箔、铝杆线缆、汽车轻量化结构件等，覆盖汽车轻量化、3C电子、轨道交通、电力装备等高端应用领域。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（三）客户分析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客户覆盖汽车（含新能源车企及零部件）、3C电子、轨道交通、电力等行业头部企业。前五大客户名称未公开披露，但凭借全球第一的棒材产能与稳定品质，客户黏性强。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（四）供应商与采购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主要采购铝水、铝锭及合金原料，依托邹平铝产业集群的铝液直供配套（魏桥等上游电解铝企业），物流与成本优势明显。铝价波动为主要成本变量。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（五）产能/资源/牌照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公司综合铝合金材料产能500万吨以上，高端铝合金棒材产销量全球第一；获评国家级绿色工厂、制造业单项冠军企业；2024年研发投入2.96亿元，拥有完善的研发与质量体系。公司依托邹平"铝水不落地"集群配套，资源与能耗效率领先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（六）销售与渠道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采用"基地+客户"就近配套模式，围绕汽车、电子产业集群布局产能，以直销为主服务大客户，并借助母公司上市平台拓展国内外市场。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（七）经营数据与市场占有率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据创新新材2024年报，公司全年产量488.05万吨、营业收入809.42亿元，高端铝合金棒材产销量全球第一，在汽车轻量化铝材与3C电子铝材领域具领先地位。具体细分市场份额缺少公开第三方数据。</w:t>
      </w:r>
    </w:p>
    <w:p>
      <w:pPr>
        <w:spacing w:lineRule="exact" w:line="600" w:before="120" w:after="120"/>
        <w:ind w:firstLine="420"/>
        <w:jc w:val="left"/>
      </w:pPr>
      <w:r>
        <w:rPr>
          <w:rFonts w:ascii="黑体" w:hAnsi="黑体" w:eastAsia="黑体"/>
          <w:b w:val="0"/>
          <w:color w:val="000000"/>
          <w:sz w:val="32"/>
        </w:rPr>
        <w:t>三、财务报表分析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山东创新金属科技有限公司为创新新材（600361.SH）全资子公司，其财务数据并入母公司合并报表。以下采用创新新材合并口径经审计数据（来源：2022—2024年年度报告，信永中和会计师事务所审计），作为公司所属上市主体的整体财务表征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（一）近三年主要会计数据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2211"/>
        <w:gridCol w:w="2211"/>
        <w:gridCol w:w="2211"/>
        <w:gridCol w:w="2211"/>
      </w:tblGrid>
      <w:tr>
        <w:tc>
          <w:tcPr>
            <w:tcW w:type="dxa" w:w="2835"/>
          </w:tcPr>
          <w:p>
            <w:pPr>
              <w:spacing w:lineRule="exact" w:line="600"/>
              <w:jc w:val="center"/>
            </w:pPr>
            <w:r/>
            <w:r>
              <w:rPr>
                <w:rFonts w:ascii="黑体" w:hAnsi="黑体" w:eastAsia="黑体"/>
                <w:b/>
                <w:color w:val="000000"/>
                <w:sz w:val="32"/>
              </w:rPr>
              <w:t>指标</w:t>
            </w:r>
          </w:p>
        </w:tc>
        <w:tc>
          <w:tcPr>
            <w:tcW w:type="dxa" w:w="2041"/>
          </w:tcPr>
          <w:p>
            <w:pPr>
              <w:spacing w:lineRule="exact" w:line="600"/>
              <w:jc w:val="center"/>
            </w:pPr>
            <w:r/>
            <w:r>
              <w:rPr>
                <w:rFonts w:ascii="黑体" w:hAnsi="黑体" w:eastAsia="黑体"/>
                <w:b/>
                <w:color w:val="000000"/>
                <w:sz w:val="32"/>
              </w:rPr>
              <w:t>2022年</w:t>
            </w:r>
          </w:p>
        </w:tc>
        <w:tc>
          <w:tcPr>
            <w:tcW w:type="dxa" w:w="2041"/>
          </w:tcPr>
          <w:p>
            <w:pPr>
              <w:spacing w:lineRule="exact" w:line="600"/>
              <w:jc w:val="center"/>
            </w:pPr>
            <w:r/>
            <w:r>
              <w:rPr>
                <w:rFonts w:ascii="黑体" w:hAnsi="黑体" w:eastAsia="黑体"/>
                <w:b/>
                <w:color w:val="000000"/>
                <w:sz w:val="32"/>
              </w:rPr>
              <w:t>2023年</w:t>
            </w:r>
          </w:p>
        </w:tc>
        <w:tc>
          <w:tcPr>
            <w:tcW w:type="dxa" w:w="2041"/>
          </w:tcPr>
          <w:p>
            <w:pPr>
              <w:spacing w:lineRule="exact" w:line="600"/>
              <w:jc w:val="center"/>
            </w:pPr>
            <w:r/>
            <w:r>
              <w:rPr>
                <w:rFonts w:ascii="黑体" w:hAnsi="黑体" w:eastAsia="黑体"/>
                <w:b/>
                <w:color w:val="000000"/>
                <w:sz w:val="32"/>
              </w:rPr>
              <w:t>2024年</w:t>
            </w:r>
          </w:p>
        </w:tc>
      </w:tr>
      <w:tr>
        <w:tc>
          <w:tcPr>
            <w:tcW w:type="dxa" w:w="283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营业收入（亿元）</w:t>
            </w:r>
          </w:p>
        </w:tc>
        <w:tc>
          <w:tcPr>
            <w:tcW w:type="dxa" w:w="204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693.19</w:t>
            </w:r>
          </w:p>
        </w:tc>
        <w:tc>
          <w:tcPr>
            <w:tcW w:type="dxa" w:w="204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728.44</w:t>
            </w:r>
          </w:p>
        </w:tc>
        <w:tc>
          <w:tcPr>
            <w:tcW w:type="dxa" w:w="204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809.42</w:t>
            </w:r>
          </w:p>
        </w:tc>
      </w:tr>
      <w:tr>
        <w:tc>
          <w:tcPr>
            <w:tcW w:type="dxa" w:w="283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归母净利润（亿元）</w:t>
            </w:r>
          </w:p>
        </w:tc>
        <w:tc>
          <w:tcPr>
            <w:tcW w:type="dxa" w:w="204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10.90</w:t>
            </w:r>
          </w:p>
        </w:tc>
        <w:tc>
          <w:tcPr>
            <w:tcW w:type="dxa" w:w="204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9.58</w:t>
            </w:r>
          </w:p>
        </w:tc>
        <w:tc>
          <w:tcPr>
            <w:tcW w:type="dxa" w:w="204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10.10</w:t>
            </w:r>
          </w:p>
        </w:tc>
      </w:tr>
      <w:tr>
        <w:tc>
          <w:tcPr>
            <w:tcW w:type="dxa" w:w="283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总资产（亿元）</w:t>
            </w:r>
          </w:p>
        </w:tc>
        <w:tc>
          <w:tcPr>
            <w:tcW w:type="dxa" w:w="204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169.08</w:t>
            </w:r>
          </w:p>
        </w:tc>
        <w:tc>
          <w:tcPr>
            <w:tcW w:type="dxa" w:w="204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199.16</w:t>
            </w:r>
          </w:p>
        </w:tc>
        <w:tc>
          <w:tcPr>
            <w:tcW w:type="dxa" w:w="204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261.16</w:t>
            </w:r>
          </w:p>
        </w:tc>
      </w:tr>
      <w:tr>
        <w:tc>
          <w:tcPr>
            <w:tcW w:type="dxa" w:w="283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归母净资产（亿元）</w:t>
            </w:r>
          </w:p>
        </w:tc>
        <w:tc>
          <w:tcPr>
            <w:tcW w:type="dxa" w:w="204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79.23</w:t>
            </w:r>
          </w:p>
        </w:tc>
        <w:tc>
          <w:tcPr>
            <w:tcW w:type="dxa" w:w="204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101.30</w:t>
            </w:r>
          </w:p>
        </w:tc>
        <w:tc>
          <w:tcPr>
            <w:tcW w:type="dxa" w:w="204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107.86</w:t>
            </w:r>
          </w:p>
        </w:tc>
      </w:tr>
      <w:tr>
        <w:tc>
          <w:tcPr>
            <w:tcW w:type="dxa" w:w="283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销售毛利率（%）</w:t>
            </w:r>
          </w:p>
        </w:tc>
        <w:tc>
          <w:tcPr>
            <w:tcW w:type="dxa" w:w="204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3.44</w:t>
            </w:r>
          </w:p>
        </w:tc>
        <w:tc>
          <w:tcPr>
            <w:tcW w:type="dxa" w:w="204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3.22</w:t>
            </w:r>
          </w:p>
        </w:tc>
        <w:tc>
          <w:tcPr>
            <w:tcW w:type="dxa" w:w="204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3.39</w:t>
            </w:r>
          </w:p>
        </w:tc>
      </w:tr>
      <w:tr>
        <w:tc>
          <w:tcPr>
            <w:tcW w:type="dxa" w:w="283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资产负债率（%）</w:t>
            </w:r>
          </w:p>
        </w:tc>
        <w:tc>
          <w:tcPr>
            <w:tcW w:type="dxa" w:w="204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53.07</w:t>
            </w:r>
          </w:p>
        </w:tc>
        <w:tc>
          <w:tcPr>
            <w:tcW w:type="dxa" w:w="204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48.40</w:t>
            </w:r>
          </w:p>
        </w:tc>
        <w:tc>
          <w:tcPr>
            <w:tcW w:type="dxa" w:w="204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58.15</w:t>
            </w:r>
          </w:p>
        </w:tc>
      </w:tr>
      <w:tr>
        <w:tc>
          <w:tcPr>
            <w:tcW w:type="dxa" w:w="283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经营活动现金流净额（亿元）</w:t>
            </w:r>
          </w:p>
        </w:tc>
        <w:tc>
          <w:tcPr>
            <w:tcW w:type="dxa" w:w="204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-4.14</w:t>
            </w:r>
          </w:p>
        </w:tc>
        <w:tc>
          <w:tcPr>
            <w:tcW w:type="dxa" w:w="204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5.82</w:t>
            </w:r>
          </w:p>
        </w:tc>
        <w:tc>
          <w:tcPr>
            <w:tcW w:type="dxa" w:w="204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15.17</w:t>
            </w:r>
          </w:p>
        </w:tc>
      </w:tr>
    </w:tbl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（二）盈利分析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创新新材2022—2024年营业收入由693.19亿元增至809.42亿元，三年复合增长约10.85%；归母净利润在9.58—10.90亿元区间波动（2023年略降、2024年回升至10.10亿元，同比+5.48%）。毛利率稳定在3.2%—3.4%的铝加工行业典型水平。整体盈利稳健，规模增长为主要驱动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（三）资产质量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总资产由2022年169.08亿元增至2024年261.16亿元（同比+31.14%），主要因产能扩建与存货、应收增长；2024年末存货账面价值35.93亿元（占净资产33.31%），资产以铝加工产线设备、存货、应收账款为主，质量总体良好。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（四）负债与偿债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资产负债率2022年53.07%、2023年48.40%、2024年58.15%，负债水平适中；2024年有息负债约106.97亿元，流动比率1.26、速动比率0.98，短期偿债能力尚可。负债增长与扩产投资及应付票据账款增加相关。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（五）现金流分析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经营活动现金流净额2022年-4.14亿元（存货与应收占用）、2023年5.82亿元、2024年15.17亿元（同比+160.47%），现金流逐年改善，反映应收账款与库存精细化管理成效。投资活动现金流持续净流出（扩产），筹资活动依赖银行借款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（六）关键指标横向对标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创新新材以809亿元营收、全球第一棒材产能位居A股铝加工龙头，规模领先明泰铝业、南山铝业等同业；毛利率（约3.4%）低于高端铝加工企业，体现其以规模与棒材为主的大宗加工定位。</w:t>
      </w:r>
    </w:p>
    <w:p>
      <w:pPr>
        <w:spacing w:lineRule="exact" w:line="600" w:before="120" w:after="120"/>
        <w:ind w:firstLine="420"/>
        <w:jc w:val="left"/>
      </w:pPr>
      <w:r>
        <w:rPr>
          <w:rFonts w:ascii="黑体" w:hAnsi="黑体" w:eastAsia="黑体"/>
          <w:b w:val="0"/>
          <w:color w:val="000000"/>
          <w:sz w:val="32"/>
        </w:rPr>
        <w:t>四、公司治理、管理与人力资源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（一）治理结构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作为上市公司创新新材全资子公司，公司治理纳入上市母体规范体系，设法定代表人（吴胜利）、总经理（陈明辉）及管理层；母公司建立董事会、监事会与独立董事制度，治理规范透明。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（二）管理层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创新金属法定代表人吴胜利，总经理陈明辉（2025年工商变更）；母公司创新新材实际控制人为崔立新（创新集团董事长，第十四届全国人大代表），核心管理团队产业经验深厚。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（三）组织与内控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公司通过ISO等质量与环境体系认证，建立研发、质量与内控流程；作为上市公司资产，接受审计与监管，内控规范性强。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（四）人力资源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公司员工1万余人，技术与管理人才储备充足；依托母公司研发投入（2024年2.96亿元）与产学研合作，研发与技工队伍在集群内领先。</w:t>
      </w:r>
    </w:p>
    <w:p>
      <w:pPr>
        <w:spacing w:lineRule="exact" w:line="600" w:before="120" w:after="120"/>
        <w:ind w:firstLine="420"/>
        <w:jc w:val="left"/>
      </w:pPr>
      <w:r>
        <w:rPr>
          <w:rFonts w:ascii="黑体" w:hAnsi="黑体" w:eastAsia="黑体"/>
          <w:b w:val="0"/>
          <w:color w:val="000000"/>
          <w:sz w:val="32"/>
        </w:rPr>
        <w:t>五、核心竞争力（护城河）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一是规模与全球第一地位：综合产能500万吨+、高端铝合金棒材产销量全球第一。二是产业集群配套：地处邹平铝产业集群，享"铝水直供"成本与物流优势。三是客户与认证：服务汽车、3C电子头部客户，国家级绿色工厂、制造业单项冠军背书。四是资本与研发：上市公司平台融资能力强，研发投入持续。五是产业链协同：与魏桥等上游电解铝企业形成紧密配套。</w:t>
      </w:r>
    </w:p>
    <w:p>
      <w:pPr>
        <w:spacing w:lineRule="exact" w:line="600" w:before="120" w:after="120"/>
        <w:ind w:firstLine="420"/>
        <w:jc w:val="left"/>
      </w:pPr>
      <w:r>
        <w:rPr>
          <w:rFonts w:ascii="黑体" w:hAnsi="黑体" w:eastAsia="黑体"/>
          <w:b w:val="0"/>
          <w:color w:val="000000"/>
          <w:sz w:val="32"/>
        </w:rPr>
        <w:t>六、风险分析（重点）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一是加工费与铝价波动风险：铝加工属低毛利（约3.4%）大宗加工，加工费与铝价波动直接挤压利润。二是客户集中与回款风险：大客户依赖及应收规模上升（2024年经营现金流改善但应收仍大）。三是产能扩张与折旧风险：500万吨+产能扩建带来折旧与产能利用率压力。四是环保与能耗风险：铝加工能耗与排放监管趋严。五是行业竞争风险：铝加工产能过剩、同质化竞争。应对措施：产品高端化（汽车/电子铝材）、提升附加值、强化客户结构与应收账款管理。</w:t>
      </w:r>
    </w:p>
    <w:p>
      <w:pPr>
        <w:spacing w:lineRule="exact" w:line="600" w:before="120" w:after="120"/>
        <w:ind w:firstLine="420"/>
        <w:jc w:val="left"/>
      </w:pPr>
      <w:r>
        <w:rPr>
          <w:rFonts w:ascii="黑体" w:hAnsi="黑体" w:eastAsia="黑体"/>
          <w:b w:val="0"/>
          <w:color w:val="000000"/>
          <w:sz w:val="32"/>
        </w:rPr>
        <w:t>七、融资需求（与山东投资协同）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可探讨：一是供应链金融，针对铝水/铝锭采购与铝材销售提供应收账款保理、订单融资；二是融资租赁，支持高端挤压、轧制及智能化产线升级；三是商业保理，盘活下游应收；四是小额贷款，满足中小配套企业周转。公司作为A股上市资产、规模龙头，信用优良，适合开展产业金融合作，授信前需核实真实产销、存货与环保合规。</w:t>
      </w:r>
    </w:p>
    <w:p>
      <w:pPr>
        <w:spacing w:lineRule="exact" w:line="600" w:before="120" w:after="120"/>
        <w:ind w:firstLine="420"/>
        <w:jc w:val="left"/>
      </w:pPr>
      <w:r>
        <w:rPr>
          <w:rFonts w:ascii="黑体" w:hAnsi="黑体" w:eastAsia="黑体"/>
          <w:b w:val="0"/>
          <w:color w:val="000000"/>
          <w:sz w:val="32"/>
        </w:rPr>
        <w:t>八、综合评价、发展展望与建议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综合来看，山东创新金属科技有限公司是邹平轻量化铝集群规模最大、全球棒材产能第一的铝加工龙头，背靠A股上市平台、规模与集群配套优势突出，但毛利率偏低、加工费波动敏感。未来应聚焦：汽车轻量化与3C电子高端铝材放量、产品附加值提升、绿色低碳与智能化改造。挑战在于行业周期与同质化竞争。建议借助产业金融与集群协同实现高端化跃升，并持续规范财务披露。</w:t>
      </w:r>
    </w:p>
    <w:p>
      <w:pPr>
        <w:spacing w:lineRule="exact" w:line="600" w:before="120" w:after="120"/>
        <w:ind w:firstLine="420"/>
        <w:jc w:val="left"/>
      </w:pPr>
      <w:r>
        <w:rPr>
          <w:rFonts w:ascii="黑体" w:hAnsi="黑体" w:eastAsia="黑体"/>
          <w:b w:val="0"/>
          <w:color w:val="000000"/>
          <w:sz w:val="32"/>
        </w:rPr>
        <w:t>数据来源说明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本报告数据来源于：国家企业信用信息公示系统、天眼查、爱企查、上市公司创新新材料科技股份有限公司（600361.SH）2022年、2023年、2024年年度报告（信永中和会计师事务所审计）及公司官网等公开渠道，统计时点截至2025年公开信息。财务报表采用创新新材合并口径经审计数据，创新金属为其全资子公司，母子关系已在文中明确。</w:t>
      </w:r>
    </w:p>
    <w:sectPr w:rsidR="00FC693F" w:rsidRPr="0006063C" w:rsidSect="00034616">
      <w:footerReference w:type="default" r:id="rId9"/>
      <w:pgSz w:w="11906" w:h="16838"/>
      <w:pgMar w:top="2098" w:right="1474" w:bottom="1984" w:left="158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spacing w:lineRule="exact" w:line="600"/>
      <w:ind w:firstLine="0"/>
      <w:jc w:val="center"/>
    </w:pPr>
    <w:r>
      <w:rPr>
        <w:rFonts w:ascii="宋体" w:hAnsi="宋体" w:eastAsia="宋体"/>
        <w:b w:val="0"/>
        <w:color w:val="000000"/>
        <w:sz w:val="28"/>
      </w:rPr>
      <w:t xml:space="preserve">— </w:t>
    </w:r>
    <w:r>
      <w:rPr>
        <w:rFonts w:ascii="Times New Roman" w:hAnsi="Times New Roman" w:eastAsia="Times New Roman"/>
        <w:b w:val="0"/>
        <w:color w:val="000000"/>
        <w:sz w:val="28"/>
      </w:rPr>
      <w:fldChar w:fldCharType="begin"/>
      <w:instrText xml:space="preserve">PAGE</w:instrText>
      <w:fldChar w:fldCharType="end"/>
    </w:r>
    <w:r>
      <w:rPr>
        <w:rFonts w:ascii="宋体" w:hAnsi="宋体" w:eastAsia="宋体"/>
        <w:b w:val="0"/>
        <w:color w:val="000000"/>
        <w:sz w:val="28"/>
      </w:rPr>
      <w:t xml:space="preserve"> —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