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邹平市轻量化铝特色产业集群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山东裕航特种合金装备有限公司企业分析报告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山东裕航特种合金装备有限公司官网（yuhangalloy.com）、山东财经报道（2025-05-26）、台州日报（2024）及公开工商信息等渠道，统计时点截至2025年公开信息。该公司为非上市企业（山东三星集团控股子公司），经审计财务数据未公开披露；文中"年销售额30亿元以上"为公开媒体报道口径，非经审计数据，已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裕航特种合金装备有限公司（以下简称"裕航合金"或"公司"）始建于2011年8月，法定代表人李前进；注册资本71,403.5862万元（已实缴）；注册地址位于山东省滨州市邹平市韩店镇工业园区。公司所属行业为有色金属压延加工（高端铝合金工业型材），经营范围涵盖铝合金工业型材、精密加工件及新能源汽车零部件的研发、生产与销售。公司登记状态为存续，系增值税一般纳税人，被认定为山东省专精特新企业、山东省制造业单项冠军产品企业、山东省高端品牌培育企业，并入选"中国工业铝型材企业二十强"。</w:t>
      </w:r>
    </w:p>
    <w:p>
      <w:pPr>
        <w:spacing w:lineRule="exact" w:line="600" w:before="0" w:after="0"/>
        <w:ind w:firstLine="420"/>
        <w:jc w:val="both"/>
      </w:pPr>
      <w:r>
        <w:rPr>
          <w:rFonts w:ascii="仿宋_GB2312" w:hAnsi="仿宋_GB2312" w:eastAsia="仿宋_GB2312"/>
          <w:b w:val="0"/>
          <w:color w:val="000000"/>
          <w:sz w:val="32"/>
        </w:rPr>
        <w:t>股权结构方面，山东三星集团有限公司为控股股东（2025年5月工商变更后持股74.51%，认缴出资额增至53,200万元）；中国农发重点建设基金有限公司持股5.46%；另引入山东省新动能基金管理公司、山东省财金资本管理有限公司、浙江省产业基金有限公司、中国航天科工集团有限公司、济南科技产业有限公司等国资背景基金参股。山东三星集团由王明峰、王明星、王明亮控制，为公司实际控制人。公司含一定比例的国有产业基金股权，具混改属性。</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山东三星集团旗下专业铝型材子公司，对外投资包括浙江裕航精密科技有限公司、山东裕航金属材料有限公司、重庆裕航铝业有限公司、山东裕航国际贸易有限公司、上海聚援贸易有限公司、山东铝谷大宗商品交易中心有限公司等。内部设研发技术中心（71人）、销售部（国贸部、军工部等）、生产、供应、质检等部门，下辖熔铸、挤压、精加工等车间。</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2011年8月成立，由山东三星机械制造有限公司下属全资公司起步，历经一期（年产5万吨）、二期、三期建设，发展成为具备年产15万吨熔铸、14条挤压生产线、铝合金工业型材10万吨+及深加工1万吨能力的高端铝材企业。2023—2024年完成多轮增资扩股，引入山东省新动能、航天科工、浙江省产业基金等国资基金；2024年完成B++轮融资；2025年5月三星集团增持至74.51%。公司持续向新能源汽车、航空航天等高端领域拓展。</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超大高端铝型材领导者"，是邹平市轻量化铝集群高端工业型材骨干。主营业务为各类铝合金工业型材（轨道交通、航空航天、汽车、电力设备、集装箱、舰船等）及新能源汽车零部件（电池托盘等）的研发、生产与精密加工，产品面向高端装备与交通运输领域。</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公司业务以高端铝合金工业型材（挤压材）及深加工件为核心，重点布局轨道交通、航空航天、新能源汽车、电力设备四大方向。据公开报道，公司年销售额30亿元以上（非审计口径），制造业收入构成主体。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轨道交通型材（导电轨、车厢体型材）、航空航天型材（7055铝合金板材，应用于大型客机）、新能源汽车电池托盘及结构件、电力设备型材、集装箱/舰船/建筑模板型材、无缝铝管及高强锻打棒材等大型复杂断面精密挤压型材。精加工车间采用全自动FSW（搅拌摩擦焊）电池托盘生产线。</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轨道交通、航空航天（2018年成为中国航天事业合作伙伴）、新能源汽车（与比亚迪等达成长期稳定合作）、电力设备等行业头部企业。前五大客户名称未公开披露，但凭借资质与技术壁垒，客户黏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主要采购铝水、铝锭及合金原料，依托邹平铝产业集群配套；进口高端合金料与设备备件。铝价波动为主要成本变量。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备年产15万吨熔铸车间、14条挤压生产线（10MN—125MN，其中125MN为国内仅有的超万吨挤压机之一）、铝合金工业型材10万吨+及深加工1万吨能力；拥有8组世界先进自动熔铸炉。资质方面，先后通过IRIS国际铁路行业标准、AS9100D航空航天质量体系、GJB9001B国军标、TS国际汽车质量体系及挪威/美国/中国/英国/法国船级社认证，是航空航天领域资质最全的企业之一；持有专利约115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公司设国贸部开展出口，军工部服务航天军工客户，销售一部/二部/三部覆盖国内细分市场；与国内外知名企业战略合作，渠道专业分行业布局。</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据公开报道，公司年销售额30亿元以上（非审计口径）；轨道交通导电轨国内市场占有率达60%以上，新能源汽车电池托盘与比亚迪等稳定合作。具体产量、销量及细分市场份额缺少经审计公开数据。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裕航特种合金装备有限公司为非上市企业（山东三星集团控股，含国资基金参股），未公开披露经审计财务报告，近三年主要会计数据无法通过公开渠道获取。本节基于工商及公开报道作定性分析；"年销售额30亿元以上"为媒体报道口径，非审计数据。</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041"/>
          </w:tcPr>
          <w:p>
            <w:pPr>
              <w:spacing w:lineRule="exact" w:line="600"/>
              <w:jc w:val="center"/>
            </w:pPr>
            <w:r/>
            <w:r>
              <w:rPr>
                <w:rFonts w:ascii="黑体" w:hAnsi="黑体" w:eastAsia="黑体"/>
                <w:b/>
                <w:color w:val="000000"/>
                <w:sz w:val="32"/>
              </w:rPr>
              <w:t>2022年</w:t>
            </w:r>
          </w:p>
        </w:tc>
        <w:tc>
          <w:tcPr>
            <w:tcW w:type="dxa" w:w="2041"/>
          </w:tcPr>
          <w:p>
            <w:pPr>
              <w:spacing w:lineRule="exact" w:line="600"/>
              <w:jc w:val="center"/>
            </w:pPr>
            <w:r/>
            <w:r>
              <w:rPr>
                <w:rFonts w:ascii="黑体" w:hAnsi="黑体" w:eastAsia="黑体"/>
                <w:b/>
                <w:color w:val="000000"/>
                <w:sz w:val="32"/>
              </w:rPr>
              <w:t>2023年</w:t>
            </w:r>
          </w:p>
        </w:tc>
        <w:tc>
          <w:tcPr>
            <w:tcW w:type="dxa" w:w="2041"/>
          </w:tcPr>
          <w:p>
            <w:pPr>
              <w:spacing w:lineRule="exact" w:line="600"/>
              <w:jc w:val="center"/>
            </w:pPr>
            <w:r/>
            <w:r>
              <w:rPr>
                <w:rFonts w:ascii="黑体" w:hAnsi="黑体" w:eastAsia="黑体"/>
                <w:b/>
                <w:color w:val="000000"/>
                <w:sz w:val="32"/>
              </w:rPr>
              <w:t>2024年</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未公开披露（媒体报道年销售额30亿+，非审计）</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毛利率</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经营活动现金流（亿元）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缺乏公开经审计财务数据，无法计算盈利指标。公司年销售额30亿元以上（媒体报道口径）、产品高端化（导电轨市占率60%+、航天航空资质），盈利能力应优于普通加工企业，但具体盈利规模未公开。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公司注册资本7.14亿元（全额实缴），固定资产约9亿元（早期报道），资产以挤压产线设备（含125MN挤压机）、熔铸炉、厂房（占地约26.88万平方米）及应收账款为主，资产规模较大。具体数据未公开披露。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资产负债率及有息债务规模未公开披露。公司含中国农发基金等国资参股，融资结构应较优；偿债情况缺少公开数据。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经营活动现金流净额未公开披露。制造业现金流受收付款周期影响，具体数据缺失。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可比经审计财务数据缺失。公司与创新金属、魏桥同处邹平铝集群，定位高端工业型材（轨道交通、航天、汽车），差异化竞争，规模小于创新金属但技术壁垒更高。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公司为山东三星集团控股的有限责任公司，设法定代表人（李前进）及管理层；引入山东省新动能、航天科工、浙江省产业基金等国资基金参股，治理具混合所有制特征，结构相对规范。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李前进任法定代表人；实际控制人为山东三星集团王明峰、王明星、王明亮。核心管理团队深耕铝加工产业，主导高端化与新能源转型。</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公司通过IRIS/AS9100D/GJB9001B/TS/船级社等国际与国军标体系认证，建立完善的研发（71人技术中心，含教授级顾问、硕士高工）与质量管控体系，内控水平行业领先。</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公司组建71人研发技术中心（教授级顾问1人、硕士高工5人、副高15人、工程师46人，本科以上占90%），技术与技工人才储备在高端型材领域突出。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装备壁垒：14条挤压线含125MN超万吨挤压机（国内稀有），可生产超大高端断面型材。二是资质壁垒：IRIS/AS9100D/GJB9001B/TS/多国船级社全资质，航空航天领域资质最全。三是技术领先：专利115项，7055铝合金应用于大飞机，导电轨市占率60%+。四是客户壁垒：航天事业合作伙伴、比亚迪等长期合作。五是混改背书：国资基金（新动能、航天科工、浙江产业基金）参股，信用与资源加持。六是集群配套：邹平铝产业集群铝水直供优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铝价波动与下游轨交、汽车、航天投资节奏影响需求与利润。二是客户与回款风险：大客户（航天、汽车）账期与回款风险。三是技术迭代与产能风险：高端产线投资大、产能利用率波动。四是财务透明度风险：非上市、经审计财务未公开，尽调难度较高。五是股权变动风险：2025年三星集团增持、农发基金减持，需关注后续股权稳定。应对措施：深耕高壁垒细分（航天、轨交）、强化客户多元、规范财务披露。</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铝水/铝锭采购与型材销售提供应收账款保理、订单融资；二是融资租赁，支持125MN等高端挤压线及新能源电池托盘产线升级；三是商业保理，盘活下游应收；四是小额贷款，满足周转资金。公司含国资基金参股、资质齐全、技术壁垒高，适合产业金融与股权类合作，授信前需尽职调查，重点核实真实产销、航天/汽车订单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裕航特种合金装备有限公司是邹平轻量化铝集群中技术壁垒最高的高端工业型材"隐形冠军"，125MN超万吨挤压机、全资质体系与航天/轨交/汽车客户构筑深厚护城河，但规模中等、财务透明度低。未来应聚焦：新能源汽车零部件（台州基地投资10亿元、达产年收入20亿元）放量、航空航天与轨交高端型材深耕、规范财务与股权治理。挑战在于行业周期与财务披露。建议借助国资基金协同与产业金融实现高端化跃升。</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爱企查、山东裕航特种合金装备有限公司官网（yuhangalloy.com）、山东财经报道（2025-05-26"三星集团增持裕航合金"）、台州日报（2024年浙江裕航精密科技台州基地报道）及公开工商信息等渠道，统计时点截至2025年公开信息。经审计财务数据未公开披露；"年销售额30亿元以上""固定资产9亿元"等为公开媒体报道口径，已注明非审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