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邹平市轻量化铝特色产业集群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山东魏桥创业集团有限公司企业分析报告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财富中文网《财富》世界500强榜单、大众日报、滨州日报/滨州网、魏桥创业集团官网（weiqiaocy.com）等公开渠道，统计时点截至2025年公开信息。山东魏桥创业集团有限公司为大型民营集团（非上市），其下属铝业板块由香港上市公司中国宏桥集团有限公司（HK.1378）承载，集团层面经审计合并财务报表未公开披露；本报告所涉销售收入、利润等规模数据均为公开报道口径，已在文中注明，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魏桥创业集团有限公司（以下简称"魏桥创业"或"集团"）前身为1951年成立的邹平县第五油棉厂，历经沿革发展成为特大型民营制造企业集团。集团注册地位于山东省滨州市邹平市，法定代表人、董事长为张波。集团以"纺织+铝业"双主业布局，旗下纺织板块主体为魏桥纺织（HK.2698，已私有化），铝业板块主体为中国宏桥集团有限公司（HK.1378，香港上市）。集团登记状态为存续，系山东省第一大民营企业、连续多年位居中国民营企业500强前列（2025年中国民营企业500强第10位）。</w:t>
      </w:r>
    </w:p>
    <w:p>
      <w:pPr>
        <w:spacing w:lineRule="exact" w:line="600" w:before="0" w:after="0"/>
        <w:ind w:firstLine="420"/>
        <w:jc w:val="both"/>
      </w:pPr>
      <w:r>
        <w:rPr>
          <w:rFonts w:ascii="仿宋_GB2312" w:hAnsi="仿宋_GB2312" w:eastAsia="仿宋_GB2312"/>
          <w:b w:val="0"/>
          <w:color w:val="000000"/>
          <w:sz w:val="32"/>
        </w:rPr>
        <w:t>股权结构方面，集团为张士平家族控制的民营家族企业。创始人张士平（2019年逝世）将企业交接于其子张波（现任董事长）、其女张红霞（现任党委书记、总经理）等家族二代成员。集团无国有控股股东，系典型的民营控股大型企业集团，由张氏家族实际控制的山东魏桥创业集团有限公司为核心运营主体。</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实行集团化管控，下设纺织、铝业两大产业板块及多家专业化子公司，拥有国内外18个生产基地，员工约10万人（2025年《财富》世界500强披露员工数103,046人）。集团设董事会、党委会，并建有完善的党群组织（全国先进基层党组织）；管理层以张波（董事长）、张红霞（党委书记、总经理）为核心。集团业务横跨山东（滨州、邹平）、云南（绿色铝产能转移）及海外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集团历史沿革可概括为：1951年起步于邹平油棉加工厂；1981年进入棉纺行业；2001年依托自备电优势进军电解铝，成立中国宏桥；2011年中国宏桥香港上市；2014年超越俄铝成为全球最大电解铝生产商；2012年首次跻身《财富》世界500强，此后连续13—14年上榜（2025年第166位）。四十余年间从百人小厂成长为总资产超3000亿元、销售收入近6000亿元的特大型企业集团，被誉为"世界铝王"与全球最大棉纺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集团定位为具有全球竞争力的棉纺织企业与铝业生产企业，是山东省轻量化铝（铝基新材料）产业链"链主"企业。主营业务涵盖：（1）纺织板块——棉纺、印染、服装家纺全产业链；（2）铝业板块——"采矿—氧化铝—原铝—铝精深加工—再生铝"完整闭环产业链，并向汽车轻量化、新能源领域延伸，建设有国内最大全流程汽车轻量化研发制造基地及世界领先的铝基轻量化研发中心。集团是全球唯一同时具备铝全产业链、整车制造与回收再利用能力的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集团业务分为纺织与铝业两大板块，铝业已成为核心增长引擎。公开报道显示集团2024年销售收入5585亿元，其中铝业（电解铝、氧化铝、铝加工及轻量化）贡献主体收入。集团铝电一体化模式（自备电厂+电解铝）构筑显著成本优势。</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棉纱、坯布、印染布、服装家纺（纺织板块）；氧化铝、原铝（电解铝）、铝板带箔、铝挤压材、汽车轻量化铝部件、再生铝（铝业板块）。近年来重点发展新能源汽车轻量化铝合金材料、3C电子铝材、航空航天铝材等高附加值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铝业板块客户覆盖苹果（公开报道称其手机框约90%铝材来自魏桥）、比亚迪等20余家知名车企及电子企业；轻量化基地已切入新能源汽车整车与零部件供应链。纺织板块客户为全球服装与家纺品牌及贸易商。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铝业上游采购铝土矿、氧化铝原料及电力（自备电为主，并向水电、绿电转型）；纺织上游采购棉花等。集团依托云南水电资源推进绿色铝产能转移，大力发展光伏、渔光互补等绿电，实现"绿电生产绿色铝"。原材料与能源价格波动为主要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集团铝业具备完整产业链与全球领先产能：电解铝产能全球第一（2014年至今），氧化铝、铝加工产能规模庞大；拥有18个生产基地、国内外布局；累计专利2800余项、19项技术达国际领先水平；建有魏桥国科研究院、滨州铝产业先进制造山东省实验室（山东省首家由民企承建的省级实验室）。集团三次获评电解铝行业能效"领跑者"，电解铝吨铝能耗与排放处全球最低水平。</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集团以"铝电一体化+产业集群"模式运营，铝产品依托长期合作的汽车、电子、包装客户直销，并随新能源汽车轻量化趋势拓展整车与零部件客户；纺织产品以出口与品牌代工结合。海外市场通过中国宏桥等上市平台对接国际资本与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集团2022年销售收入5040亿元、2023年5202亿元、2024年5585亿元、2025年达5915亿元，连续创历史新高。在电解铝领域为全球最大生产商，在棉纺领域为全球最大棉纺企业，稳居《财富》世界500强（2025年第166位）。具体细分产品市场份额缺少公开第三方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魏桥创业集团有限公司为民营集团，集团层面经审计合并财务报表未公开披露；其铝业板块经营主体中国宏桥（HK.1378）为香港上市公司，披露独立审计财报。本节基于公开报道与《财富》世界500强披露数据作规模与趋势分析，相关数字均为公开报道口径，非集团审计合并数。</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2022年</w:t>
            </w:r>
          </w:p>
        </w:tc>
        <w:tc>
          <w:tcPr>
            <w:tcW w:type="dxa" w:w="2098"/>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r>
      <w:tr>
        <w:tc>
          <w:tcPr>
            <w:tcW w:type="dxa" w:w="2608"/>
          </w:tcPr>
          <w:p>
            <w:pPr>
              <w:spacing w:lineRule="exact" w:line="600"/>
              <w:jc w:val="center"/>
            </w:pPr>
            <w:r/>
            <w:r>
              <w:rPr>
                <w:rFonts w:ascii="仿宋_GB2312" w:hAnsi="仿宋_GB2312" w:eastAsia="仿宋_GB2312"/>
                <w:b w:val="0"/>
                <w:color w:val="000000"/>
                <w:sz w:val="32"/>
              </w:rPr>
              <w:t>营业收入（亿元）</w:t>
            </w:r>
          </w:p>
        </w:tc>
        <w:tc>
          <w:tcPr>
            <w:tcW w:type="dxa" w:w="2098"/>
          </w:tcPr>
          <w:p>
            <w:pPr>
              <w:spacing w:lineRule="exact" w:line="600"/>
              <w:jc w:val="center"/>
            </w:pPr>
            <w:r/>
            <w:r>
              <w:rPr>
                <w:rFonts w:ascii="仿宋_GB2312" w:hAnsi="仿宋_GB2312" w:eastAsia="仿宋_GB2312"/>
                <w:b w:val="0"/>
                <w:color w:val="000000"/>
                <w:sz w:val="32"/>
              </w:rPr>
              <w:t>5040（公开报道）</w:t>
            </w:r>
          </w:p>
        </w:tc>
        <w:tc>
          <w:tcPr>
            <w:tcW w:type="dxa" w:w="2098"/>
          </w:tcPr>
          <w:p>
            <w:pPr>
              <w:spacing w:lineRule="exact" w:line="600"/>
              <w:jc w:val="center"/>
            </w:pPr>
            <w:r/>
            <w:r>
              <w:rPr>
                <w:rFonts w:ascii="仿宋_GB2312" w:hAnsi="仿宋_GB2312" w:eastAsia="仿宋_GB2312"/>
                <w:b w:val="0"/>
                <w:color w:val="000000"/>
                <w:sz w:val="32"/>
              </w:rPr>
              <w:t>5202（公开报道）</w:t>
            </w:r>
          </w:p>
        </w:tc>
        <w:tc>
          <w:tcPr>
            <w:tcW w:type="dxa" w:w="2268"/>
          </w:tcPr>
          <w:p>
            <w:pPr>
              <w:spacing w:lineRule="exact" w:line="600"/>
              <w:jc w:val="center"/>
            </w:pPr>
            <w:r/>
            <w:r>
              <w:rPr>
                <w:rFonts w:ascii="仿宋_GB2312" w:hAnsi="仿宋_GB2312" w:eastAsia="仿宋_GB2312"/>
                <w:b w:val="0"/>
                <w:color w:val="000000"/>
                <w:sz w:val="32"/>
              </w:rPr>
              <w:t>5585（公开报道）</w:t>
            </w:r>
          </w:p>
        </w:tc>
      </w:tr>
      <w:tr>
        <w:tc>
          <w:tcPr>
            <w:tcW w:type="dxa" w:w="2608"/>
          </w:tcPr>
          <w:p>
            <w:pPr>
              <w:spacing w:lineRule="exact" w:line="600"/>
              <w:jc w:val="center"/>
            </w:pPr>
            <w:r/>
            <w:r>
              <w:rPr>
                <w:rFonts w:ascii="仿宋_GB2312" w:hAnsi="仿宋_GB2312" w:eastAsia="仿宋_GB2312"/>
                <w:b w:val="0"/>
                <w:color w:val="000000"/>
                <w:sz w:val="32"/>
              </w:rPr>
              <w:t>利润总额（亿元）</w:t>
            </w:r>
          </w:p>
        </w:tc>
        <w:tc>
          <w:tcPr>
            <w:tcW w:type="dxa" w:w="2098"/>
          </w:tcPr>
          <w:p>
            <w:pPr>
              <w:spacing w:lineRule="exact" w:line="600"/>
              <w:jc w:val="center"/>
            </w:pPr>
            <w:r/>
            <w:r>
              <w:rPr>
                <w:rFonts w:ascii="仿宋_GB2312" w:hAnsi="仿宋_GB2312" w:eastAsia="仿宋_GB2312"/>
                <w:b w:val="0"/>
                <w:color w:val="000000"/>
                <w:sz w:val="32"/>
              </w:rPr>
              <w:t>未公开披露</w:t>
            </w:r>
          </w:p>
        </w:tc>
        <w:tc>
          <w:tcPr>
            <w:tcW w:type="dxa" w:w="209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323（公开报道）</w:t>
            </w:r>
          </w:p>
        </w:tc>
      </w:tr>
      <w:tr>
        <w:tc>
          <w:tcPr>
            <w:tcW w:type="dxa" w:w="2608"/>
          </w:tcPr>
          <w:p>
            <w:pPr>
              <w:spacing w:lineRule="exact" w:line="600"/>
              <w:jc w:val="center"/>
            </w:pPr>
            <w:r/>
            <w:r>
              <w:rPr>
                <w:rFonts w:ascii="仿宋_GB2312" w:hAnsi="仿宋_GB2312" w:eastAsia="仿宋_GB2312"/>
                <w:b w:val="0"/>
                <w:color w:val="000000"/>
                <w:sz w:val="32"/>
              </w:rPr>
              <w:t>税金（亿元）</w:t>
            </w:r>
          </w:p>
        </w:tc>
        <w:tc>
          <w:tcPr>
            <w:tcW w:type="dxa" w:w="2098"/>
          </w:tcPr>
          <w:p>
            <w:pPr>
              <w:spacing w:lineRule="exact" w:line="600"/>
              <w:jc w:val="center"/>
            </w:pPr>
            <w:r/>
            <w:r>
              <w:rPr>
                <w:rFonts w:ascii="仿宋_GB2312" w:hAnsi="仿宋_GB2312" w:eastAsia="仿宋_GB2312"/>
                <w:b w:val="0"/>
                <w:color w:val="000000"/>
                <w:sz w:val="32"/>
              </w:rPr>
              <w:t>未单独披露</w:t>
            </w:r>
          </w:p>
        </w:tc>
        <w:tc>
          <w:tcPr>
            <w:tcW w:type="dxa" w:w="2098"/>
          </w:tcPr>
          <w:p>
            <w:pPr>
              <w:spacing w:lineRule="exact" w:line="600"/>
              <w:jc w:val="center"/>
            </w:pPr>
            <w:r/>
            <w:r>
              <w:rPr>
                <w:rFonts w:ascii="仿宋_GB2312" w:hAnsi="仿宋_GB2312" w:eastAsia="仿宋_GB2312"/>
                <w:b w:val="0"/>
                <w:color w:val="000000"/>
                <w:sz w:val="32"/>
              </w:rPr>
              <w:t>未单独披露</w:t>
            </w:r>
          </w:p>
        </w:tc>
        <w:tc>
          <w:tcPr>
            <w:tcW w:type="dxa" w:w="2268"/>
          </w:tcPr>
          <w:p>
            <w:pPr>
              <w:spacing w:lineRule="exact" w:line="600"/>
              <w:jc w:val="center"/>
            </w:pPr>
            <w:r/>
            <w:r>
              <w:rPr>
                <w:rFonts w:ascii="仿宋_GB2312" w:hAnsi="仿宋_GB2312" w:eastAsia="仿宋_GB2312"/>
                <w:b w:val="0"/>
                <w:color w:val="000000"/>
                <w:sz w:val="32"/>
              </w:rPr>
              <w:t>177（公开报道）</w:t>
            </w:r>
          </w:p>
        </w:tc>
      </w:tr>
      <w:tr>
        <w:tc>
          <w:tcPr>
            <w:tcW w:type="dxa" w:w="2608"/>
          </w:tcPr>
          <w:p>
            <w:pPr>
              <w:spacing w:lineRule="exact" w:line="600"/>
              <w:jc w:val="center"/>
            </w:pPr>
            <w:r/>
            <w:r>
              <w:rPr>
                <w:rFonts w:ascii="仿宋_GB2312" w:hAnsi="仿宋_GB2312" w:eastAsia="仿宋_GB2312"/>
                <w:b w:val="0"/>
                <w:color w:val="000000"/>
                <w:sz w:val="32"/>
              </w:rPr>
              <w:t>总资产（亿元）</w:t>
            </w:r>
          </w:p>
        </w:tc>
        <w:tc>
          <w:tcPr>
            <w:tcW w:type="dxa" w:w="2098"/>
          </w:tcPr>
          <w:p>
            <w:pPr>
              <w:spacing w:lineRule="exact" w:line="600"/>
              <w:jc w:val="center"/>
            </w:pPr>
            <w:r/>
            <w:r>
              <w:rPr>
                <w:rFonts w:ascii="仿宋_GB2312" w:hAnsi="仿宋_GB2312" w:eastAsia="仿宋_GB2312"/>
                <w:b w:val="0"/>
                <w:color w:val="000000"/>
                <w:sz w:val="32"/>
              </w:rPr>
              <w:t>约2800（公开报道）</w:t>
            </w:r>
          </w:p>
        </w:tc>
        <w:tc>
          <w:tcPr>
            <w:tcW w:type="dxa" w:w="2098"/>
          </w:tcPr>
          <w:p>
            <w:pPr>
              <w:spacing w:lineRule="exact" w:line="600"/>
              <w:jc w:val="center"/>
            </w:pPr>
            <w:r/>
            <w:r>
              <w:rPr>
                <w:rFonts w:ascii="仿宋_GB2312" w:hAnsi="仿宋_GB2312" w:eastAsia="仿宋_GB2312"/>
                <w:b w:val="0"/>
                <w:color w:val="000000"/>
                <w:sz w:val="32"/>
              </w:rPr>
              <w:t>约2800（公开报道）</w:t>
            </w:r>
          </w:p>
        </w:tc>
        <w:tc>
          <w:tcPr>
            <w:tcW w:type="dxa" w:w="2268"/>
          </w:tcPr>
          <w:p>
            <w:pPr>
              <w:spacing w:lineRule="exact" w:line="600"/>
              <w:jc w:val="center"/>
            </w:pPr>
            <w:r/>
            <w:r>
              <w:rPr>
                <w:rFonts w:ascii="仿宋_GB2312" w:hAnsi="仿宋_GB2312" w:eastAsia="仿宋_GB2312"/>
                <w:b w:val="0"/>
                <w:color w:val="000000"/>
                <w:sz w:val="32"/>
              </w:rPr>
              <w:t>约3050（2025年报道）</w:t>
            </w:r>
          </w:p>
        </w:tc>
      </w:tr>
      <w:tr>
        <w:tc>
          <w:tcPr>
            <w:tcW w:type="dxa" w:w="2608"/>
          </w:tcPr>
          <w:p>
            <w:pPr>
              <w:spacing w:lineRule="exact" w:line="600"/>
              <w:jc w:val="center"/>
            </w:pPr>
            <w:r/>
            <w:r>
              <w:rPr>
                <w:rFonts w:ascii="仿宋_GB2312" w:hAnsi="仿宋_GB2312" w:eastAsia="仿宋_GB2312"/>
                <w:b w:val="0"/>
                <w:color w:val="000000"/>
                <w:sz w:val="32"/>
              </w:rPr>
              <w:t>世界500强排名</w:t>
            </w:r>
          </w:p>
        </w:tc>
        <w:tc>
          <w:tcPr>
            <w:tcW w:type="dxa" w:w="2098"/>
          </w:tcPr>
          <w:p>
            <w:pPr>
              <w:spacing w:lineRule="exact" w:line="600"/>
              <w:jc w:val="center"/>
            </w:pPr>
            <w:r/>
            <w:r>
              <w:rPr>
                <w:rFonts w:ascii="仿宋_GB2312" w:hAnsi="仿宋_GB2312" w:eastAsia="仿宋_GB2312"/>
                <w:b w:val="0"/>
                <w:color w:val="000000"/>
                <w:sz w:val="32"/>
              </w:rPr>
              <w:t>第172位</w:t>
            </w:r>
          </w:p>
        </w:tc>
        <w:tc>
          <w:tcPr>
            <w:tcW w:type="dxa" w:w="2098"/>
          </w:tcPr>
          <w:p>
            <w:pPr>
              <w:spacing w:lineRule="exact" w:line="600"/>
              <w:jc w:val="center"/>
            </w:pPr>
            <w:r/>
            <w:r>
              <w:rPr>
                <w:rFonts w:ascii="仿宋_GB2312" w:hAnsi="仿宋_GB2312" w:eastAsia="仿宋_GB2312"/>
                <w:b w:val="0"/>
                <w:color w:val="000000"/>
                <w:sz w:val="32"/>
              </w:rPr>
              <w:t>第175位</w:t>
            </w:r>
          </w:p>
        </w:tc>
        <w:tc>
          <w:tcPr>
            <w:tcW w:type="dxa" w:w="2268"/>
          </w:tcPr>
          <w:p>
            <w:pPr>
              <w:spacing w:lineRule="exact" w:line="600"/>
              <w:jc w:val="center"/>
            </w:pPr>
            <w:r/>
            <w:r>
              <w:rPr>
                <w:rFonts w:ascii="仿宋_GB2312" w:hAnsi="仿宋_GB2312" w:eastAsia="仿宋_GB2312"/>
                <w:b w:val="0"/>
                <w:color w:val="000000"/>
                <w:sz w:val="32"/>
              </w:rPr>
              <w:t>第175位（2025年第166位）</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据公开报道，集团2024年实现利润323亿元、缴纳税金177亿元，盈利规模与税收贡献均居山东省民营企业首位。集团凭借铝电一体化成本优势、规模效应及轻量化高附加值产品延伸，盈利能力稳健。具体毛利率、净利率等经审计指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公开报道披露集团总资产约2800—3050亿元，资产以铝业（电解铝产能、氧化铝、铝加工产线）、纺织产能、自备电厂及矿产资源为主，资产规模雄厚。具体资产结构未经审计公开。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集团层面资产负债率及有息债务规模未公开披露。铝业板块（中国宏桥）为上市主体，其财务结构相对透明；集团整体融资以银行信贷、债券及上市平台股权融资为主，偿债能力较强。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集团经营性现金流数据未公开披露。作为重资产制造业，现金流受铝价、产销节奏及资本开支影响，具体数据缺失。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集团以5585亿元（2024）营收稳居山东第一大民营企业，与山东能源集团同列世界500强山东代表；在电解铝领域为全球第一，显著领先信发集团、中国铝业等。财务透明度受非上市集团属性限制，但上市子公司中国宏桥提供铝业板块透明度。</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集团为民营家族控股企业，设董事会、党委会，董事长张波，党委书记/总经理张红霞。集团高度重视党建，获"全国先进基层党组织"等荣誉；作为大型民企，治理逐步规范化、现代化。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张波任董事长，为第十四届全国人大代表，2025年获"优秀中国特色社会主义事业建设者"称号；张红霞任党委书记、总经理，为中共二十大代表。核心管理层兼具实业传承与战略视野，带领集团推进绿色化、高端化、智能化转型。</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集团建立财务共享平台与业财一体化系统、智慧电解未来工厂、氧化铝智慧工厂等数字化管控体系，魏桥国科智算中心已对社会提供算力服务，内控与数字化水平行业领先。党建与合规管理体系健全。</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集团员工约10万人（2025年《财富》披露103,046人），为山东省最大用工企业之一；建有完善的人才培育体系（国家技能人才培育突出贡献单位），并与中国科学院大学等高校共建魏桥国科研究院，集聚高端研发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铝电一体化成本壁垒：自备电力+电解铝闭环，吨铝成本全球领先。二是规模与产业链：全球最大电解铝生产商、最大棉纺企业，铝全产业链+整车制造+回收再利用全球唯一。三是绿色制造：电解铝能效全球最低、绿电绿色铝领先，5家国家级绿色工厂。四是技术与创新：2800+专利、19项国际领先、省级实验室与国科研究院。五是品牌与客户：长期合作苹果、比亚迪等顶级客户，世界品牌500强。六是链主地位：山东轻量化铝产业链"链主"，政策与集群资源加持。</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铝价、棉价及能源价格大幅波动直接影响利润。二是能源与环保政策风险：电解铝为高耗能行业，能耗双控、碳关税及环保政策趋严增加成本与转型压力。三是国际贸易风险：出口及全球客户（如电子、汽车）受地缘政治、关税影响。四是家族治理与传承风险：民营家族控股，传承与治理规范化需持续完善。五是重资产与资本开支风险：绿色产能转移（云南）、轻量化基地等投资规模大，资金占用高。应对措施：加速绿电转型、延伸高附加值轻量化产品、强化数字化与合规治理、优化资本结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铝土矿、氧化铝采购及铝加工销售提供应收账款保理、订单融资；二是融资租赁，支持电解铝未来工厂、轻量化基地及绿色装备升级；三是商业保理，盘活下游应收；四是小额贷款，满足上游中小配套企业周转。集团资本实力雄厚、信用等级高，适合开展大型产业金融与银团合作，授信前需重点核实真实产能、环保合规与还款来源（可借助上市子公司中国宏桥审计数据交叉验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魏桥创业集团有限公司是山东省乃至全球轻量化铝与棉纺双领域的龙头企业，铝电一体化成本壁垒、全球最大电解铝产能、绿色制造与创新驱动构筑深厚护城河，但受非上市集团财务透明度低、行业周期与能源政策约束。未来应聚焦：绿色低碳转型（绿电绿色铝）、汽车轻量化与新能源铝材放量、数字化与高端化升级。挑战在于能耗双控与国际贸易环境。建议借助产业金融与集群"链主"协同，巩固全球竞争优势，并适时提升集团层面财务透明度。</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财富中文网《财富》世界500强榜单（2023/2024/2025）、大众日报（2025-03-07专版）、滨州日报/滨州网（2023-08）、魏桥创业集团官网（weiqiaocy.com）"关于我们"及2024年工作总结表彰大会公开报道等渠道，统计时点截至2025年公开信息。集团层面经审计合并财务数据未公开披露，文中销售收入、利润、税金等规模数据均为公开报道口径，已注明；铝业板块审计数据详见香港上市公司中国宏桥（HK.1378）公开财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