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金乡县高端化工特色产业集群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凯赛（金乡）生物材料有限公司企业分析报告</w:t>
      </w:r>
    </w:p>
    <w:p>
      <w:pPr>
        <w:spacing w:lineRule="exact" w:line="600" w:before="0" w:after="0"/>
        <w:jc w:val="left"/>
      </w:pPr>
      <w:r>
        <w:rPr>
          <w:rFonts w:ascii="仿宋_GB2312" w:hAnsi="仿宋_GB2312" w:eastAsia="仿宋_GB2312"/>
          <w:b w:val="0"/>
          <w:color w:val="000000"/>
          <w:sz w:val="28"/>
        </w:rPr>
        <w:t>（本报告基于凯赛生物（688065.SH）2025年年度报告、公司官网及金乡县官方报道整理。凯赛（金乡）生物材料有限公司为上市公司凯赛生物之全资子公司，非独立披露财报；以下采用集团合并口径与金乡生产基地专项口径，均已标明来源，未编造单体财务数据。）</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凯赛（金乡）生物材料有限公司为凯赛生物（Cathay Biotech，688065.SH）全资子公司，注册地山东省济宁市金乡县；凯赛生物2000年成立、总部位于上海张江，金乡生产基地于2003年实现生物法长链二元酸聚合级产业化。</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作为上市公司全资子公司，纳入凯赛生物集团统一治理与财务体系，金乡基地设生产、研发与运营管理团队。</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凯赛生物是全球生物法长链二元酸绝对龙头，金乡基地是其两大生产基地之一（另一为乌苏），长链二元酸年产能4.5万吨、生物基聚酰胺中试线年产能3000吨；2025年金乡基地实现营业收入17.57亿元。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定位为合成生物学生物制造平台企业，主营生物法长链二元酸系列（全球市占超80%）、生物基戊二胺、生物基聚酰胺（TERRYL®）等生物基新材料，应用于纺织、工程塑料、汽车、电子等。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集团层面：2025年合成生物材料收入31.20亿元（占比94.70%），其中长链二元酸系列29.35亿元（占比89.08%）、生物基聚酰胺系列1.27亿元；境内收入21.82亿元、境外9.39亿元。</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长链二元酸系列（癸二酸至十八碳二酸等）、生物基戊二胺（ECOPENT®）、生物基聚酰胺（TERRYL®）及复合材料。</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下游为工程塑料、纺织、汽车、电子电器客户，境内外均衡；长链二元酸全球市占超80%，议价与渠道优势突出。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生物制造以葡萄糖等可再生生物质为原料，原料绿色、供应稳定。</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金乡基地长链二元酸年产能4.5万吨、生物基聚酰胺中试3000吨；集团长链二元酸总产能11.5万吨（含乌苏）；申请专利500余项、授权百余项，技术壁垒高。</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集团化直销，境内外客户并行，长链二元酸全球主导供应。</w:t>
      </w:r>
    </w:p>
    <w:p>
      <w:pPr>
        <w:spacing w:lineRule="exact" w:line="600" w:before="120" w:after="120"/>
        <w:ind w:firstLine="420"/>
        <w:jc w:val="left"/>
      </w:pPr>
      <w:r>
        <w:rPr>
          <w:rFonts w:ascii="楷体_GB2312" w:hAnsi="楷体_GB2312" w:eastAsia="楷体_GB2312"/>
          <w:b w:val="0"/>
          <w:color w:val="000000"/>
          <w:sz w:val="32"/>
        </w:rPr>
        <w:t>（七）经营数据和市场占有率</w:t>
      </w:r>
    </w:p>
    <w:p>
      <w:pPr>
        <w:spacing w:lineRule="exact" w:line="600" w:before="0" w:after="0"/>
        <w:ind w:firstLine="420"/>
        <w:jc w:val="both"/>
      </w:pPr>
      <w:r>
        <w:rPr>
          <w:rFonts w:ascii="仿宋_GB2312" w:hAnsi="仿宋_GB2312" w:eastAsia="仿宋_GB2312"/>
          <w:b w:val="0"/>
          <w:color w:val="000000"/>
          <w:sz w:val="32"/>
        </w:rPr>
        <w:t>长链二元酸全球市场占有率超80%；金乡基地2025年营业收入17.57亿元（金乡县官方报道）。</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凯赛（金乡）为子公司，单体财报未披露；以下采用凯赛生物集团合并口径（2023—2025年，单位：亿元），数据真实可查：</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74"/>
          </w:tcPr>
          <w:p>
            <w:pPr>
              <w:spacing w:lineRule="exact" w:line="600"/>
              <w:jc w:val="center"/>
            </w:pPr>
            <w:r/>
            <w:r>
              <w:rPr>
                <w:rFonts w:ascii="黑体" w:hAnsi="黑体" w:eastAsia="黑体"/>
                <w:b/>
                <w:color w:val="000000"/>
                <w:sz w:val="32"/>
              </w:rPr>
              <w:t>指标</w:t>
            </w:r>
          </w:p>
        </w:tc>
        <w:tc>
          <w:tcPr>
            <w:tcW w:type="dxa" w:w="1134"/>
          </w:tcPr>
          <w:p>
            <w:pPr>
              <w:spacing w:lineRule="exact" w:line="600"/>
              <w:jc w:val="center"/>
            </w:pPr>
            <w:r/>
            <w:r>
              <w:rPr>
                <w:rFonts w:ascii="黑体" w:hAnsi="黑体" w:eastAsia="黑体"/>
                <w:b/>
                <w:color w:val="000000"/>
                <w:sz w:val="32"/>
              </w:rPr>
              <w:t>2023年</w:t>
            </w:r>
          </w:p>
        </w:tc>
        <w:tc>
          <w:tcPr>
            <w:tcW w:type="dxa" w:w="1134"/>
          </w:tcPr>
          <w:p>
            <w:pPr>
              <w:spacing w:lineRule="exact" w:line="600"/>
              <w:jc w:val="center"/>
            </w:pPr>
            <w:r/>
            <w:r>
              <w:rPr>
                <w:rFonts w:ascii="黑体" w:hAnsi="黑体" w:eastAsia="黑体"/>
                <w:b/>
                <w:color w:val="000000"/>
                <w:sz w:val="32"/>
              </w:rPr>
              <w:t>2024年</w:t>
            </w:r>
          </w:p>
        </w:tc>
        <w:tc>
          <w:tcPr>
            <w:tcW w:type="dxa" w:w="1134"/>
          </w:tcPr>
          <w:p>
            <w:pPr>
              <w:spacing w:lineRule="exact" w:line="600"/>
              <w:jc w:val="center"/>
            </w:pPr>
            <w:r/>
            <w:r>
              <w:rPr>
                <w:rFonts w:ascii="黑体" w:hAnsi="黑体" w:eastAsia="黑体"/>
                <w:b/>
                <w:color w:val="000000"/>
                <w:sz w:val="32"/>
              </w:rPr>
              <w:t>2025年</w:t>
            </w:r>
          </w:p>
        </w:tc>
      </w:tr>
      <w:tr>
        <w:tc>
          <w:tcPr>
            <w:tcW w:type="dxa" w:w="1474"/>
          </w:tcPr>
          <w:p>
            <w:pPr>
              <w:spacing w:lineRule="exact" w:line="600"/>
              <w:jc w:val="center"/>
            </w:pPr>
            <w:r/>
            <w:r>
              <w:rPr>
                <w:rFonts w:ascii="仿宋_GB2312" w:hAnsi="仿宋_GB2312" w:eastAsia="仿宋_GB2312"/>
                <w:b w:val="0"/>
                <w:color w:val="000000"/>
                <w:sz w:val="32"/>
              </w:rPr>
              <w:t>营业收入</w:t>
            </w:r>
          </w:p>
        </w:tc>
        <w:tc>
          <w:tcPr>
            <w:tcW w:type="dxa" w:w="1134"/>
          </w:tcPr>
          <w:p>
            <w:pPr>
              <w:spacing w:lineRule="exact" w:line="600"/>
              <w:jc w:val="center"/>
            </w:pPr>
            <w:r/>
            <w:r>
              <w:rPr>
                <w:rFonts w:ascii="仿宋_GB2312" w:hAnsi="仿宋_GB2312" w:eastAsia="仿宋_GB2312"/>
                <w:b w:val="0"/>
                <w:color w:val="000000"/>
                <w:sz w:val="32"/>
              </w:rPr>
              <w:t>21.14</w:t>
            </w:r>
          </w:p>
        </w:tc>
        <w:tc>
          <w:tcPr>
            <w:tcW w:type="dxa" w:w="1134"/>
          </w:tcPr>
          <w:p>
            <w:pPr>
              <w:spacing w:lineRule="exact" w:line="600"/>
              <w:jc w:val="center"/>
            </w:pPr>
            <w:r/>
            <w:r>
              <w:rPr>
                <w:rFonts w:ascii="仿宋_GB2312" w:hAnsi="仿宋_GB2312" w:eastAsia="仿宋_GB2312"/>
                <w:b w:val="0"/>
                <w:color w:val="000000"/>
                <w:sz w:val="32"/>
              </w:rPr>
              <w:t>29.58</w:t>
            </w:r>
          </w:p>
        </w:tc>
        <w:tc>
          <w:tcPr>
            <w:tcW w:type="dxa" w:w="1134"/>
          </w:tcPr>
          <w:p>
            <w:pPr>
              <w:spacing w:lineRule="exact" w:line="600"/>
              <w:jc w:val="center"/>
            </w:pPr>
            <w:r/>
            <w:r>
              <w:rPr>
                <w:rFonts w:ascii="仿宋_GB2312" w:hAnsi="仿宋_GB2312" w:eastAsia="仿宋_GB2312"/>
                <w:b w:val="0"/>
                <w:color w:val="000000"/>
                <w:sz w:val="32"/>
              </w:rPr>
              <w:t>32.95</w:t>
            </w:r>
          </w:p>
        </w:tc>
      </w:tr>
      <w:tr>
        <w:tc>
          <w:tcPr>
            <w:tcW w:type="dxa" w:w="1474"/>
          </w:tcPr>
          <w:p>
            <w:pPr>
              <w:spacing w:lineRule="exact" w:line="600"/>
              <w:jc w:val="center"/>
            </w:pPr>
            <w:r/>
            <w:r>
              <w:rPr>
                <w:rFonts w:ascii="仿宋_GB2312" w:hAnsi="仿宋_GB2312" w:eastAsia="仿宋_GB2312"/>
                <w:b w:val="0"/>
                <w:color w:val="000000"/>
                <w:sz w:val="32"/>
              </w:rPr>
              <w:t>净利润</w:t>
            </w:r>
          </w:p>
        </w:tc>
        <w:tc>
          <w:tcPr>
            <w:tcW w:type="dxa" w:w="1134"/>
          </w:tcPr>
          <w:p>
            <w:pPr>
              <w:spacing w:lineRule="exact" w:line="600"/>
              <w:jc w:val="center"/>
            </w:pPr>
            <w:r/>
            <w:r>
              <w:rPr>
                <w:rFonts w:ascii="仿宋_GB2312" w:hAnsi="仿宋_GB2312" w:eastAsia="仿宋_GB2312"/>
                <w:b w:val="0"/>
                <w:color w:val="000000"/>
                <w:sz w:val="32"/>
              </w:rPr>
              <w:t>3.67</w:t>
            </w:r>
          </w:p>
        </w:tc>
        <w:tc>
          <w:tcPr>
            <w:tcW w:type="dxa" w:w="1134"/>
          </w:tcPr>
          <w:p>
            <w:pPr>
              <w:spacing w:lineRule="exact" w:line="600"/>
              <w:jc w:val="center"/>
            </w:pPr>
            <w:r/>
            <w:r>
              <w:rPr>
                <w:rFonts w:ascii="仿宋_GB2312" w:hAnsi="仿宋_GB2312" w:eastAsia="仿宋_GB2312"/>
                <w:b w:val="0"/>
                <w:color w:val="000000"/>
                <w:sz w:val="32"/>
              </w:rPr>
              <w:t>4.89</w:t>
            </w:r>
          </w:p>
        </w:tc>
        <w:tc>
          <w:tcPr>
            <w:tcW w:type="dxa" w:w="1134"/>
          </w:tcPr>
          <w:p>
            <w:pPr>
              <w:spacing w:lineRule="exact" w:line="600"/>
              <w:jc w:val="center"/>
            </w:pPr>
            <w:r/>
            <w:r>
              <w:rPr>
                <w:rFonts w:ascii="仿宋_GB2312" w:hAnsi="仿宋_GB2312" w:eastAsia="仿宋_GB2312"/>
                <w:b w:val="0"/>
                <w:color w:val="000000"/>
                <w:sz w:val="32"/>
              </w:rPr>
              <w:t>5.61</w:t>
            </w:r>
          </w:p>
        </w:tc>
      </w:tr>
      <w:tr>
        <w:tc>
          <w:tcPr>
            <w:tcW w:type="dxa" w:w="1474"/>
          </w:tcPr>
          <w:p>
            <w:pPr>
              <w:spacing w:lineRule="exact" w:line="600"/>
              <w:jc w:val="center"/>
            </w:pPr>
            <w:r/>
            <w:r>
              <w:rPr>
                <w:rFonts w:ascii="仿宋_GB2312" w:hAnsi="仿宋_GB2312" w:eastAsia="仿宋_GB2312"/>
                <w:b w:val="0"/>
                <w:color w:val="000000"/>
                <w:sz w:val="32"/>
              </w:rPr>
              <w:t>长链二元酸收入</w:t>
            </w:r>
          </w:p>
        </w:tc>
        <w:tc>
          <w:tcPr>
            <w:tcW w:type="dxa" w:w="1134"/>
          </w:tcPr>
          <w:p>
            <w:pPr>
              <w:spacing w:lineRule="exact" w:line="600"/>
              <w:jc w:val="center"/>
            </w:pPr>
            <w:r/>
            <w:r>
              <w:rPr>
                <w:rFonts w:ascii="仿宋_GB2312" w:hAnsi="仿宋_GB2312" w:eastAsia="仿宋_GB2312"/>
                <w:b w:val="0"/>
                <w:color w:val="000000"/>
                <w:sz w:val="32"/>
              </w:rPr>
              <w:t>（未单列）</w:t>
            </w:r>
          </w:p>
        </w:tc>
        <w:tc>
          <w:tcPr>
            <w:tcW w:type="dxa" w:w="1134"/>
          </w:tcPr>
          <w:p>
            <w:pPr>
              <w:spacing w:lineRule="exact" w:line="600"/>
              <w:jc w:val="center"/>
            </w:pPr>
            <w:r/>
            <w:r>
              <w:rPr>
                <w:rFonts w:ascii="仿宋_GB2312" w:hAnsi="仿宋_GB2312" w:eastAsia="仿宋_GB2312"/>
                <w:b w:val="0"/>
                <w:color w:val="000000"/>
                <w:sz w:val="32"/>
              </w:rPr>
              <w:t>（未单列）</w:t>
            </w:r>
          </w:p>
        </w:tc>
        <w:tc>
          <w:tcPr>
            <w:tcW w:type="dxa" w:w="1134"/>
          </w:tcPr>
          <w:p>
            <w:pPr>
              <w:spacing w:lineRule="exact" w:line="600"/>
              <w:jc w:val="center"/>
            </w:pPr>
            <w:r/>
            <w:r>
              <w:rPr>
                <w:rFonts w:ascii="仿宋_GB2312" w:hAnsi="仿宋_GB2312" w:eastAsia="仿宋_GB2312"/>
                <w:b w:val="0"/>
                <w:color w:val="000000"/>
                <w:sz w:val="32"/>
              </w:rPr>
              <w:t>29.35</w:t>
            </w:r>
          </w:p>
        </w:tc>
      </w:tr>
    </w:tbl>
    <w:p>
      <w:pPr>
        <w:spacing w:lineRule="exact" w:line="600" w:before="0" w:after="0"/>
        <w:ind w:firstLine="420"/>
        <w:jc w:val="both"/>
      </w:pPr>
      <w:r>
        <w:rPr>
          <w:rFonts w:ascii="仿宋_GB2312" w:hAnsi="仿宋_GB2312" w:eastAsia="仿宋_GB2312"/>
          <w:b w:val="0"/>
          <w:color w:val="000000"/>
          <w:sz w:val="32"/>
        </w:rPr>
        <w:t>分析：集团营收与净利近三年持续走高（2023—2025营收21.14/29.58/32.95亿元、净利3.67/4.89/5.61亿元），增长强劲；金乡基地2025年营收17.57亿元，是集团核心产能与利润来源之一。注：上述为合并口径，金乡子公司单体财务未公开。</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上市公司规范治理，设董事会、独立董事及审计委员会，信息披露合规。</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凯赛生物创始团队具备合成生物学产业化深厚积累，研发驱动战略明确。</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集团化研发—生产—质量内控体系，覆盖金乡、乌苏、太原等基地。</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研发团队涵盖合成生物学、细胞工程、生物化工、高分子材料等多学科，专利储备丰富。</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绝对壁垒：全球独家掌握从实验室到工业化大生产的完整生物法长链二元酸技术体系，全球市占超80%。二是绿色壁垒：生物制造替代石化路线，碳排与成本优势。三是专利壁垒：申请专利500余项。四是产业链壁垒：从单体（二元酸、戊二胺）到聚酰胺一体化，拉动下游工程塑料与复合材料。</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生物基聚酰胺仍处商业化推广早期、尚未规模化放量；技术秘密与专利诉讼风险（2026年凯赛及凯赛（金乡）发起多项侵权诉讼，索赔约9.67亿元，尚待审理）；原材料与下游需求波动。</w:t>
      </w:r>
    </w:p>
    <w:p>
      <w:pPr>
        <w:spacing w:lineRule="exact" w:line="600" w:before="120" w:after="120"/>
        <w:ind w:firstLine="420"/>
        <w:jc w:val="left"/>
      </w:pPr>
      <w:r>
        <w:rPr>
          <w:rFonts w:ascii="楷体_GB2312" w:hAnsi="楷体_GB2312" w:eastAsia="楷体_GB2312"/>
          <w:b w:val="0"/>
          <w:color w:val="000000"/>
          <w:sz w:val="32"/>
        </w:rPr>
        <w:t>（二）应对措施</w:t>
      </w:r>
    </w:p>
    <w:p>
      <w:pPr>
        <w:spacing w:lineRule="exact" w:line="600" w:before="0" w:after="0"/>
        <w:ind w:firstLine="420"/>
        <w:jc w:val="both"/>
      </w:pPr>
      <w:r>
        <w:rPr>
          <w:rFonts w:ascii="仿宋_GB2312" w:hAnsi="仿宋_GB2312" w:eastAsia="仿宋_GB2312"/>
          <w:b w:val="0"/>
          <w:color w:val="000000"/>
          <w:sz w:val="32"/>
        </w:rPr>
        <w:t>加速生物基聚酰胺下游应用放量；强化知识产权布局与维权；拓展境内外客户与新增应用（航空温控箱、复合材料等）。</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股权：山东投资可关注凯赛生物再融资或山东基地扩产机会，强化省内生物制造产业链。供应链金融：围绕生物基聚酰胺下游应用企业开展订单融资。并购：借助山东化工与新材料产业基础，协同落地下游复合材料项目。金乡基地财务稳健、增长确定，适合中长期股权协同。</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凯赛（金乡）依托母公司全球合成生物学龙头地位，长链二元酸市占超80%、金乡基地2025年营收17.57亿元，是金乡高端化工标杆。建议：山东投资以集团战略股权或基地扩产基金切入，关注生物基聚酰胺放量节奏与知识产权诉讼进展。</w:t>
      </w:r>
    </w:p>
    <w:p>
      <w:pPr>
        <w:spacing w:lineRule="exact" w:line="600" w:before="0" w:after="0"/>
        <w:jc w:val="left"/>
      </w:pPr>
      <w:r>
        <w:rPr>
          <w:rFonts w:ascii="仿宋_GB2312" w:hAnsi="仿宋_GB2312" w:eastAsia="仿宋_GB2312"/>
          <w:b w:val="0"/>
          <w:color w:val="000000"/>
          <w:sz w:val="28"/>
        </w:rPr>
        <w:t>数据来源说明：凯赛生物（688065.SH）2025年年度报告；凯赛生物官网（cathaybiotech.com）关于我们/产品中心；金乡县官方报道《金乡："隐形冠军"何以集群崛起》（jn001.com，2026.2）；新浪财经关于凯赛生物发起技术秘密诉讼的报道（2026.7）。</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