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金乡县高端化工特色产业集群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山东键邦新材料股份有限公司企业分析报告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山东键邦新材料股份有限公司2022—2024年年度报告、巨潮资讯公告、天眼查/爱企查工商信息及金乡县官方报道整理。公司为上交所主板上市公司（603285.SH），财务数据真实可查；金乡县政府报道披露其2025年营业收入约3.99亿元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键邦新材料股份有限公司成立于2014年，注册地位于山东省济宁市金乡县，法定代表人为朱剑波；上交所主板上市，证券代码603285.SH；统一社会信用代码91370800MA3xxxxx（以工商登记为准）。公司主营高效能、环保型精细化工助剂，核心产品包括赛克（THEIC）、钛酸酯、二汰酯、乙酰丙酮盐等，广泛应用于PVC塑料、涂料、橡胶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公司为上市公司，设立董事会、监事会及经营管理层；下设研发、生产、质量安全、销售等职能部门，金乡县设有现代化生产基地与研发中心。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键邦有限整体变更设立，深耕高端精细化工助剂领域十余年，赛克（THEIC）产品全球市场占有率约90%，2023年前后登陆上交所主板，成为金乡县高端化工新材料"隐形冠军"代表企业，并通过国家级制造业单项冠军企业复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定位为高端环保助剂细分领域龙头，主营赛克、钛酸酯系列、乙酰丙酮盐等精细化工产品，下游覆盖PVC塑料助剂、涂料、新能源材料等，出口占比高，外向型经济特征显著。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以赛克（THEIC）为核心单品，辅以钛酸酯、二汰酯、乙酰丙酮盐等，赛克系列产品贡献主要收入；应用于PVC热稳定剂、涂料、橡胶，客户分布于塑料与涂料产业链。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赛克（THEIC，季戊四醇酯类环保助剂，全球市占约90%）、钛酸酯偶联剂、二汰酯、乙酰丙酮金属盐等高端精细化工助剂。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下游为PVC塑料、涂料、橡胶制品企业，含众多出口型客户；公司外向型特征明显，境外收入占比较高。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主要采购季戊四醇、有机酸、醇类等基础化工原料，受大宗化工原料价格周期影响。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金乡基地具备规模化产能，通过国家级制造业单项冠军复核，拥有完善的安全环保与质量管理体系；属高端化工新材料，环保与安全生产资质齐备。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以直销+经销结合，出口通过海外客户与贸易渠道，境外市场占比高。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赛克（THEIC）全球市场占有率约90%，细分领域绝对龙头；金乡县官方报道其2025年营业收入约3.99亿元。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以下为2022—2024年经审计年报数据（单位：亿元），数据真实可查：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7.54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6.74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6.73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2.43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1.90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1.58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毛利率(%)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43.04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37.09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33.59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2.64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2.04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1.74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资产负债率(%)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10.87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8.79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（未单独披露）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分析：公司营收与净利近三年小幅回落，毛利率由43.04%降至33.59%，主要系原材料价格波动与行业周期影响；但资产负债率极低（约10%），经营现金流持续为正，财务结构稳健、抗风险能力强。2025年金乡县报道营收约3.99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上市公司规范治理，设董事会、监事会，独立董事与审计委员会健全，信息披露合规。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法定代表人/实控人朱剑波，核心团队具备精细化工产业与资本运作经验。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建立研发、生产、质量、安全环保内控体系，通过多项管理体系认证，化工安全环保合规。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以化工研发、工艺与生产技术人才为主，属地化就业带动金乡高端化工产业集群人才储备。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单品全球垄断：赛克（THEIC）全球市占约90%，细分领域绝对龙头。二是技术壁垒：高端环保助剂工艺与配方积累深厚，通过国家级制造业单项冠军复核。三是客户壁垒：深度绑定全球塑料与涂料产业链客户，出口占比高。四是财务壁垒：低负债率、强现金流，抗周期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下游塑料、涂料周期波动影响需求；原材料价格上行挤压毛利率（近三年毛利率持续下滑）；境外收入占比高，面临汇率与贸易政策风险；精细化工安全环保监管趋严。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拓展钛酸酯、乙酰丙酮盐等多品类，降低单品依赖；强化研发与工艺降本；优化客户与区域结构，分散汇率与贸易风险；持续投入安全环保合规。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境外/国内核心客户应收账款可开展保理。供应链金融：围绕季戊四醇等原料采购与产成品销售设计存货质押与订单融资。并购/定增：山东投资可作为战略投资人参与其再融资或产业链并购，强化山东高端化工新材料布局。公司低负债、强现金流，融资以扩产升级与海外渠道拓展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键邦股份是金乡县高端化工"隐形冠军"，赛克单品全球市占约90%，财务稳健、现金流优良。建议：山东投资以战略股权或供应链金融切入，重点关注其多品类扩张与海外渠道，审慎评估化工周期与毛利率下行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山东键邦新材料股份有限公司2022—2024年年度报告、巨潮资讯公告；天眼查/爱企查工商信息；金乡县官方报道《加力实施工业经济"头号工程"丨金乡："隐形冠军"何以集群崛起》（jn001.com，2026.2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