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阳信县肉牛特色产业集群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山东省阳信广富畜产品有限公司企业分析报告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阳信广富畜产品有限公司成立于2002年10月17日，注册资本1.36亿元，注册地山东省滨州市阳信县，法定代表人为杨广富。公司为农业产业化国家重点龙头企业，主营肉牛养殖屠宰加工全产业链（鸿安品牌），2022年总资产约6.51亿元、职工2000余人，为京东鲜京采等供应商，属“阳信县肉牛特色产业集群”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公司围绕肉牛养殖、屠宰、加工与品牌销售组织全产业链，设鸿安品牌体系。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公司自2002年设立，由屠宰起步发展为肉牛全产业链国家重点龙头，鸿安品牌进入京东等渠道。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定位为肉牛全产业链龙头，主营养殖、屠宰、牛肉及副产品加工（鸿安品牌）。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收入以牛肉及副产品加工为主，全产业链布局；财务数据未完整公开披露。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冷鲜/冷冻牛肉、牛肉副产品、鸿安品牌肉制品。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客户含京东鲜京采等电商与商超、餐饮、批发渠道。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采购活牛（含自有育肥），受活牛价格影响。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全产业链布局，具屠宰与食品加工资质，职工2000余人。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线上线下结合，鸿安品牌进入京东等平台。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2022年总资产约6.51亿元、职工2000余人，在阳信肉牛集群具规模与品牌优势。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财务数据未公开披露（仅见2022年总资产约6.51亿元、职工2000余人的公开报道）。公司为非上市企业，未披露近三年经审计合并财报，以下不作具体数字列示。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因财务数据未公开，盈利、资产、负债、现金流及对标分析从略；盈利受活牛与牛肉价格影响。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有限责任公司，法定代表人杨广富，治理集中。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法定代表人杨广富，管理层具肉牛产业经验。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以食品安全、质量与全产业链内控为核心。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职工2000余人，涵盖养殖、屠宰、加工与销售。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一是全产业链：养殖—屠宰—加工一体；二是龙头资质：农业产业化国家重点龙头；三是品牌：鸿安进入京东等渠道；四是规模：职工2000余人、资产超6亿。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一是价格风险；二是疫病风险；三是食品安全风险；四是资金风险：全产业链重资产。公司通过全产业链与品牌应对。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可探讨：一是供应链金融：活牛采购与牛肉销售应收账款融资、存货质押；二是融资租赁：屠宰加工与冷链设备直租/回租；三是保理：对销售应收账款开展保理；四是产业基金：支持养殖与品牌扩能。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广富畜产品是阳信肉牛全产业链国家重点龙头，鸿安品牌与规模优势突出。建议：一是强化品牌与电商渠道；二是借助山东投资产业基金与类金融资源；三是提升深加工与附加值。综合看，公司集群代表性强。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数据来源说明：天眼查/企查查工商登记、阳信县农业局资料、公开报道。财务数据除2022年片段外未公开披露，已如实标注。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