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阳信县肉牛特色产业集群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阳信亿利源清真肉类有限公司企业分析报告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信亿利源清真肉类有限公司成立于2004年4月16日，注册资本1.42亿元，注册地山东省滨州市阳信县，法定代表人为杨振刚（持股约76.76%）。公司为农业产业化国家重点龙头企业，主营肉牛屠宰加工，2024年营收约10.2亿元、利税约8001万元，培育“鲁蒙黑牛”品牌，属“阳信县肉牛特色产业集群”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公司围绕肉牛屠宰、加工与育种组织生产，设养殖、屠宰、销售单元。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公司自2004年设立，成长为国家级农业产业化龙头，推动“鲁蒙黑牛”种业与屠宰加工一体化。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定位为肉牛屠宰加工与种业龙头，主营肉牛屠宰、冷鲜/冷冻牛肉及“鲁蒙黑牛”育种。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收入以牛肉屠宰加工为主，2024年营收约10.2亿元；具体产品构成未公开披露。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冷鲜/冷冻牛肉、分割牛肉、肉牛育种（鲁蒙黑牛）。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客户为商超、餐饮、批发与电商渠道，清真肉类具特定客群。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采购活牛（含自有/合作育肥），受活牛价格影响。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具肉牛屠宰加工与清真认证资质，国家级龙头与种业资源。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线上线下结合，品牌与批发并行。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2024年营收约10.2亿元、利税约8001万元，在阳信肉牛集群居前列。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财务数据未公开披露（仅见2024年营收约10.2亿元、利税约8001万元的公开报道）。公司为非上市企业，未披露近三年经审计合并财报，以下不作具体数字列示。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因财务数据未公开，盈利、资产、负债、现金流及对标分析从略；盈利受活牛与牛肉价格影响。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有限责任公司，实控人杨振刚持股约76.76%，设经理层。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法定代表人杨振刚，管理层具肉牛产业经验。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以清真合规、食品安全与质量内控为核心。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拥有屠宰加工与育种技术队伍，规模未公开。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一是龙头资质：农业产业化国家重点龙头；二是种业壁垒：鲁蒙黑牛自主育种；三是品牌：清真与区域品牌；四是全产业链：育种—育肥—屠宰协同。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一是价格风险：活牛与牛肉价格波动；二是疫病风险：口蹄疫等；三是食品安全风险；四是资金风险。公司通过全产业链与品牌应对。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可探讨：一是供应链金融：活牛采购与牛肉销售应收账款融资、存货（牛肉）质押；二是融资租赁：屠宰与冷链设备直租/回租；三是保理：对销售应收账款开展保理；四是产业基金：支持鲁蒙黑牛种业扩繁。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亿利源是阳信肉牛集群国家级龙头，种业与品牌优势突出。建议：一是放大鲁蒙黑牛种质与高端牛肉；二是借助山东投资产业基金与类金融资源；三是强化冷链与品牌渠道。综合看，公司集群地位领先。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数据来源说明：天眼查/企查查工商登记、阳信县政府官网、公开报道。财务数据除2024年片段外未公开披露，已如实标注。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