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阳谷县化工新材料特色产业集群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山东阳谷华泰化工股份有限公司企业分析报告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（本报告数据来源于阳谷华泰（300121）2023—2025年年度报告、巨潮网、东方财富、中国橡胶工业协会及公司官网。财务数据均为公司已披露年报口径，单位亿元。）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山东阳谷华泰化工股份有限公司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上市信息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深交所创业板 300121（民营控股）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2000年（创立于1994年）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山东省阳谷县清河西路399号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王文博（董事长、总经理）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橡胶助剂研发、生产、销售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全球最大橡胶防焦剂CTP供应商，连续多年全球产销量第一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下辖多家子公司，拥有国家橡胶助剂工程技术研究中心（行业唯一国家级）、国家认定企业技术中心、CNAS认可实验室；科研人员200余人（含博士5名、硕士20余名）。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从1994年创立到2000年改制设立股份公司，2010年前后登陆资本市场；防焦剂CTP、不溶性硫磺获评工信部"单项冠军产品"，产品年总产能28万吨。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主营标准橡胶化学品、预分散橡胶化学品、不溶性硫磺、加工助剂、硅烷偶联剂、防护蜡、树脂等，客户涵盖米其林、普利司通、固特异等全球前十强轮胎企业。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2025年主营收入34.43亿元（橡胶助剂100%），其中高性能橡胶助剂19.20亿元（55.76%）、多功能橡胶助剂15.09亿元（43.83%）。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防焦剂CTP（全球第一）、促进剂、不溶性硫磺、硅烷偶联剂、防护蜡、树脂等，年产能28万吨。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境外收入占比约43%—45%，前五大客户销售占比约22.78%，深度绑定国际一线轮胎巨头。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前五大供应商采购占比约23.16%，原料以化工中间体为主。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年总产能28万吨；拥有国家级绿色工厂、国家绿色供应链管理企业等资质；2025年获EcoVadis银牌。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直销+全球轮胎客户长期合作，出口占比近半。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防焦剂CTP连续多年全球产销量第一；2023年橡胶助剂产量22.60万吨、销量22.48万吨。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以下为阳谷华泰2023—2025年已披露年度关键财务指标（单位：亿元）：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34.55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34.31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34.43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3.04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1.97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22.31%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27.38%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基本每股收益(元)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0.45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同比微降1.78%，归母净利3.04亿元（同比降40.96%），主因高性能橡胶助剂价格下滑及商业承兑汇票坏账准备增加；2022年营收35.17亿元、净利5.15亿元。近三年营收复合增长率21.14%。资产质量稳健，2023年末资产负债率27.38%、流动比率4.19、速动比率3.58，经营现金流3.22亿元，盈利质量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民营上市公众公司，治理结构规范，设董事会、监事会及专门委员会；员工约2002人（2023），研发人员200余人，建有博士后科研工作站。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技术：全球防焦剂CTP绝对龙头+单项冠军产品；二是客户：深度绑定米其林等国际巨头，转换成本高；三是研发：国家级工程技术研究中心；四是绿色制造：国家级绿色工厂；五是产业链延伸：收购波米科技切入半导体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橡胶助剂价格随轮胎与原料周期波动，2023年价格下滑致业绩承压。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出口占比高，受国际贸易与汇率影响。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商业承兑汇票坏账准备计提风险（2023年已体现）。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化工安全生产与环保合规要求高。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推进万吨级粘合剂、65000吨高性能橡胶助剂及副产资源化项目；保持研发占比3%以上；延伸半导体新材料提升估值。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并购融资：收购波米科技等新材料标的需配套资金，可探讨并购贷款/股权合作；二是供应链金融：对轮胎巨头应收账款开展保理；三是融资租赁：新产线设备融资租赁；四是小贷：为上下游中小供应商提供周转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阳谷华泰是橡胶助剂全球隐形冠军，财务稳健、客户壁垒深，并沿半导体材料（波米科技）二次创业。建议山东投资关注其新材料并购与供应链金融协同。总体判断：稳健高壁垒龙头，短期受价格周期扰动。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阳谷华泰（300121）2023—2025年年度报告、巨潮网、东方财富、中国橡胶工业协会、公司官网（yghuatai.com）。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