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阳谷县高端颐养膳食特色产业集群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山东凤祥股份有限公司企业分析报告</w:t>
      </w:r>
    </w:p>
    <w:p>
      <w:pPr>
        <w:spacing w:lineRule="exact" w:line="600" w:before="0" w:after="0"/>
        <w:jc w:val="left"/>
      </w:pPr>
      <w:r>
        <w:rPr>
          <w:rFonts w:ascii="仿宋_GB2312" w:hAnsi="仿宋_GB2312" w:eastAsia="仿宋_GB2312"/>
          <w:b w:val="0"/>
          <w:color w:val="000000"/>
          <w:sz w:val="28"/>
        </w:rPr>
        <w:t>（本报告数据来源于山东凤祥股份有限公司2022、2023、2024年度报告（香港联交所披露易）、年度业绩公告、东方财富/同花顺F10、立信会计师事务所审计数据及公开媒体报道，统计时点截至2024年12月31日。公司曾于2020年7月在港交所上市（股份代号9977），并于2025年7月31日完成私有化退市。文中财务数据均来自其经审计合并报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山东凤祥股份有限公司（简称"凤祥股份"，英文Shandong Fengxiang Co., Ltd.）是一家主要从事白羽肉鸡养殖、屠宰及鸡肉制品生产与销售的农业产业化企业，注册地址与总部位于山东省聊城市阳谷县安乐镇刘庙村，法定代表人为朱凌洁。公司H股曾于2020年7月在香港联交所上市，发行价3.33港元，募资约10亿港元，股份代号9977；2025年4月，公司与要约人菁裕企业发展（山东）有限公司（太盟投资集团PAG旗下投资平台）订立合并协议，以吸收合并方式完成私有化，并于2025年7月31日正式从港交所退市。</w:t>
      </w:r>
    </w:p>
    <w:p>
      <w:pPr>
        <w:spacing w:lineRule="exact" w:line="600" w:before="0" w:after="0"/>
        <w:ind w:firstLine="420"/>
        <w:jc w:val="both"/>
      </w:pPr>
      <w:r>
        <w:rPr>
          <w:rFonts w:ascii="仿宋_GB2312" w:hAnsi="仿宋_GB2312" w:eastAsia="仿宋_GB2312"/>
          <w:b w:val="0"/>
          <w:color w:val="000000"/>
          <w:sz w:val="32"/>
        </w:rPr>
        <w:t>股权结构方面，公司原为刘志光家族企业：上市前由刘学景、张秀英、刘志光及刘志明通过新凤祥集团、凤祥集团、凤祥投资等主体合计持有100%已发行股本；刘学景与张秀英为夫妻，刘志光、刘志明为二人之子。私有化退市后，公司由PAG境内平台控制，成为非公众企业。公司独立核数师为立信会计师事务所（特殊普通合伙）。</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投资控股型集团，下设生鸡肉制品、深加工鸡肉制品、鸡苗及其他（饲料、副产品、包装材料等）四大业务板块，拥有从种鸡繁育、商品鸡孵化、饲料、屠宰分割到熟食加工的纵向一体化全产业链布局。公司主要往来银行包括上海浦东发展银行聊城分行、中国民生银行聊城分行、中国农业银行阳谷支行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自上世纪90年代起步于阳谷县肉鸡养殖与加工，逐步建立起覆盖"种鸡—养殖—屠宰—深加工"的全产业链。2020年7月登陆港交所，被称为港股"全产业链肉鸡食品第一股"。2022年受新凤祥财务公司资金占用减值影响出现大额亏损；2023—2024年业绩持续修复。2025年因H股长期低迷、融资功能弱化，经PAG主导完成私有化退市，转而依托产业资本实现战略重构。</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国内领先的白羽肉鸡全产业链食品企业，是中国白羽鸡行业最大的出口商。主营业务包括：生白羽鸡肉制品（冷冻全鸡及鸡部位）、深加工鸡肉制品（熟食、半熟食及调味鸡肉制品，品牌"凤祥食品""优形""五更炉"）、鸡苗及其他（饲料、副产品、包装材料等）。产品销往国内及日本、马来西亚、欧洲等海外市场，并为国际西式快餐巨头提供集中采购供应。</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由生鸡肉制品、深加工鸡肉制品、鸡苗及其他构成。近年收入结构持续向深加工端倾斜。2024年深加工鸡肉制品收入29.55亿元，同比增长13.1%，占总收入比重升至53.7%，首次超过生鸡肉制品，成为收入主要来源；生鸡肉制品收入23.43亿元（占42.6%）；鸡苗收入2.70亿元；其他收入1.79亿元。B2B业务（集中采购）收入51.20亿元，占比93.0%；B2C（零售）收入3.85亿元，占比7.0%。</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①生鸡肉制品（冷冻全鸡、鸡翅尖/胸/腿等部位，冷链配送）；②深加工鸡肉制品（即食鸡胸肉"优形"、调理鸡肉、熟食制品）；③鸡苗；④饲料、副产品及包装材料。品牌矩阵包括"凤祥食品""优形""五更炉"，覆盖调理肉、休闲即食等高附加值品类。</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分为B2B与B2C两类。B2B端包括国际西式快餐连锁（中国区集中采购供应）、海外进口商及国内餐饮团膳企业；B2C端以"优形"等品牌面向家庭与个人消费者（商超、电商、新零售）。出口市场覆盖日本、马来西亚、欧洲、中东等，2024年欧洲收入同比增长19.5%。前五大客户名称未在公开资料中完整列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主要采购为饲料原料（玉米、豆粕）、药品及包材。公司拥有自建饲料与种鸡体系，上游自给程度较高，利于成本与品质管控。原材料价格波动（饲料粮价）传导至养殖成本，是公司核心成本变量。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年产白羽肉鸡约1.79亿只（2024年饲养量）、加工白羽肉鸡43.0万吨（2024年）的产能，拥有种鸡场、饲料厂、屠宰分割线与熟食加工厂，并通过ISO等质量与食品安全体系认证。2024年生鸡肉制品销量27.93万吨、深加工鸡肉制品销量15.29万吨。牌照方面持有畜禽屠宰、食品生产、进出口等许可。</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B2B集中采购+出口+新零售零售"多渠道布局：一方面服务国际餐饮巨头与海外进口商，另一方面以"优形"品牌拓展国内商超、电商及便利店渠道；2024年新开拓航空、高端连锁等新渠道，渠道结构更趋多元精细。</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关键经营数据：白羽肉鸡饲养量1.79亿只（+3.8%）、加工量43.0万吨（+16.2%）、生鸡肉制品销量27.93万吨（+15.8%）、深加工鸡肉制品销量15.29万吨（+18.4%）、鸡苗销量1,070万只（-68.7%，主动压缩种禽业务）。公司为中国白羽鸡出口第一，出口收入16.76亿元（+20.1%），占总收入30.5%。</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本节数据均取自凤祥股份经审计合并报表（人民币千元，已约整），单位换算为亿元。2022年因对新凤祥财务有限公司存款确认一次性信用减值损失8.11亿元，导致当年大额亏损；2023—2024年剔除该事项后经营显著修复。</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871"/>
          </w:tcPr>
          <w:p>
            <w:pPr>
              <w:spacing w:lineRule="exact" w:line="600"/>
              <w:jc w:val="center"/>
            </w:pPr>
            <w:r/>
            <w:r>
              <w:rPr>
                <w:rFonts w:ascii="黑体" w:hAnsi="黑体" w:eastAsia="黑体"/>
                <w:b/>
                <w:color w:val="000000"/>
                <w:sz w:val="32"/>
              </w:rPr>
              <w:t>2022年</w:t>
            </w:r>
          </w:p>
        </w:tc>
        <w:tc>
          <w:tcPr>
            <w:tcW w:type="dxa" w:w="1871"/>
          </w:tcPr>
          <w:p>
            <w:pPr>
              <w:spacing w:lineRule="exact" w:line="600"/>
              <w:jc w:val="center"/>
            </w:pPr>
            <w:r/>
            <w:r>
              <w:rPr>
                <w:rFonts w:ascii="黑体" w:hAnsi="黑体" w:eastAsia="黑体"/>
                <w:b/>
                <w:color w:val="000000"/>
                <w:sz w:val="32"/>
              </w:rPr>
              <w:t>2023年</w:t>
            </w:r>
          </w:p>
        </w:tc>
        <w:tc>
          <w:tcPr>
            <w:tcW w:type="dxa" w:w="1871"/>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871"/>
          </w:tcPr>
          <w:p>
            <w:pPr>
              <w:spacing w:lineRule="exact" w:line="600"/>
              <w:jc w:val="center"/>
            </w:pPr>
            <w:r/>
            <w:r>
              <w:rPr>
                <w:rFonts w:ascii="仿宋_GB2312" w:hAnsi="仿宋_GB2312" w:eastAsia="仿宋_GB2312"/>
                <w:b w:val="0"/>
                <w:color w:val="000000"/>
                <w:sz w:val="32"/>
              </w:rPr>
              <w:t>50.86</w:t>
            </w:r>
          </w:p>
        </w:tc>
        <w:tc>
          <w:tcPr>
            <w:tcW w:type="dxa" w:w="1871"/>
          </w:tcPr>
          <w:p>
            <w:pPr>
              <w:spacing w:lineRule="exact" w:line="600"/>
              <w:jc w:val="center"/>
            </w:pPr>
            <w:r/>
            <w:r>
              <w:rPr>
                <w:rFonts w:ascii="仿宋_GB2312" w:hAnsi="仿宋_GB2312" w:eastAsia="仿宋_GB2312"/>
                <w:b w:val="0"/>
                <w:color w:val="000000"/>
                <w:sz w:val="32"/>
              </w:rPr>
              <w:t>51.34</w:t>
            </w:r>
          </w:p>
        </w:tc>
        <w:tc>
          <w:tcPr>
            <w:tcW w:type="dxa" w:w="1871"/>
          </w:tcPr>
          <w:p>
            <w:pPr>
              <w:spacing w:lineRule="exact" w:line="600"/>
              <w:jc w:val="center"/>
            </w:pPr>
            <w:r/>
            <w:r>
              <w:rPr>
                <w:rFonts w:ascii="仿宋_GB2312" w:hAnsi="仿宋_GB2312" w:eastAsia="仿宋_GB2312"/>
                <w:b w:val="0"/>
                <w:color w:val="000000"/>
                <w:sz w:val="32"/>
              </w:rPr>
              <w:t>55.05</w:t>
            </w:r>
          </w:p>
        </w:tc>
      </w:tr>
      <w:tr>
        <w:tc>
          <w:tcPr>
            <w:tcW w:type="dxa" w:w="3402"/>
          </w:tcPr>
          <w:p>
            <w:pPr>
              <w:spacing w:lineRule="exact" w:line="600"/>
              <w:jc w:val="center"/>
            </w:pPr>
            <w:r/>
            <w:r>
              <w:rPr>
                <w:rFonts w:ascii="仿宋_GB2312" w:hAnsi="仿宋_GB2312" w:eastAsia="仿宋_GB2312"/>
                <w:b w:val="0"/>
                <w:color w:val="000000"/>
                <w:sz w:val="32"/>
              </w:rPr>
              <w:t>营业成本（亿元）</w:t>
            </w:r>
          </w:p>
        </w:tc>
        <w:tc>
          <w:tcPr>
            <w:tcW w:type="dxa" w:w="1871"/>
          </w:tcPr>
          <w:p>
            <w:pPr>
              <w:spacing w:lineRule="exact" w:line="600"/>
              <w:jc w:val="center"/>
            </w:pPr>
            <w:r/>
            <w:r>
              <w:rPr>
                <w:rFonts w:ascii="仿宋_GB2312" w:hAnsi="仿宋_GB2312" w:eastAsia="仿宋_GB2312"/>
                <w:b w:val="0"/>
                <w:color w:val="000000"/>
                <w:sz w:val="32"/>
              </w:rPr>
              <w:t>45.02</w:t>
            </w:r>
          </w:p>
        </w:tc>
        <w:tc>
          <w:tcPr>
            <w:tcW w:type="dxa" w:w="1871"/>
          </w:tcPr>
          <w:p>
            <w:pPr>
              <w:spacing w:lineRule="exact" w:line="600"/>
              <w:jc w:val="center"/>
            </w:pPr>
            <w:r/>
            <w:r>
              <w:rPr>
                <w:rFonts w:ascii="仿宋_GB2312" w:hAnsi="仿宋_GB2312" w:eastAsia="仿宋_GB2312"/>
                <w:b w:val="0"/>
                <w:color w:val="000000"/>
                <w:sz w:val="32"/>
              </w:rPr>
              <w:t>45.43</w:t>
            </w:r>
          </w:p>
        </w:tc>
        <w:tc>
          <w:tcPr>
            <w:tcW w:type="dxa" w:w="1871"/>
          </w:tcPr>
          <w:p>
            <w:pPr>
              <w:spacing w:lineRule="exact" w:line="600"/>
              <w:jc w:val="center"/>
            </w:pPr>
            <w:r/>
            <w:r>
              <w:rPr>
                <w:rFonts w:ascii="仿宋_GB2312" w:hAnsi="仿宋_GB2312" w:eastAsia="仿宋_GB2312"/>
                <w:b w:val="0"/>
                <w:color w:val="000000"/>
                <w:sz w:val="32"/>
              </w:rPr>
              <w:t>48.45</w:t>
            </w:r>
          </w:p>
        </w:tc>
      </w:tr>
      <w:tr>
        <w:tc>
          <w:tcPr>
            <w:tcW w:type="dxa" w:w="3402"/>
          </w:tcPr>
          <w:p>
            <w:pPr>
              <w:spacing w:lineRule="exact" w:line="600"/>
              <w:jc w:val="center"/>
            </w:pPr>
            <w:r/>
            <w:r>
              <w:rPr>
                <w:rFonts w:ascii="仿宋_GB2312" w:hAnsi="仿宋_GB2312" w:eastAsia="仿宋_GB2312"/>
                <w:b w:val="0"/>
                <w:color w:val="000000"/>
                <w:sz w:val="32"/>
              </w:rPr>
              <w:t>毛利（亿元）</w:t>
            </w:r>
          </w:p>
        </w:tc>
        <w:tc>
          <w:tcPr>
            <w:tcW w:type="dxa" w:w="1871"/>
          </w:tcPr>
          <w:p>
            <w:pPr>
              <w:spacing w:lineRule="exact" w:line="600"/>
              <w:jc w:val="center"/>
            </w:pPr>
            <w:r/>
            <w:r>
              <w:rPr>
                <w:rFonts w:ascii="仿宋_GB2312" w:hAnsi="仿宋_GB2312" w:eastAsia="仿宋_GB2312"/>
                <w:b w:val="0"/>
                <w:color w:val="000000"/>
                <w:sz w:val="32"/>
              </w:rPr>
              <w:t>5.84</w:t>
            </w:r>
          </w:p>
        </w:tc>
        <w:tc>
          <w:tcPr>
            <w:tcW w:type="dxa" w:w="1871"/>
          </w:tcPr>
          <w:p>
            <w:pPr>
              <w:spacing w:lineRule="exact" w:line="600"/>
              <w:jc w:val="center"/>
            </w:pPr>
            <w:r/>
            <w:r>
              <w:rPr>
                <w:rFonts w:ascii="仿宋_GB2312" w:hAnsi="仿宋_GB2312" w:eastAsia="仿宋_GB2312"/>
                <w:b w:val="0"/>
                <w:color w:val="000000"/>
                <w:sz w:val="32"/>
              </w:rPr>
              <w:t>5.91</w:t>
            </w:r>
          </w:p>
        </w:tc>
        <w:tc>
          <w:tcPr>
            <w:tcW w:type="dxa" w:w="1871"/>
          </w:tcPr>
          <w:p>
            <w:pPr>
              <w:spacing w:lineRule="exact" w:line="600"/>
              <w:jc w:val="center"/>
            </w:pPr>
            <w:r/>
            <w:r>
              <w:rPr>
                <w:rFonts w:ascii="仿宋_GB2312" w:hAnsi="仿宋_GB2312" w:eastAsia="仿宋_GB2312"/>
                <w:b w:val="0"/>
                <w:color w:val="000000"/>
                <w:sz w:val="32"/>
              </w:rPr>
              <w:t>6.60</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871"/>
          </w:tcPr>
          <w:p>
            <w:pPr>
              <w:spacing w:lineRule="exact" w:line="600"/>
              <w:jc w:val="center"/>
            </w:pPr>
            <w:r/>
            <w:r>
              <w:rPr>
                <w:rFonts w:ascii="仿宋_GB2312" w:hAnsi="仿宋_GB2312" w:eastAsia="仿宋_GB2312"/>
                <w:b w:val="0"/>
                <w:color w:val="000000"/>
                <w:sz w:val="32"/>
              </w:rPr>
              <w:t>11.47</w:t>
            </w:r>
          </w:p>
        </w:tc>
        <w:tc>
          <w:tcPr>
            <w:tcW w:type="dxa" w:w="1871"/>
          </w:tcPr>
          <w:p>
            <w:pPr>
              <w:spacing w:lineRule="exact" w:line="600"/>
              <w:jc w:val="center"/>
            </w:pPr>
            <w:r/>
            <w:r>
              <w:rPr>
                <w:rFonts w:ascii="仿宋_GB2312" w:hAnsi="仿宋_GB2312" w:eastAsia="仿宋_GB2312"/>
                <w:b w:val="0"/>
                <w:color w:val="000000"/>
                <w:sz w:val="32"/>
              </w:rPr>
              <w:t>11.52</w:t>
            </w:r>
          </w:p>
        </w:tc>
        <w:tc>
          <w:tcPr>
            <w:tcW w:type="dxa" w:w="1871"/>
          </w:tcPr>
          <w:p>
            <w:pPr>
              <w:spacing w:lineRule="exact" w:line="600"/>
              <w:jc w:val="center"/>
            </w:pPr>
            <w:r/>
            <w:r>
              <w:rPr>
                <w:rFonts w:ascii="仿宋_GB2312" w:hAnsi="仿宋_GB2312" w:eastAsia="仿宋_GB2312"/>
                <w:b w:val="0"/>
                <w:color w:val="000000"/>
                <w:sz w:val="32"/>
              </w:rPr>
              <w:t>11.99</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871"/>
          </w:tcPr>
          <w:p>
            <w:pPr>
              <w:spacing w:lineRule="exact" w:line="600"/>
              <w:jc w:val="center"/>
            </w:pPr>
            <w:r/>
            <w:r>
              <w:rPr>
                <w:rFonts w:ascii="仿宋_GB2312" w:hAnsi="仿宋_GB2312" w:eastAsia="仿宋_GB2312"/>
                <w:b w:val="0"/>
                <w:color w:val="000000"/>
                <w:sz w:val="32"/>
              </w:rPr>
              <w:t>-7.69</w:t>
            </w:r>
          </w:p>
        </w:tc>
        <w:tc>
          <w:tcPr>
            <w:tcW w:type="dxa" w:w="1871"/>
          </w:tcPr>
          <w:p>
            <w:pPr>
              <w:spacing w:lineRule="exact" w:line="600"/>
              <w:jc w:val="center"/>
            </w:pPr>
            <w:r/>
            <w:r>
              <w:rPr>
                <w:rFonts w:ascii="仿宋_GB2312" w:hAnsi="仿宋_GB2312" w:eastAsia="仿宋_GB2312"/>
                <w:b w:val="0"/>
                <w:color w:val="000000"/>
                <w:sz w:val="32"/>
              </w:rPr>
              <w:t>1.60</w:t>
            </w:r>
          </w:p>
        </w:tc>
        <w:tc>
          <w:tcPr>
            <w:tcW w:type="dxa" w:w="1871"/>
          </w:tcPr>
          <w:p>
            <w:pPr>
              <w:spacing w:lineRule="exact" w:line="600"/>
              <w:jc w:val="center"/>
            </w:pPr>
            <w:r/>
            <w:r>
              <w:rPr>
                <w:rFonts w:ascii="仿宋_GB2312" w:hAnsi="仿宋_GB2312" w:eastAsia="仿宋_GB2312"/>
                <w:b w:val="0"/>
                <w:color w:val="000000"/>
                <w:sz w:val="32"/>
              </w:rPr>
              <w:t>2.81</w:t>
            </w:r>
          </w:p>
        </w:tc>
      </w:tr>
      <w:tr>
        <w:tc>
          <w:tcPr>
            <w:tcW w:type="dxa" w:w="3402"/>
          </w:tcPr>
          <w:p>
            <w:pPr>
              <w:spacing w:lineRule="exact" w:line="600"/>
              <w:jc w:val="center"/>
            </w:pPr>
            <w:r/>
            <w:r>
              <w:rPr>
                <w:rFonts w:ascii="仿宋_GB2312" w:hAnsi="仿宋_GB2312" w:eastAsia="仿宋_GB2312"/>
                <w:b w:val="0"/>
                <w:color w:val="000000"/>
                <w:sz w:val="32"/>
              </w:rPr>
              <w:t>归母净利润（亿元）</w:t>
            </w:r>
          </w:p>
        </w:tc>
        <w:tc>
          <w:tcPr>
            <w:tcW w:type="dxa" w:w="1871"/>
          </w:tcPr>
          <w:p>
            <w:pPr>
              <w:spacing w:lineRule="exact" w:line="600"/>
              <w:jc w:val="center"/>
            </w:pPr>
            <w:r/>
            <w:r>
              <w:rPr>
                <w:rFonts w:ascii="仿宋_GB2312" w:hAnsi="仿宋_GB2312" w:eastAsia="仿宋_GB2312"/>
                <w:b w:val="0"/>
                <w:color w:val="000000"/>
                <w:sz w:val="32"/>
              </w:rPr>
              <w:t>-7.69</w:t>
            </w:r>
          </w:p>
        </w:tc>
        <w:tc>
          <w:tcPr>
            <w:tcW w:type="dxa" w:w="1871"/>
          </w:tcPr>
          <w:p>
            <w:pPr>
              <w:spacing w:lineRule="exact" w:line="600"/>
              <w:jc w:val="center"/>
            </w:pPr>
            <w:r/>
            <w:r>
              <w:rPr>
                <w:rFonts w:ascii="仿宋_GB2312" w:hAnsi="仿宋_GB2312" w:eastAsia="仿宋_GB2312"/>
                <w:b w:val="0"/>
                <w:color w:val="000000"/>
                <w:sz w:val="32"/>
              </w:rPr>
              <w:t>1.60</w:t>
            </w:r>
          </w:p>
        </w:tc>
        <w:tc>
          <w:tcPr>
            <w:tcW w:type="dxa" w:w="1871"/>
          </w:tcPr>
          <w:p>
            <w:pPr>
              <w:spacing w:lineRule="exact" w:line="600"/>
              <w:jc w:val="center"/>
            </w:pPr>
            <w:r/>
            <w:r>
              <w:rPr>
                <w:rFonts w:ascii="仿宋_GB2312" w:hAnsi="仿宋_GB2312" w:eastAsia="仿宋_GB2312"/>
                <w:b w:val="0"/>
                <w:color w:val="000000"/>
                <w:sz w:val="32"/>
              </w:rPr>
              <w:t>2.81</w:t>
            </w:r>
          </w:p>
        </w:tc>
      </w:tr>
      <w:tr>
        <w:tc>
          <w:tcPr>
            <w:tcW w:type="dxa" w:w="3402"/>
          </w:tcPr>
          <w:p>
            <w:pPr>
              <w:spacing w:lineRule="exact" w:line="600"/>
              <w:jc w:val="center"/>
            </w:pPr>
            <w:r/>
            <w:r>
              <w:rPr>
                <w:rFonts w:ascii="仿宋_GB2312" w:hAnsi="仿宋_GB2312" w:eastAsia="仿宋_GB2312"/>
                <w:b w:val="0"/>
                <w:color w:val="000000"/>
                <w:sz w:val="32"/>
              </w:rPr>
              <w:t>经调整净利润（亿元）</w:t>
            </w:r>
          </w:p>
        </w:tc>
        <w:tc>
          <w:tcPr>
            <w:tcW w:type="dxa" w:w="1871"/>
          </w:tcPr>
          <w:p>
            <w:pPr>
              <w:spacing w:lineRule="exact" w:line="600"/>
              <w:jc w:val="center"/>
            </w:pPr>
            <w:r/>
            <w:r>
              <w:rPr>
                <w:rFonts w:ascii="仿宋_GB2312" w:hAnsi="仿宋_GB2312" w:eastAsia="仿宋_GB2312"/>
                <w:b w:val="0"/>
                <w:color w:val="000000"/>
                <w:sz w:val="32"/>
              </w:rPr>
              <w:t>0.39</w:t>
            </w:r>
          </w:p>
        </w:tc>
        <w:tc>
          <w:tcPr>
            <w:tcW w:type="dxa" w:w="1871"/>
          </w:tcPr>
          <w:p>
            <w:pPr>
              <w:spacing w:lineRule="exact" w:line="600"/>
              <w:jc w:val="center"/>
            </w:pPr>
            <w:r/>
            <w:r>
              <w:rPr>
                <w:rFonts w:ascii="仿宋_GB2312" w:hAnsi="仿宋_GB2312" w:eastAsia="仿宋_GB2312"/>
                <w:b w:val="0"/>
                <w:color w:val="000000"/>
                <w:sz w:val="32"/>
              </w:rPr>
              <w:t>1.60</w:t>
            </w:r>
          </w:p>
        </w:tc>
        <w:tc>
          <w:tcPr>
            <w:tcW w:type="dxa" w:w="1871"/>
          </w:tcPr>
          <w:p>
            <w:pPr>
              <w:spacing w:lineRule="exact" w:line="600"/>
              <w:jc w:val="center"/>
            </w:pPr>
            <w:r/>
            <w:r>
              <w:rPr>
                <w:rFonts w:ascii="仿宋_GB2312" w:hAnsi="仿宋_GB2312" w:eastAsia="仿宋_GB2312"/>
                <w:b w:val="0"/>
                <w:color w:val="000000"/>
                <w:sz w:val="32"/>
              </w:rPr>
              <w:t>1.98</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871"/>
          </w:tcPr>
          <w:p>
            <w:pPr>
              <w:spacing w:lineRule="exact" w:line="600"/>
              <w:jc w:val="center"/>
            </w:pPr>
            <w:r/>
            <w:r>
              <w:rPr>
                <w:rFonts w:ascii="仿宋_GB2312" w:hAnsi="仿宋_GB2312" w:eastAsia="仿宋_GB2312"/>
                <w:b w:val="0"/>
                <w:color w:val="000000"/>
                <w:sz w:val="32"/>
              </w:rPr>
              <w:t>50.04</w:t>
            </w:r>
          </w:p>
        </w:tc>
        <w:tc>
          <w:tcPr>
            <w:tcW w:type="dxa" w:w="1871"/>
          </w:tcPr>
          <w:p>
            <w:pPr>
              <w:spacing w:lineRule="exact" w:line="600"/>
              <w:jc w:val="center"/>
            </w:pPr>
            <w:r/>
            <w:r>
              <w:rPr>
                <w:rFonts w:ascii="仿宋_GB2312" w:hAnsi="仿宋_GB2312" w:eastAsia="仿宋_GB2312"/>
                <w:b w:val="0"/>
                <w:color w:val="000000"/>
                <w:sz w:val="32"/>
              </w:rPr>
              <w:t>40.05</w:t>
            </w:r>
          </w:p>
        </w:tc>
        <w:tc>
          <w:tcPr>
            <w:tcW w:type="dxa" w:w="1871"/>
          </w:tcPr>
          <w:p>
            <w:pPr>
              <w:spacing w:lineRule="exact" w:line="600"/>
              <w:jc w:val="center"/>
            </w:pPr>
            <w:r/>
            <w:r>
              <w:rPr>
                <w:rFonts w:ascii="仿宋_GB2312" w:hAnsi="仿宋_GB2312" w:eastAsia="仿宋_GB2312"/>
                <w:b w:val="0"/>
                <w:color w:val="000000"/>
                <w:sz w:val="32"/>
              </w:rPr>
              <w:t>36.84</w:t>
            </w:r>
          </w:p>
        </w:tc>
      </w:tr>
      <w:tr>
        <w:tc>
          <w:tcPr>
            <w:tcW w:type="dxa" w:w="3402"/>
          </w:tcPr>
          <w:p>
            <w:pPr>
              <w:spacing w:lineRule="exact" w:line="600"/>
              <w:jc w:val="center"/>
            </w:pPr>
            <w:r/>
            <w:r>
              <w:rPr>
                <w:rFonts w:ascii="仿宋_GB2312" w:hAnsi="仿宋_GB2312" w:eastAsia="仿宋_GB2312"/>
                <w:b w:val="0"/>
                <w:color w:val="000000"/>
                <w:sz w:val="32"/>
              </w:rPr>
              <w:t>经营现金流净额（亿元）</w:t>
            </w:r>
          </w:p>
        </w:tc>
        <w:tc>
          <w:tcPr>
            <w:tcW w:type="dxa" w:w="1871"/>
          </w:tcPr>
          <w:p>
            <w:pPr>
              <w:spacing w:lineRule="exact" w:line="600"/>
              <w:jc w:val="center"/>
            </w:pPr>
            <w:r/>
            <w:r>
              <w:rPr>
                <w:rFonts w:ascii="仿宋_GB2312" w:hAnsi="仿宋_GB2312" w:eastAsia="仿宋_GB2312"/>
                <w:b w:val="0"/>
                <w:color w:val="000000"/>
                <w:sz w:val="32"/>
              </w:rPr>
              <w:t>约5.73</w:t>
            </w:r>
          </w:p>
        </w:tc>
        <w:tc>
          <w:tcPr>
            <w:tcW w:type="dxa" w:w="1871"/>
          </w:tcPr>
          <w:p>
            <w:pPr>
              <w:spacing w:lineRule="exact" w:line="600"/>
              <w:jc w:val="center"/>
            </w:pPr>
            <w:r/>
            <w:r>
              <w:rPr>
                <w:rFonts w:ascii="仿宋_GB2312" w:hAnsi="仿宋_GB2312" w:eastAsia="仿宋_GB2312"/>
                <w:b w:val="0"/>
                <w:color w:val="000000"/>
                <w:sz w:val="32"/>
              </w:rPr>
              <w:t>约3.52</w:t>
            </w:r>
          </w:p>
        </w:tc>
        <w:tc>
          <w:tcPr>
            <w:tcW w:type="dxa" w:w="1871"/>
          </w:tcPr>
          <w:p>
            <w:pPr>
              <w:spacing w:lineRule="exact" w:line="600"/>
              <w:jc w:val="center"/>
            </w:pPr>
            <w:r/>
            <w:r>
              <w:rPr>
                <w:rFonts w:ascii="仿宋_GB2312" w:hAnsi="仿宋_GB2312" w:eastAsia="仿宋_GB2312"/>
                <w:b w:val="0"/>
                <w:color w:val="000000"/>
                <w:sz w:val="32"/>
              </w:rPr>
              <w:t>约6.17</w:t>
            </w:r>
          </w:p>
        </w:tc>
      </w:tr>
      <w:tr>
        <w:tc>
          <w:tcPr>
            <w:tcW w:type="dxa" w:w="3402"/>
          </w:tcPr>
          <w:p>
            <w:pPr>
              <w:spacing w:lineRule="exact" w:line="600"/>
              <w:jc w:val="center"/>
            </w:pPr>
            <w:r/>
            <w:r>
              <w:rPr>
                <w:rFonts w:ascii="仿宋_GB2312" w:hAnsi="仿宋_GB2312" w:eastAsia="仿宋_GB2312"/>
                <w:b w:val="0"/>
                <w:color w:val="000000"/>
                <w:sz w:val="32"/>
              </w:rPr>
              <w:t>基本每股收益（元）</w:t>
            </w:r>
          </w:p>
        </w:tc>
        <w:tc>
          <w:tcPr>
            <w:tcW w:type="dxa" w:w="1871"/>
          </w:tcPr>
          <w:p>
            <w:pPr>
              <w:spacing w:lineRule="exact" w:line="600"/>
              <w:jc w:val="center"/>
            </w:pPr>
            <w:r/>
            <w:r>
              <w:rPr>
                <w:rFonts w:ascii="仿宋_GB2312" w:hAnsi="仿宋_GB2312" w:eastAsia="仿宋_GB2312"/>
                <w:b w:val="0"/>
                <w:color w:val="000000"/>
                <w:sz w:val="32"/>
              </w:rPr>
              <w:t>-0.55</w:t>
            </w:r>
          </w:p>
        </w:tc>
        <w:tc>
          <w:tcPr>
            <w:tcW w:type="dxa" w:w="1871"/>
          </w:tcPr>
          <w:p>
            <w:pPr>
              <w:spacing w:lineRule="exact" w:line="600"/>
              <w:jc w:val="center"/>
            </w:pPr>
            <w:r/>
            <w:r>
              <w:rPr>
                <w:rFonts w:ascii="仿宋_GB2312" w:hAnsi="仿宋_GB2312" w:eastAsia="仿宋_GB2312"/>
                <w:b w:val="0"/>
                <w:color w:val="000000"/>
                <w:sz w:val="32"/>
              </w:rPr>
              <w:t>0.11</w:t>
            </w:r>
          </w:p>
        </w:tc>
        <w:tc>
          <w:tcPr>
            <w:tcW w:type="dxa" w:w="1871"/>
          </w:tcPr>
          <w:p>
            <w:pPr>
              <w:spacing w:lineRule="exact" w:line="600"/>
              <w:jc w:val="center"/>
            </w:pPr>
            <w:r/>
            <w:r>
              <w:rPr>
                <w:rFonts w:ascii="仿宋_GB2312" w:hAnsi="仿宋_GB2312" w:eastAsia="仿宋_GB2312"/>
                <w:b w:val="0"/>
                <w:color w:val="000000"/>
                <w:sz w:val="32"/>
              </w:rPr>
              <w:t>0.18</w:t>
            </w:r>
          </w:p>
        </w:tc>
      </w:tr>
      <w:tr>
        <w:tc>
          <w:tcPr>
            <w:tcW w:type="dxa" w:w="3402"/>
          </w:tcPr>
          <w:p>
            <w:pPr>
              <w:spacing w:lineRule="exact" w:line="600"/>
              <w:jc w:val="center"/>
            </w:pPr>
            <w:r/>
            <w:r>
              <w:rPr>
                <w:rFonts w:ascii="仿宋_GB2312" w:hAnsi="仿宋_GB2312" w:eastAsia="仿宋_GB2312"/>
                <w:b w:val="0"/>
                <w:color w:val="000000"/>
                <w:sz w:val="32"/>
              </w:rPr>
              <w:t>平均净资产收益率（%）</w:t>
            </w:r>
          </w:p>
        </w:tc>
        <w:tc>
          <w:tcPr>
            <w:tcW w:type="dxa" w:w="1871"/>
          </w:tcPr>
          <w:p>
            <w:pPr>
              <w:spacing w:lineRule="exact" w:line="600"/>
              <w:jc w:val="center"/>
            </w:pPr>
            <w:r/>
            <w:r>
              <w:rPr>
                <w:rFonts w:ascii="仿宋_GB2312" w:hAnsi="仿宋_GB2312" w:eastAsia="仿宋_GB2312"/>
                <w:b w:val="0"/>
                <w:color w:val="000000"/>
                <w:sz w:val="32"/>
              </w:rPr>
              <w:t>-25.58</w:t>
            </w:r>
          </w:p>
        </w:tc>
        <w:tc>
          <w:tcPr>
            <w:tcW w:type="dxa" w:w="1871"/>
          </w:tcPr>
          <w:p>
            <w:pPr>
              <w:spacing w:lineRule="exact" w:line="600"/>
              <w:jc w:val="center"/>
            </w:pPr>
            <w:r/>
            <w:r>
              <w:rPr>
                <w:rFonts w:ascii="仿宋_GB2312" w:hAnsi="仿宋_GB2312" w:eastAsia="仿宋_GB2312"/>
                <w:b w:val="0"/>
                <w:color w:val="000000"/>
                <w:sz w:val="32"/>
              </w:rPr>
              <w:t>5.68</w:t>
            </w:r>
          </w:p>
        </w:tc>
        <w:tc>
          <w:tcPr>
            <w:tcW w:type="dxa" w:w="1871"/>
          </w:tcPr>
          <w:p>
            <w:pPr>
              <w:spacing w:lineRule="exact" w:line="600"/>
              <w:jc w:val="center"/>
            </w:pPr>
            <w:r/>
            <w:r>
              <w:rPr>
                <w:rFonts w:ascii="仿宋_GB2312" w:hAnsi="仿宋_GB2312" w:eastAsia="仿宋_GB2312"/>
                <w:b w:val="0"/>
                <w:color w:val="000000"/>
                <w:sz w:val="32"/>
              </w:rPr>
              <w:t>8.86</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2022年受新凤祥财务资金减值拖累净亏损7.69亿元（经调整净利润仍为正0.39亿元）；2023年归母净利润回升至1.60亿元，净利率3.12%；2024年营收55.05亿元（+7.2%）、归母净利润2.81亿元（+75.2%）、净利率5.10%，毛利率提升至11.99%，盈利能力随深加工占比提升与降本增效持续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52.35亿元，其中固定资产28.44亿元、生产性生物资产2.05亿元、存货9.69亿元、货币资金3.55亿元，资产以生产经营性资产为主。2024年货币资金较期初增78.8%，递延所得税资产因亏损弥补预期大幅增加；应收账款周转率18.36次，存货周转率5.06次，资产运营效率良好。</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负债合计19.28亿元，资产负债率36.84%（较2022年50.04%显著下降），负债结构以流动负债为主（15.20亿元，占78.8%）；短期借款6.34亿元、应付账款3.99亿元、一年内到期非流动负债1.87亿元；非流动负债4.08亿元（长期借款1.60亿元、租赁负债2.04亿元）。流动比率1.14、速动比率0.50，短期偿债压力可控。财务费用由2023年1.03亿元降至2024年0.52亿元（-49.4%），利息负担明显缓解。</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2024年经营活动现金流净额约6.17亿元（+73.2%），盈利质量高；投资活动现金流净额约-1.37亿元（产能维护与升级）；筹资活动现金流净额约-3.48亿元（偿还债务）。整体现金流状况稳健，自我造血能力增强。</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A股禽肉企业（如圣农发展、益生股份、民和股份）相比，凤祥股份收入规模（55亿元）处于行业前列，但毛利率（约12%）低于圣农等一体化龙头，主要因出口与B2B业务占比高、议价受限；其出口规模与品牌（优形）具备差异化优势。2024年行业普遍回暖背景下，公司净利增速领先。</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制企业，设董事会（执行董事肖东生、石磊；非执行董事邱中伟、吕崴、朱凌洁、周瑞佳；独立非执行董事王安易、赵迎琳、钟伟文）、监事会及审计/提名/薪酬委员会，独立核数师为立信会计师事务所，治理架构符合港股规范。私有化后转为非公众公司，治理按境内非上市股份公司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董事会主席朱凌洁；执行董事肖东生、石磊（兼任董事会秘书）；核心管理层具备多年禽肉食品产业经验。2024年管理费用1.31亿元（+30.0%），反映组织与人才投入加大。</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覆盖饲料、养殖、屠宰、深加工的全链条质量安全内控体系，通过ISO及客户（国际餐饮巨头）严苛审核；设审计委员会监督财务报告与内控。2022年新凤祥财务资金占用事件暴露了关联方资金管理的历史风险，私有化后相关风险已随财务公司清算出清。</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以养殖、生产一线为主，具体人数未公开披露；拥有省级企业技术中心与研发团队，2024年研发费用0.26亿元。公司注重技能与质量人才培养，曾获山东省白酒/食品行业技能荣誉（间接反映制造管理体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产业链一体化：种鸡—饲料—养殖—屠宰—深加工纵向整合，成本与品控优势明显。二是出口龙头地位：中国白羽鸡最大出口商，近30年国际渠道与质量口碑，客户黏性强。三是品牌与渠道：深耕"优形"等C端品牌，B2B绑定国际餐饮巨头，多渠道协同。四是规模与认证：年加工43万吨级产能、完善食品安全体系与国际客户认证，形成准入壁垒。五是资本重构：PAG入主后财务结构优化（负债率降至37%），为后续发展提供资本支持。</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价格周期风险：白羽肉鸡价格、饲料成本（玉米、豆粕）波动直接影响盈利，2022年即因成本与减值大幅亏损。二是疫病风险：禽流感等疫情扰动供给与出口（2024年部分国家供给受扰公司反向受益，但亦存不确定性）。三是客户集中风险：B2B与出口大客户占比高，单一客户变动影响大。四是贸易与汇率风险：出口占比30%+，受地缘政治、关税及人民币汇率影响。五是历史关联风险：原控股股东新凤祥系债务逾期及财务公司资金占用曾引发减值与诉讼，私有化后已出清，但需持续关注治理规范。应对措施：延伸深加工、拓展多渠道与多市场、强化内控与成本管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围绕四类业务探讨协同：一是供应链金融，针对饲料采购、鸡肉销售提供应收账款保理与订单融资，盘活B2B应收账款；二是融资租赁，支持屠宰与深加工产线智能化、绿色化改造；三是商业保理，服务出口应收账款的融资与避险；四是小贷/过桥，满足季节性流动资金需求。考虑到公司已私有化并由PAG控制、财务结构稳健，合作需以产业资本协同为前提，重点评估其出口订单与现金流真实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凤祥股份是中国白羽肉鸡全产业链与出口双龙头，2024年业绩显著修复（营收55亿、净利2.81亿、负债率降至37%），深加工占比过半标志结构升级见效。短板在于毛利率偏低、历史关联风险出清后治理仍需规范。未来应聚焦：深加工与自有品牌（优形）放量、出口多元市场、降本增效与数字化。挑战在于行业周期与贸易环境。建议山东投资以产业金融协同切入，把握其私有化后资本重构与产业链延伸机遇，同时强化合规与风控尽调。</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本报告数据来源于：山东凤祥股份2022/2023/2024年度报告及年度业绩公告（香港交易所披露易 www.hkexnews.hk）、东方财富F10（emweb.securities.eastmoney.com）、同花顺F10（basic.10jqka.com.cn/HK9977）、立信会计师事务所审计数据、济南时报/经济日报等公开报道。财务数据均来自经审计合并报表。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