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阳谷县高端颐养膳食特色产业集群</w:t>
      </w:r>
    </w:p>
    <w:p>
      <w:pPr>
        <w:spacing w:lineRule="exact" w:line="600" w:before="240" w:after="240"/>
        <w:ind w:firstLine="0"/>
        <w:jc w:val="center"/>
      </w:pPr>
      <w:r>
        <w:rPr>
          <w:rFonts w:ascii="方正小标宋简体" w:hAnsi="方正小标宋简体" w:eastAsia="方正小标宋简体"/>
          <w:b w:val="0"/>
          <w:color w:val="000000"/>
          <w:sz w:val="44"/>
        </w:rPr>
        <w:t>阳谷蒿之源食品有限公司企业分析报告</w:t>
      </w:r>
    </w:p>
    <w:p>
      <w:pPr>
        <w:spacing w:lineRule="exact" w:line="600" w:before="0" w:after="0"/>
        <w:jc w:val="left"/>
      </w:pPr>
      <w:r>
        <w:rPr>
          <w:rFonts w:ascii="仿宋_GB2312" w:hAnsi="仿宋_GB2312" w:eastAsia="仿宋_GB2312"/>
          <w:b w:val="0"/>
          <w:color w:val="000000"/>
          <w:sz w:val="28"/>
        </w:rPr>
        <w:t>（本报告数据来源于国家企业信用信息公示系统、天眼查、企查查、爱企查及公开工商信息等公开渠道，统计时点截至2024年工商年报。该公司为非上市民营企业，财务数据未公开披露，已如实标注，未编造具体数字。）</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山东阳谷蒿之源食品有限公司（统一社会信用代码91371521494145655D）成立于2014年3月18日，法定代表人为岳元厂，注册资本500万元（实缴资本500万元），企业类型为有限责任公司（自然人独资），注册地址位于山东省聊城市阳谷县狮子楼办事处运河西路。公司所属行业为农副食品加工业（水产品冷冻加工C1361），经营范围包括：许可项目——食品生产、食品销售、食品互联网销售、家禽屠宰、牲畜屠宰、生猪屠宰、种畜禽生产/经营、道路货物运输；一般项目——食品进出口、畜禽收购、低温仓储、新鲜蔬菜/水果批发零售等。公司登记状态为存续，系增值税一般纳税人，被认定为小微企业，2024年税务信用A级。</w:t>
      </w:r>
    </w:p>
    <w:p>
      <w:pPr>
        <w:spacing w:lineRule="exact" w:line="600" w:before="0" w:after="0"/>
        <w:ind w:firstLine="420"/>
        <w:jc w:val="both"/>
      </w:pPr>
      <w:r>
        <w:rPr>
          <w:rFonts w:ascii="仿宋_GB2312" w:hAnsi="仿宋_GB2312" w:eastAsia="仿宋_GB2312"/>
          <w:b w:val="0"/>
          <w:color w:val="000000"/>
          <w:sz w:val="32"/>
        </w:rPr>
        <w:t>股权结构方面，公司由自然人岳元厂100%持股，岳元厂任法定代表人、执行董事兼总经理，为公司控股股东、实际控制人及受益所有人。公司无国有股东及外部机构投资者。</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公司系单一法人主体，公开渠道披露其设有1家分支机构。内部设生产、采购、销售、质检等部门。据2024年工商年报，公司参保人数42人，人员规模小于50人。</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公司成立于2014年，立足阳谷县农副食品加工基础，发展禽类屠宰、冷冻加工与食品生产业务。2024年取得"年屠宰3000万只禽类项目"取水许可延续，并中标阳谷县教体系统餐厅食材配送服务项目，业务向食材供应链延伸。公司获评2024年税务A级，拥有商标16—18项、专利7—10项。</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公司定位为农副食品（禽肉及冻品）加工与食材供应企业，是阳谷县高端颐养膳食集群中"药食同源与膳食食品"方向的代表。主营业务包括家禽/牲畜/生猪屠宰、冷冻食品加工、食品生产销售及低温仓储，并从事食品进出口与生鲜果蔬批发零售，可为学校、餐饮等提供食材配送。</w:t>
      </w:r>
    </w:p>
    <w:p>
      <w:pPr>
        <w:spacing w:lineRule="exact" w:line="600" w:before="120" w:after="120"/>
        <w:ind w:firstLine="420"/>
        <w:jc w:val="left"/>
      </w:pPr>
      <w:r>
        <w:rPr>
          <w:rFonts w:ascii="黑体" w:hAnsi="黑体" w:eastAsia="黑体"/>
          <w:b w:val="0"/>
          <w:color w:val="000000"/>
          <w:sz w:val="32"/>
        </w:rPr>
        <w:t>二、业务层面分析（核心）</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公司业务以禽类屠宰与冷冻食品加工销售为核心，辅以食品进出口、低温仓储及生鲜果蔬贸易，并拓展食材配送（如学校餐厅）服务。具体收入构成金额未公开披露。</w:t>
      </w:r>
    </w:p>
    <w:p>
      <w:pPr>
        <w:spacing w:lineRule="exact" w:line="600" w:before="120" w:after="120"/>
        <w:ind w:firstLine="420"/>
        <w:jc w:val="left"/>
      </w:pPr>
      <w:r>
        <w:rPr>
          <w:rFonts w:ascii="楷体_GB2312" w:hAnsi="楷体_GB2312" w:eastAsia="楷体_GB2312"/>
          <w:b w:val="0"/>
          <w:color w:val="000000"/>
          <w:sz w:val="32"/>
        </w:rPr>
        <w:t>（二）主要产品/服务</w:t>
      </w:r>
    </w:p>
    <w:p>
      <w:pPr>
        <w:spacing w:lineRule="exact" w:line="600" w:before="0" w:after="0"/>
        <w:ind w:firstLine="420"/>
        <w:jc w:val="both"/>
      </w:pPr>
      <w:r>
        <w:rPr>
          <w:rFonts w:ascii="仿宋_GB2312" w:hAnsi="仿宋_GB2312" w:eastAsia="仿宋_GB2312"/>
          <w:b w:val="0"/>
          <w:color w:val="000000"/>
          <w:sz w:val="32"/>
        </w:rPr>
        <w:t>主要产品为冷冻禽肉及加工食品（如卡兹脆鸡排、凤背肉串等，拥有相应外观专利）、低温仓储服务、生鲜果蔬，并提供餐厅食材集采配送。</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客户包括生鲜批发商、餐饮企业、学校及团膳单位。2024年中标阳谷县教体系统餐厅食材配送服务项目，体现其进入公共食材供应链。前五大客户名称未公开披露。</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主要采购活禽（畜禽收购）、包装材料及辅料。公司具备畜禽收购与低温仓储能力，供应链管理以本地养殖与收购为主。</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公司持有家禽/牲畜/生猪屠宰许可、食品生产/经营许可、食品互联网销售及道路货物运输资质，并具备低温仓储能力；2024年获"年屠宰3000万只禽类项目"取水许可。商标16—18项、专利7—10项、资质证书约10项、行政许可9—17项。</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采用"批发+电商+配送"模式，依托低温仓储与冷链能力服务B端客户，并通过食品互联网销售拓展C端，2024年切入学校食材配送招标市场。</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公司财务与产销量数据未公开披露。年屠宰能力约3000万只禽类（据项目许可），在阳谷及聊城区域禽肉加工市场具有一定地位，但具体市场份额缺少公开数据。</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0" w:after="0"/>
        <w:ind w:firstLine="420"/>
        <w:jc w:val="both"/>
      </w:pPr>
      <w:r>
        <w:rPr>
          <w:rFonts w:ascii="仿宋_GB2312" w:hAnsi="仿宋_GB2312" w:eastAsia="仿宋_GB2312"/>
          <w:b w:val="0"/>
          <w:color w:val="000000"/>
          <w:sz w:val="32"/>
        </w:rPr>
        <w:t>阳谷蒿之源食品有限公司为非上市民营企业，未公开披露经审计财务报告，近三年主要会计数据无法通过公开渠道获取。本节基于工商及行业公开信息作定性分析。</w:t>
      </w:r>
    </w:p>
    <w:p>
      <w:pPr>
        <w:spacing w:lineRule="exact" w:line="600" w:before="120" w:after="120"/>
        <w:ind w:firstLine="420"/>
        <w:jc w:val="left"/>
      </w:pPr>
      <w:r>
        <w:rPr>
          <w:rFonts w:ascii="楷体_GB2312" w:hAnsi="楷体_GB2312" w:eastAsia="楷体_GB2312"/>
          <w:b w:val="0"/>
          <w:color w:val="000000"/>
          <w:sz w:val="32"/>
        </w:rPr>
        <w:t>（一）近三年主要会计数据</w:t>
      </w:r>
    </w:p>
    <w:tbl>
      <w:tblPr>
        <w:tblStyle w:val="TableGrid"/>
        <w:tblW w:type="auto" w:w="0"/>
        <w:jc w:val="center"/>
        <w:tblLook w:firstColumn="1" w:firstRow="1" w:lastColumn="0" w:lastRow="0" w:noHBand="0" w:noVBand="1" w:val="04A0"/>
      </w:tblPr>
      <w:tblGrid>
        <w:gridCol w:w="2211"/>
        <w:gridCol w:w="2211"/>
        <w:gridCol w:w="2211"/>
        <w:gridCol w:w="2211"/>
      </w:tblGrid>
      <w:tr>
        <w:tc>
          <w:tcPr>
            <w:tcW w:type="dxa" w:w="3402"/>
          </w:tcPr>
          <w:p>
            <w:pPr>
              <w:spacing w:lineRule="exact" w:line="600"/>
              <w:jc w:val="center"/>
            </w:pPr>
            <w:r/>
            <w:r>
              <w:rPr>
                <w:rFonts w:ascii="黑体" w:hAnsi="黑体" w:eastAsia="黑体"/>
                <w:b/>
                <w:color w:val="000000"/>
                <w:sz w:val="32"/>
              </w:rPr>
              <w:t>指标</w:t>
            </w:r>
          </w:p>
        </w:tc>
        <w:tc>
          <w:tcPr>
            <w:tcW w:type="dxa" w:w="1984"/>
          </w:tcPr>
          <w:p>
            <w:pPr>
              <w:spacing w:lineRule="exact" w:line="600"/>
              <w:jc w:val="center"/>
            </w:pPr>
            <w:r/>
            <w:r>
              <w:rPr>
                <w:rFonts w:ascii="黑体" w:hAnsi="黑体" w:eastAsia="黑体"/>
                <w:b/>
                <w:color w:val="000000"/>
                <w:sz w:val="32"/>
              </w:rPr>
              <w:t>2022年</w:t>
            </w:r>
          </w:p>
        </w:tc>
        <w:tc>
          <w:tcPr>
            <w:tcW w:type="dxa" w:w="1984"/>
          </w:tcPr>
          <w:p>
            <w:pPr>
              <w:spacing w:lineRule="exact" w:line="600"/>
              <w:jc w:val="center"/>
            </w:pPr>
            <w:r/>
            <w:r>
              <w:rPr>
                <w:rFonts w:ascii="黑体" w:hAnsi="黑体" w:eastAsia="黑体"/>
                <w:b/>
                <w:color w:val="000000"/>
                <w:sz w:val="32"/>
              </w:rPr>
              <w:t>2023年</w:t>
            </w:r>
          </w:p>
        </w:tc>
        <w:tc>
          <w:tcPr>
            <w:tcW w:type="dxa" w:w="1984"/>
          </w:tcPr>
          <w:p>
            <w:pPr>
              <w:spacing w:lineRule="exact" w:line="600"/>
              <w:jc w:val="center"/>
            </w:pPr>
            <w:r/>
            <w:r>
              <w:rPr>
                <w:rFonts w:ascii="黑体" w:hAnsi="黑体" w:eastAsia="黑体"/>
                <w:b/>
                <w:color w:val="000000"/>
                <w:sz w:val="32"/>
              </w:rPr>
              <w:t>2024年</w:t>
            </w:r>
          </w:p>
        </w:tc>
      </w:tr>
      <w:tr>
        <w:tc>
          <w:tcPr>
            <w:tcW w:type="dxa" w:w="3402"/>
          </w:tcPr>
          <w:p>
            <w:pPr>
              <w:spacing w:lineRule="exact" w:line="600"/>
              <w:jc w:val="center"/>
            </w:pPr>
            <w:r/>
            <w:r>
              <w:rPr>
                <w:rFonts w:ascii="仿宋_GB2312" w:hAnsi="仿宋_GB2312" w:eastAsia="仿宋_GB2312"/>
                <w:b w:val="0"/>
                <w:color w:val="000000"/>
                <w:sz w:val="32"/>
              </w:rPr>
              <w:t>营业收入（亿元）</w:t>
            </w:r>
          </w:p>
        </w:tc>
        <w:tc>
          <w:tcPr>
            <w:tcW w:type="dxa" w:w="1984"/>
          </w:tcPr>
          <w:p>
            <w:pPr>
              <w:spacing w:lineRule="exact" w:line="600"/>
              <w:jc w:val="center"/>
            </w:pPr>
            <w:r/>
            <w:r>
              <w:rPr>
                <w:rFonts w:ascii="仿宋_GB2312" w:hAnsi="仿宋_GB2312" w:eastAsia="仿宋_GB2312"/>
                <w:b w:val="0"/>
                <w:color w:val="000000"/>
                <w:sz w:val="32"/>
              </w:rPr>
              <w:t>未公开披露</w:t>
            </w:r>
          </w:p>
        </w:tc>
        <w:tc>
          <w:tcPr>
            <w:tcW w:type="dxa" w:w="1984"/>
          </w:tcPr>
          <w:p>
            <w:pPr>
              <w:spacing w:lineRule="exact" w:line="600"/>
              <w:jc w:val="center"/>
            </w:pPr>
            <w:r/>
            <w:r>
              <w:rPr>
                <w:rFonts w:ascii="仿宋_GB2312" w:hAnsi="仿宋_GB2312" w:eastAsia="仿宋_GB2312"/>
                <w:b w:val="0"/>
                <w:color w:val="000000"/>
                <w:sz w:val="32"/>
              </w:rPr>
              <w:t>未公开披露</w:t>
            </w:r>
          </w:p>
        </w:tc>
        <w:tc>
          <w:tcPr>
            <w:tcW w:type="dxa" w:w="1984"/>
          </w:tcPr>
          <w:p>
            <w:pPr>
              <w:spacing w:lineRule="exact" w:line="600"/>
              <w:jc w:val="center"/>
            </w:pPr>
            <w:r/>
            <w:r>
              <w:rPr>
                <w:rFonts w:ascii="仿宋_GB2312" w:hAnsi="仿宋_GB2312" w:eastAsia="仿宋_GB2312"/>
                <w:b w:val="0"/>
                <w:color w:val="000000"/>
                <w:sz w:val="32"/>
              </w:rPr>
              <w:t>未公开披露</w:t>
            </w:r>
          </w:p>
        </w:tc>
      </w:tr>
      <w:tr>
        <w:tc>
          <w:tcPr>
            <w:tcW w:type="dxa" w:w="3402"/>
          </w:tcPr>
          <w:p>
            <w:pPr>
              <w:spacing w:lineRule="exact" w:line="600"/>
              <w:jc w:val="center"/>
            </w:pPr>
            <w:r/>
            <w:r>
              <w:rPr>
                <w:rFonts w:ascii="仿宋_GB2312" w:hAnsi="仿宋_GB2312" w:eastAsia="仿宋_GB2312"/>
                <w:b w:val="0"/>
                <w:color w:val="000000"/>
                <w:sz w:val="32"/>
              </w:rPr>
              <w:t>净利润（亿元）</w:t>
            </w:r>
          </w:p>
        </w:tc>
        <w:tc>
          <w:tcPr>
            <w:tcW w:type="dxa" w:w="1984"/>
          </w:tcPr>
          <w:p>
            <w:pPr>
              <w:spacing w:lineRule="exact" w:line="600"/>
              <w:jc w:val="center"/>
            </w:pPr>
            <w:r/>
            <w:r>
              <w:rPr>
                <w:rFonts w:ascii="仿宋_GB2312" w:hAnsi="仿宋_GB2312" w:eastAsia="仿宋_GB2312"/>
                <w:b w:val="0"/>
                <w:color w:val="000000"/>
                <w:sz w:val="32"/>
              </w:rPr>
              <w:t>未公开披露</w:t>
            </w:r>
          </w:p>
        </w:tc>
        <w:tc>
          <w:tcPr>
            <w:tcW w:type="dxa" w:w="1984"/>
          </w:tcPr>
          <w:p>
            <w:pPr>
              <w:spacing w:lineRule="exact" w:line="600"/>
              <w:jc w:val="center"/>
            </w:pPr>
            <w:r/>
            <w:r>
              <w:rPr>
                <w:rFonts w:ascii="仿宋_GB2312" w:hAnsi="仿宋_GB2312" w:eastAsia="仿宋_GB2312"/>
                <w:b w:val="0"/>
                <w:color w:val="000000"/>
                <w:sz w:val="32"/>
              </w:rPr>
              <w:t>未公开披露</w:t>
            </w:r>
          </w:p>
        </w:tc>
        <w:tc>
          <w:tcPr>
            <w:tcW w:type="dxa" w:w="1984"/>
          </w:tcPr>
          <w:p>
            <w:pPr>
              <w:spacing w:lineRule="exact" w:line="600"/>
              <w:jc w:val="center"/>
            </w:pPr>
            <w:r/>
            <w:r>
              <w:rPr>
                <w:rFonts w:ascii="仿宋_GB2312" w:hAnsi="仿宋_GB2312" w:eastAsia="仿宋_GB2312"/>
                <w:b w:val="0"/>
                <w:color w:val="000000"/>
                <w:sz w:val="32"/>
              </w:rPr>
              <w:t>未公开披露</w:t>
            </w:r>
          </w:p>
        </w:tc>
      </w:tr>
      <w:tr>
        <w:tc>
          <w:tcPr>
            <w:tcW w:type="dxa" w:w="3402"/>
          </w:tcPr>
          <w:p>
            <w:pPr>
              <w:spacing w:lineRule="exact" w:line="600"/>
              <w:jc w:val="center"/>
            </w:pPr>
            <w:r/>
            <w:r>
              <w:rPr>
                <w:rFonts w:ascii="仿宋_GB2312" w:hAnsi="仿宋_GB2312" w:eastAsia="仿宋_GB2312"/>
                <w:b w:val="0"/>
                <w:color w:val="000000"/>
                <w:sz w:val="32"/>
              </w:rPr>
              <w:t>毛利率</w:t>
            </w:r>
          </w:p>
        </w:tc>
        <w:tc>
          <w:tcPr>
            <w:tcW w:type="dxa" w:w="1984"/>
          </w:tcPr>
          <w:p>
            <w:pPr>
              <w:spacing w:lineRule="exact" w:line="600"/>
              <w:jc w:val="center"/>
            </w:pPr>
            <w:r/>
            <w:r>
              <w:rPr>
                <w:rFonts w:ascii="仿宋_GB2312" w:hAnsi="仿宋_GB2312" w:eastAsia="仿宋_GB2312"/>
                <w:b w:val="0"/>
                <w:color w:val="000000"/>
                <w:sz w:val="32"/>
              </w:rPr>
              <w:t>未公开披露</w:t>
            </w:r>
          </w:p>
        </w:tc>
        <w:tc>
          <w:tcPr>
            <w:tcW w:type="dxa" w:w="1984"/>
          </w:tcPr>
          <w:p>
            <w:pPr>
              <w:spacing w:lineRule="exact" w:line="600"/>
              <w:jc w:val="center"/>
            </w:pPr>
            <w:r/>
            <w:r>
              <w:rPr>
                <w:rFonts w:ascii="仿宋_GB2312" w:hAnsi="仿宋_GB2312" w:eastAsia="仿宋_GB2312"/>
                <w:b w:val="0"/>
                <w:color w:val="000000"/>
                <w:sz w:val="32"/>
              </w:rPr>
              <w:t>未公开披露</w:t>
            </w:r>
          </w:p>
        </w:tc>
        <w:tc>
          <w:tcPr>
            <w:tcW w:type="dxa" w:w="1984"/>
          </w:tcPr>
          <w:p>
            <w:pPr>
              <w:spacing w:lineRule="exact" w:line="600"/>
              <w:jc w:val="center"/>
            </w:pPr>
            <w:r/>
            <w:r>
              <w:rPr>
                <w:rFonts w:ascii="仿宋_GB2312" w:hAnsi="仿宋_GB2312" w:eastAsia="仿宋_GB2312"/>
                <w:b w:val="0"/>
                <w:color w:val="000000"/>
                <w:sz w:val="32"/>
              </w:rPr>
              <w:t>未公开披露</w:t>
            </w:r>
          </w:p>
        </w:tc>
      </w:tr>
      <w:tr>
        <w:tc>
          <w:tcPr>
            <w:tcW w:type="dxa" w:w="3402"/>
          </w:tcPr>
          <w:p>
            <w:pPr>
              <w:spacing w:lineRule="exact" w:line="600"/>
              <w:jc w:val="center"/>
            </w:pPr>
            <w:r/>
            <w:r>
              <w:rPr>
                <w:rFonts w:ascii="仿宋_GB2312" w:hAnsi="仿宋_GB2312" w:eastAsia="仿宋_GB2312"/>
                <w:b w:val="0"/>
                <w:color w:val="000000"/>
                <w:sz w:val="32"/>
              </w:rPr>
              <w:t>资产负债率</w:t>
            </w:r>
          </w:p>
        </w:tc>
        <w:tc>
          <w:tcPr>
            <w:tcW w:type="dxa" w:w="1984"/>
          </w:tcPr>
          <w:p>
            <w:pPr>
              <w:spacing w:lineRule="exact" w:line="600"/>
              <w:jc w:val="center"/>
            </w:pPr>
            <w:r/>
            <w:r>
              <w:rPr>
                <w:rFonts w:ascii="仿宋_GB2312" w:hAnsi="仿宋_GB2312" w:eastAsia="仿宋_GB2312"/>
                <w:b w:val="0"/>
                <w:color w:val="000000"/>
                <w:sz w:val="32"/>
              </w:rPr>
              <w:t>未公开披露</w:t>
            </w:r>
          </w:p>
        </w:tc>
        <w:tc>
          <w:tcPr>
            <w:tcW w:type="dxa" w:w="1984"/>
          </w:tcPr>
          <w:p>
            <w:pPr>
              <w:spacing w:lineRule="exact" w:line="600"/>
              <w:jc w:val="center"/>
            </w:pPr>
            <w:r/>
            <w:r>
              <w:rPr>
                <w:rFonts w:ascii="仿宋_GB2312" w:hAnsi="仿宋_GB2312" w:eastAsia="仿宋_GB2312"/>
                <w:b w:val="0"/>
                <w:color w:val="000000"/>
                <w:sz w:val="32"/>
              </w:rPr>
              <w:t>未公开披露</w:t>
            </w:r>
          </w:p>
        </w:tc>
        <w:tc>
          <w:tcPr>
            <w:tcW w:type="dxa" w:w="1984"/>
          </w:tcPr>
          <w:p>
            <w:pPr>
              <w:spacing w:lineRule="exact" w:line="600"/>
              <w:jc w:val="center"/>
            </w:pPr>
            <w:r/>
            <w:r>
              <w:rPr>
                <w:rFonts w:ascii="仿宋_GB2312" w:hAnsi="仿宋_GB2312" w:eastAsia="仿宋_GB2312"/>
                <w:b w:val="0"/>
                <w:color w:val="000000"/>
                <w:sz w:val="32"/>
              </w:rPr>
              <w:t>未公开披露</w:t>
            </w:r>
          </w:p>
        </w:tc>
      </w:tr>
      <w:tr>
        <w:tc>
          <w:tcPr>
            <w:tcW w:type="dxa" w:w="3402"/>
          </w:tcPr>
          <w:p>
            <w:pPr>
              <w:spacing w:lineRule="exact" w:line="600"/>
              <w:jc w:val="center"/>
            </w:pPr>
            <w:r/>
            <w:r>
              <w:rPr>
                <w:rFonts w:ascii="仿宋_GB2312" w:hAnsi="仿宋_GB2312" w:eastAsia="仿宋_GB2312"/>
                <w:b w:val="0"/>
                <w:color w:val="000000"/>
                <w:sz w:val="32"/>
              </w:rPr>
              <w:t>经营活动现金流（亿元）</w:t>
            </w:r>
          </w:p>
        </w:tc>
        <w:tc>
          <w:tcPr>
            <w:tcW w:type="dxa" w:w="1984"/>
          </w:tcPr>
          <w:p>
            <w:pPr>
              <w:spacing w:lineRule="exact" w:line="600"/>
              <w:jc w:val="center"/>
            </w:pPr>
            <w:r/>
            <w:r>
              <w:rPr>
                <w:rFonts w:ascii="仿宋_GB2312" w:hAnsi="仿宋_GB2312" w:eastAsia="仿宋_GB2312"/>
                <w:b w:val="0"/>
                <w:color w:val="000000"/>
                <w:sz w:val="32"/>
              </w:rPr>
              <w:t>未公开披露</w:t>
            </w:r>
          </w:p>
        </w:tc>
        <w:tc>
          <w:tcPr>
            <w:tcW w:type="dxa" w:w="1984"/>
          </w:tcPr>
          <w:p>
            <w:pPr>
              <w:spacing w:lineRule="exact" w:line="600"/>
              <w:jc w:val="center"/>
            </w:pPr>
            <w:r/>
            <w:r>
              <w:rPr>
                <w:rFonts w:ascii="仿宋_GB2312" w:hAnsi="仿宋_GB2312" w:eastAsia="仿宋_GB2312"/>
                <w:b w:val="0"/>
                <w:color w:val="000000"/>
                <w:sz w:val="32"/>
              </w:rPr>
              <w:t>未公开披露</w:t>
            </w:r>
          </w:p>
        </w:tc>
        <w:tc>
          <w:tcPr>
            <w:tcW w:type="dxa" w:w="1984"/>
          </w:tcPr>
          <w:p>
            <w:pPr>
              <w:spacing w:lineRule="exact" w:line="600"/>
              <w:jc w:val="center"/>
            </w:pPr>
            <w:r/>
            <w:r>
              <w:rPr>
                <w:rFonts w:ascii="仿宋_GB2312" w:hAnsi="仿宋_GB2312" w:eastAsia="仿宋_GB2312"/>
                <w:b w:val="0"/>
                <w:color w:val="000000"/>
                <w:sz w:val="32"/>
              </w:rPr>
              <w:t>未公开披露</w:t>
            </w:r>
          </w:p>
        </w:tc>
      </w:tr>
    </w:tbl>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缺乏公开财务数据，无法计算盈利指标。屠宰加工属微利充分竞争行业，盈利受活禽与冻品价差、产能利用率影响，具体规模未公开。</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公司注册资本500万元（全额实缴），资产以屠宰线设备、冷库（低温仓储）、存货为主。具体资产规模未公开披露。</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资产负债率及有息债务规模未公开披露。小微企业融资主要依赖银行信贷，偿债情况缺少公开数据。</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经营活动现金流净额未公开披露。屠宰加工企业现金流受收付款周期影响，具体数据缺失。</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可比公开财务数据缺失。公司与区域禽肉加工企业同属农副食品加工，规模偏小，凭借屠宰许可与冷链配送能力在本地市场立足。</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公司为自然人独资有限责任公司，治理结构简单：岳元厂任法定代表人、执行董事兼总经理，决策权高度集中。未公开披露董事会、监事会等完善治理机构。</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岳元厂任法定代表人、控股股东及实际控制人，全面负责经营。其他高管及核心人员背景未公开披露。</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公司持有屠宰与食品生产多项许可，应建立基本食品安全与质量管控制度。是否通过ISO等体系认证未公开披露。</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据2024年工商年报，公司参保人数42人，人员规模小于50人，属小微企业用工水平。专利与商标显示具备一定技术研发投入。</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资质与产能：具备家禽/牲畜/生猪全品类屠宰许可及年屠宰3000万只禽类能力，进入门槛较高。二是冷链与仓储：低温仓储+道路运输资质，支撑食材配送业务。三是渠道拓展：中标学校食材配送项目，切入公共供应链。四是知识产权：商标与外观专利（如包装袋、包装箱）形成一定品牌保护。五是A级信用：2024年税务A级，资信较好。</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0" w:after="0"/>
        <w:ind w:firstLine="420"/>
        <w:jc w:val="both"/>
      </w:pPr>
      <w:r>
        <w:rPr>
          <w:rFonts w:ascii="仿宋_GB2312" w:hAnsi="仿宋_GB2312" w:eastAsia="仿宋_GB2312"/>
          <w:b w:val="0"/>
          <w:color w:val="000000"/>
          <w:sz w:val="32"/>
        </w:rPr>
        <w:t>一是行业周期与价格风险：禽肉价格与活禽成本波动直接影响加工利润。二是食品安全风险：屠宰加工属高风险行业，质量事故影响重大。三是客户与回款风险：依赖B端大客户（如学校配送）回款周期，存在买卖合同、劳动合同等纠纷（据公开涉诉信息）。四是规模与合规风险：小微企业抗风险能力弱，需持续符合屠宰与环保监管。应对措施包括强化食品安全体系、拓展多元客户、规范合同与用工管理。</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可探讨：一是供应链金融，针对畜禽收购与冻品销售提供应收账款保理、订单融资；二是融资租赁，支持冷库扩容与屠宰线升级；三是商业保理，盘活食材配送应收账款；四是小贷，满足收禽旺季流动资金。授信前需尽调，核实真实经营、食品安全合规与还款来源。</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来看，阳谷蒿之源食品有限公司是阳谷膳食品集群中具备全品类屠宰资质与冷链配送能力的小微食品加工企业，2024年切入学校食材供应链、获税务A级，发展稳健但规模有限、财务透明度低。未来应聚焦：提升屠宰产能利用率、拓展食材配送与品牌冻品、强化食品安全体系。挑战在于行业微利与合规成本。建议公司规范财务、完善治理，借助产业金融服务与集群协同做精做强。</w:t>
      </w:r>
    </w:p>
    <w:p>
      <w:pPr>
        <w:spacing w:lineRule="exact" w:line="600" w:before="120" w:after="120"/>
        <w:ind w:firstLine="420"/>
        <w:jc w:val="left"/>
      </w:pPr>
      <w:r>
        <w:rPr>
          <w:rFonts w:ascii="黑体" w:hAnsi="黑体" w:eastAsia="黑体"/>
          <w:b w:val="0"/>
          <w:color w:val="000000"/>
          <w:sz w:val="32"/>
        </w:rPr>
        <w:t>数据来源说明</w:t>
      </w:r>
    </w:p>
    <w:p>
      <w:pPr>
        <w:spacing w:lineRule="exact" w:line="600" w:before="0" w:after="0"/>
        <w:ind w:firstLine="420"/>
        <w:jc w:val="both"/>
      </w:pPr>
      <w:r>
        <w:rPr>
          <w:rFonts w:ascii="仿宋_GB2312" w:hAnsi="仿宋_GB2312" w:eastAsia="仿宋_GB2312"/>
          <w:b w:val="0"/>
          <w:color w:val="000000"/>
          <w:sz w:val="32"/>
        </w:rPr>
        <w:t>本报告数据来源于：国家企业信用信息公示系统、天眼查（company/2321405135）、企查查、爱企查及公开工商信息等渠道，统计时点截至2024年工商年报。财务数据因公司为非上市民营企业未公开披露，相关章节已如实标注。</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