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青岛市城阳区橡塑材料产业集群</w:t>
      </w:r>
    </w:p>
    <w:p>
      <w:pPr>
        <w:spacing w:lineRule="exact" w:line="600" w:before="240" w:after="240"/>
        <w:ind w:firstLine="0"/>
        <w:jc w:val="center"/>
      </w:pPr>
      <w:r>
        <w:rPr>
          <w:rFonts w:ascii="方正小标宋简体" w:hAnsi="方正小标宋简体" w:eastAsia="方正小标宋简体"/>
          <w:b w:val="0"/>
          <w:color w:val="000000"/>
          <w:sz w:val="44"/>
        </w:rPr>
        <w:t>青岛国恩科技股份有限公司企业分析报告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新三板公开转让说明书、全国股转公司公开信息、天眼查/爱企查/企查查、公司官网及权威媒体等公开渠道，统计时点截至最新披露信息；非上市企业或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国恩科技股份有限公司（证券简称"国恩股份"，股票代码002768.SZ）成立于2000年12月22日，法定代表人、董事长兼总经理为王爱国，统一社会信用代码913702007255650680，注册资本30,125万元，注册地址位于青岛市城阳区青大工业园（棘洪滩街道），登记机关为青岛市市场监督管理局，经营状态为存续。公司于2015年6月30日在深圳证券交易所挂牌上市，是城阳区橡塑材料产业集群的龙头上市企业。股权结构方面，王爱国为控股股东及实际控制人，直接持股比例约41.83%（不同披露时点介于41.83%—46.45%之间），属民营控股上市公司；前十大股东合计持股约64.38%。</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以"大化工+大健康"一体两翼为战略，下设绿色石化材料（浙江一塑聚苯乙烯、江苏国恒聚丙烯、日照国恩化学可发性聚苯乙烯）、高分子改性材料、有机高分子复合材料、可降解材料、光显材料、运动健康材料及新能源汽车轻量化结构部品等业务板块；控股胶原领域上市公司东宝生物（300239.SZ，主营明胶、胶原蛋白、空心胶囊等），并设国恩京淘等终端业务平台；在青岛、日照、江苏、浙江、广东等沿海省市点阵式布局生产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2000年成立，2015年6月登陆深交所；2022年营收达134.06亿元创历史新高，由单一改性塑料升级为多品种化工新材料集团；2024年营收增至192.20亿元，并于2025年4月公告启动赴港发行H股并在香港联交所上市的相关筹备工作，旨在构建"A+H"双资本平台、加速产业升级。公司持续延链补链强链，形成纵向一体化产业平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绿色石化、高分子改性、有机高分子复合、可降解、光显、运动健康材料及新能源汽车轻量化结构部品于一体的化工新材料纵向一体化产业平台。主营业务为塑料原料及产品、改性塑料、塑料合金材料、功能塑料板材、模具、复合材料及制品的研发、生产、销售；并控股东宝生物布局"医、美、健、食"大健康产业（明胶、代血浆明胶、胶原蛋白、空心胶囊、双蛋白膳食纤维、美妆产品）。</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2024年营业收入192.20亿元，其中化工产业实现收入173.69亿元、占比90.38%（同比增长11.62%），健康产业收入8.50亿元、占比4.42%（同比下降12.39%）。化工板块内部，绿色石化材料（聚苯乙烯、聚丙烯、EPS）、高分子改性材料（家电及汽车改性、新能源、可降解、光显、人造草坪、熔喷医用等）、有机高分子复合材料（新能源汽车电池包、充电桩、乘用车电池盒、风电、轨道交通等）为三大支柱。</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改性塑料（家电/汽车改性材料、新能源材料、可降解材料、光显材料）、聚苯乙烯（浙江一塑年产100万吨项目，全球最大PS单体工厂之一）、聚丙烯（江苏国恒年产20万吨）、可发性聚苯乙烯（日照国恩化学年产12万吨）、高分子复合材料（HP-RTM巧克力超薄电池包、充电桩、电池盒、受电弓、智慧灯杆等）、以及东宝生物明胶/胶原蛋白/空心胶囊系列。</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客户覆盖家电（海尔等头部家电企业）、汽车及新能源汽车（动力电池头部企业、新能源车企）、建材新基建、医疗健康等领域。2024年前五大客户合计销售金额44.87亿元、占总销售23.34%，客户集中度适中。</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石化树脂（PS、PP、ABS等）、助剂及原辅料，价格受国际油价与石化行情影响；2024年前五名供应商合计采购金额61.46亿元、占年度采购总额35.48%。公司通过纵向一体化（自产树脂）对冲部分原料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在青岛、日照、江苏、浙江、广东布局多个生产基地：浙江一塑聚苯乙烯一期已投产、二期推进（整体达产将成全球最大PS单体工厂）；江苏国恒年产20万吨PP树脂全面投产；日照国恩化学年产12万吨EPS。具备危险化学品经营、食品添加剂生产（东宝生物）等资质；2024年研发投入6.03亿元（占比3.14%）。</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以直销大客户模式为主，深度绑定家电、汽车、新能源头部企业，并推进国际化（成立国际贸易部，在杭州、青岛设办事处）；大健康板块通过线上私域（国恩京淘、东宝圆素）与团购、OEM拓展To C端。</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营收192.20亿元（同比+10.21%），三年营业总收入复合增长率25.32%，在已披露2024年数据的15家改性塑料同行中排名第1；归母净利润6.76亿元（+45.18%）。公司营收规模居国内改性塑料与化工新材料第一梯队，但毛利率偏低（8.71%），体现"以量取胜"的规模化特征。</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青岛国恩科技为深交所上市公司（002768.SZ），财务数据来自2022—2024年年度报告、中证智能财讯及东方财富，单位：亿元。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268"/>
          </w:tcPr>
          <w:p>
            <w:pPr>
              <w:spacing w:lineRule="exact" w:line="600"/>
              <w:jc w:val="center"/>
            </w:pPr>
            <w:r/>
            <w:r>
              <w:rPr>
                <w:rFonts w:ascii="黑体" w:hAnsi="黑体" w:eastAsia="黑体"/>
                <w:b/>
                <w:color w:val="000000"/>
                <w:sz w:val="32"/>
              </w:rPr>
              <w:t>指标</w:t>
            </w:r>
          </w:p>
        </w:tc>
        <w:tc>
          <w:tcPr>
            <w:tcW w:type="dxa" w:w="2154"/>
          </w:tcPr>
          <w:p>
            <w:pPr>
              <w:spacing w:lineRule="exact" w:line="600"/>
              <w:jc w:val="center"/>
            </w:pPr>
            <w:r/>
            <w:r>
              <w:rPr>
                <w:rFonts w:ascii="黑体" w:hAnsi="黑体" w:eastAsia="黑体"/>
                <w:b/>
                <w:color w:val="000000"/>
                <w:sz w:val="32"/>
              </w:rPr>
              <w:t>2022年</w:t>
            </w:r>
          </w:p>
        </w:tc>
        <w:tc>
          <w:tcPr>
            <w:tcW w:type="dxa" w:w="2154"/>
          </w:tcPr>
          <w:p>
            <w:pPr>
              <w:spacing w:lineRule="exact" w:line="600"/>
              <w:jc w:val="center"/>
            </w:pPr>
            <w:r/>
            <w:r>
              <w:rPr>
                <w:rFonts w:ascii="黑体" w:hAnsi="黑体" w:eastAsia="黑体"/>
                <w:b/>
                <w:color w:val="000000"/>
                <w:sz w:val="32"/>
              </w:rPr>
              <w:t>2023年</w:t>
            </w:r>
          </w:p>
        </w:tc>
        <w:tc>
          <w:tcPr>
            <w:tcW w:type="dxa" w:w="2154"/>
          </w:tcPr>
          <w:p>
            <w:pPr>
              <w:spacing w:lineRule="exact" w:line="600"/>
              <w:jc w:val="center"/>
            </w:pPr>
            <w:r/>
            <w:r>
              <w:rPr>
                <w:rFonts w:ascii="黑体" w:hAnsi="黑体" w:eastAsia="黑体"/>
                <w:b/>
                <w:color w:val="000000"/>
                <w:sz w:val="32"/>
              </w:rPr>
              <w:t>2024年</w:t>
            </w:r>
          </w:p>
        </w:tc>
      </w:tr>
      <w:tr>
        <w:tc>
          <w:tcPr>
            <w:tcW w:type="dxa" w:w="2268"/>
          </w:tcPr>
          <w:p>
            <w:pPr>
              <w:spacing w:lineRule="exact" w:line="600"/>
              <w:jc w:val="center"/>
            </w:pPr>
            <w:r/>
            <w:r>
              <w:rPr>
                <w:rFonts w:ascii="仿宋_GB2312" w:hAnsi="仿宋_GB2312" w:eastAsia="仿宋_GB2312"/>
                <w:b w:val="0"/>
                <w:color w:val="000000"/>
                <w:sz w:val="32"/>
              </w:rPr>
              <w:t>营业收入</w:t>
            </w:r>
          </w:p>
        </w:tc>
        <w:tc>
          <w:tcPr>
            <w:tcW w:type="dxa" w:w="2154"/>
          </w:tcPr>
          <w:p>
            <w:pPr>
              <w:spacing w:lineRule="exact" w:line="600"/>
              <w:jc w:val="center"/>
            </w:pPr>
            <w:r/>
            <w:r>
              <w:rPr>
                <w:rFonts w:ascii="仿宋_GB2312" w:hAnsi="仿宋_GB2312" w:eastAsia="仿宋_GB2312"/>
                <w:b w:val="0"/>
                <w:color w:val="000000"/>
                <w:sz w:val="32"/>
              </w:rPr>
              <w:t>134.06</w:t>
            </w:r>
          </w:p>
        </w:tc>
        <w:tc>
          <w:tcPr>
            <w:tcW w:type="dxa" w:w="2154"/>
          </w:tcPr>
          <w:p>
            <w:pPr>
              <w:spacing w:lineRule="exact" w:line="600"/>
              <w:jc w:val="center"/>
            </w:pPr>
            <w:r/>
            <w:r>
              <w:rPr>
                <w:rFonts w:ascii="仿宋_GB2312" w:hAnsi="仿宋_GB2312" w:eastAsia="仿宋_GB2312"/>
                <w:b w:val="0"/>
                <w:color w:val="000000"/>
                <w:sz w:val="32"/>
              </w:rPr>
              <w:t>174.39</w:t>
            </w:r>
          </w:p>
        </w:tc>
        <w:tc>
          <w:tcPr>
            <w:tcW w:type="dxa" w:w="2154"/>
          </w:tcPr>
          <w:p>
            <w:pPr>
              <w:spacing w:lineRule="exact" w:line="600"/>
              <w:jc w:val="center"/>
            </w:pPr>
            <w:r/>
            <w:r>
              <w:rPr>
                <w:rFonts w:ascii="仿宋_GB2312" w:hAnsi="仿宋_GB2312" w:eastAsia="仿宋_GB2312"/>
                <w:b w:val="0"/>
                <w:color w:val="000000"/>
                <w:sz w:val="32"/>
              </w:rPr>
              <w:t>192.20</w:t>
            </w:r>
          </w:p>
        </w:tc>
      </w:tr>
      <w:tr>
        <w:tc>
          <w:tcPr>
            <w:tcW w:type="dxa" w:w="2268"/>
          </w:tcPr>
          <w:p>
            <w:pPr>
              <w:spacing w:lineRule="exact" w:line="600"/>
              <w:jc w:val="center"/>
            </w:pPr>
            <w:r/>
            <w:r>
              <w:rPr>
                <w:rFonts w:ascii="仿宋_GB2312" w:hAnsi="仿宋_GB2312" w:eastAsia="仿宋_GB2312"/>
                <w:b w:val="0"/>
                <w:color w:val="000000"/>
                <w:sz w:val="32"/>
              </w:rPr>
              <w:t>归母净利润</w:t>
            </w:r>
          </w:p>
        </w:tc>
        <w:tc>
          <w:tcPr>
            <w:tcW w:type="dxa" w:w="2154"/>
          </w:tcPr>
          <w:p>
            <w:pPr>
              <w:spacing w:lineRule="exact" w:line="600"/>
              <w:jc w:val="center"/>
            </w:pPr>
            <w:r/>
            <w:r>
              <w:rPr>
                <w:rFonts w:ascii="仿宋_GB2312" w:hAnsi="仿宋_GB2312" w:eastAsia="仿宋_GB2312"/>
                <w:b w:val="0"/>
                <w:color w:val="000000"/>
                <w:sz w:val="32"/>
              </w:rPr>
              <w:t>6.63</w:t>
            </w:r>
          </w:p>
        </w:tc>
        <w:tc>
          <w:tcPr>
            <w:tcW w:type="dxa" w:w="2154"/>
          </w:tcPr>
          <w:p>
            <w:pPr>
              <w:spacing w:lineRule="exact" w:line="600"/>
              <w:jc w:val="center"/>
            </w:pPr>
            <w:r/>
            <w:r>
              <w:rPr>
                <w:rFonts w:ascii="仿宋_GB2312" w:hAnsi="仿宋_GB2312" w:eastAsia="仿宋_GB2312"/>
                <w:b w:val="0"/>
                <w:color w:val="000000"/>
                <w:sz w:val="32"/>
              </w:rPr>
              <w:t>4.66</w:t>
            </w:r>
          </w:p>
        </w:tc>
        <w:tc>
          <w:tcPr>
            <w:tcW w:type="dxa" w:w="2154"/>
          </w:tcPr>
          <w:p>
            <w:pPr>
              <w:spacing w:lineRule="exact" w:line="600"/>
              <w:jc w:val="center"/>
            </w:pPr>
            <w:r/>
            <w:r>
              <w:rPr>
                <w:rFonts w:ascii="仿宋_GB2312" w:hAnsi="仿宋_GB2312" w:eastAsia="仿宋_GB2312"/>
                <w:b w:val="0"/>
                <w:color w:val="000000"/>
                <w:sz w:val="32"/>
              </w:rPr>
              <w:t>6.76</w:t>
            </w:r>
          </w:p>
        </w:tc>
      </w:tr>
      <w:tr>
        <w:tc>
          <w:tcPr>
            <w:tcW w:type="dxa" w:w="2268"/>
          </w:tcPr>
          <w:p>
            <w:pPr>
              <w:spacing w:lineRule="exact" w:line="600"/>
              <w:jc w:val="center"/>
            </w:pPr>
            <w:r/>
            <w:r>
              <w:rPr>
                <w:rFonts w:ascii="仿宋_GB2312" w:hAnsi="仿宋_GB2312" w:eastAsia="仿宋_GB2312"/>
                <w:b w:val="0"/>
                <w:color w:val="000000"/>
                <w:sz w:val="32"/>
              </w:rPr>
              <w:t>毛利率</w:t>
            </w:r>
          </w:p>
        </w:tc>
        <w:tc>
          <w:tcPr>
            <w:tcW w:type="dxa" w:w="2154"/>
          </w:tcPr>
          <w:p>
            <w:pPr>
              <w:spacing w:lineRule="exact" w:line="600"/>
              <w:jc w:val="center"/>
            </w:pPr>
            <w:r/>
            <w:r>
              <w:rPr>
                <w:rFonts w:ascii="仿宋_GB2312" w:hAnsi="仿宋_GB2312" w:eastAsia="仿宋_GB2312"/>
                <w:b w:val="0"/>
                <w:color w:val="000000"/>
                <w:sz w:val="32"/>
              </w:rPr>
              <w:t>未单列</w:t>
            </w:r>
          </w:p>
        </w:tc>
        <w:tc>
          <w:tcPr>
            <w:tcW w:type="dxa" w:w="2154"/>
          </w:tcPr>
          <w:p>
            <w:pPr>
              <w:spacing w:lineRule="exact" w:line="600"/>
              <w:jc w:val="center"/>
            </w:pPr>
            <w:r/>
            <w:r>
              <w:rPr>
                <w:rFonts w:ascii="仿宋_GB2312" w:hAnsi="仿宋_GB2312" w:eastAsia="仿宋_GB2312"/>
                <w:b w:val="0"/>
                <w:color w:val="000000"/>
                <w:sz w:val="32"/>
              </w:rPr>
              <w:t>9.96%</w:t>
            </w:r>
          </w:p>
        </w:tc>
        <w:tc>
          <w:tcPr>
            <w:tcW w:type="dxa" w:w="2154"/>
          </w:tcPr>
          <w:p>
            <w:pPr>
              <w:spacing w:lineRule="exact" w:line="600"/>
              <w:jc w:val="center"/>
            </w:pPr>
            <w:r/>
            <w:r>
              <w:rPr>
                <w:rFonts w:ascii="仿宋_GB2312" w:hAnsi="仿宋_GB2312" w:eastAsia="仿宋_GB2312"/>
                <w:b w:val="0"/>
                <w:color w:val="000000"/>
                <w:sz w:val="32"/>
              </w:rPr>
              <w:t>8.71%</w:t>
            </w:r>
          </w:p>
        </w:tc>
      </w:tr>
      <w:tr>
        <w:tc>
          <w:tcPr>
            <w:tcW w:type="dxa" w:w="2268"/>
          </w:tcPr>
          <w:p>
            <w:pPr>
              <w:spacing w:lineRule="exact" w:line="600"/>
              <w:jc w:val="center"/>
            </w:pPr>
            <w:r/>
            <w:r>
              <w:rPr>
                <w:rFonts w:ascii="仿宋_GB2312" w:hAnsi="仿宋_GB2312" w:eastAsia="仿宋_GB2312"/>
                <w:b w:val="0"/>
                <w:color w:val="000000"/>
                <w:sz w:val="32"/>
              </w:rPr>
              <w:t>资产负债率</w:t>
            </w:r>
          </w:p>
        </w:tc>
        <w:tc>
          <w:tcPr>
            <w:tcW w:type="dxa" w:w="2154"/>
          </w:tcPr>
          <w:p>
            <w:pPr>
              <w:spacing w:lineRule="exact" w:line="600"/>
              <w:jc w:val="center"/>
            </w:pPr>
            <w:r/>
            <w:r>
              <w:rPr>
                <w:rFonts w:ascii="仿宋_GB2312" w:hAnsi="仿宋_GB2312" w:eastAsia="仿宋_GB2312"/>
                <w:b w:val="0"/>
                <w:color w:val="000000"/>
                <w:sz w:val="32"/>
              </w:rPr>
              <w:t>53.73%</w:t>
            </w:r>
          </w:p>
        </w:tc>
        <w:tc>
          <w:tcPr>
            <w:tcW w:type="dxa" w:w="2154"/>
          </w:tcPr>
          <w:p>
            <w:pPr>
              <w:spacing w:lineRule="exact" w:line="600"/>
              <w:jc w:val="center"/>
            </w:pPr>
            <w:r/>
            <w:r>
              <w:rPr>
                <w:rFonts w:ascii="仿宋_GB2312" w:hAnsi="仿宋_GB2312" w:eastAsia="仿宋_GB2312"/>
                <w:b w:val="0"/>
                <w:color w:val="000000"/>
                <w:sz w:val="32"/>
              </w:rPr>
              <w:t>57.62%</w:t>
            </w:r>
          </w:p>
        </w:tc>
        <w:tc>
          <w:tcPr>
            <w:tcW w:type="dxa" w:w="2154"/>
          </w:tcPr>
          <w:p>
            <w:pPr>
              <w:spacing w:lineRule="exact" w:line="600"/>
              <w:jc w:val="center"/>
            </w:pPr>
            <w:r/>
            <w:r>
              <w:rPr>
                <w:rFonts w:ascii="仿宋_GB2312" w:hAnsi="仿宋_GB2312" w:eastAsia="仿宋_GB2312"/>
                <w:b w:val="0"/>
                <w:color w:val="000000"/>
                <w:sz w:val="32"/>
              </w:rPr>
              <w:t>61.68%</w:t>
            </w:r>
          </w:p>
        </w:tc>
      </w:tr>
      <w:tr>
        <w:tc>
          <w:tcPr>
            <w:tcW w:type="dxa" w:w="2268"/>
          </w:tcPr>
          <w:p>
            <w:pPr>
              <w:spacing w:lineRule="exact" w:line="600"/>
              <w:jc w:val="center"/>
            </w:pPr>
            <w:r/>
            <w:r>
              <w:rPr>
                <w:rFonts w:ascii="仿宋_GB2312" w:hAnsi="仿宋_GB2312" w:eastAsia="仿宋_GB2312"/>
                <w:b w:val="0"/>
                <w:color w:val="000000"/>
                <w:sz w:val="32"/>
              </w:rPr>
              <w:t>经营现金流净额</w:t>
            </w:r>
          </w:p>
        </w:tc>
        <w:tc>
          <w:tcPr>
            <w:tcW w:type="dxa" w:w="2154"/>
          </w:tcPr>
          <w:p>
            <w:pPr>
              <w:spacing w:lineRule="exact" w:line="600"/>
              <w:jc w:val="center"/>
            </w:pPr>
            <w:r/>
            <w:r>
              <w:rPr>
                <w:rFonts w:ascii="仿宋_GB2312" w:hAnsi="仿宋_GB2312" w:eastAsia="仿宋_GB2312"/>
                <w:b w:val="0"/>
                <w:color w:val="000000"/>
                <w:sz w:val="32"/>
              </w:rPr>
              <w:t>3.59</w:t>
            </w:r>
          </w:p>
        </w:tc>
        <w:tc>
          <w:tcPr>
            <w:tcW w:type="dxa" w:w="2154"/>
          </w:tcPr>
          <w:p>
            <w:pPr>
              <w:spacing w:lineRule="exact" w:line="600"/>
              <w:jc w:val="center"/>
            </w:pPr>
            <w:r/>
            <w:r>
              <w:rPr>
                <w:rFonts w:ascii="仿宋_GB2312" w:hAnsi="仿宋_GB2312" w:eastAsia="仿宋_GB2312"/>
                <w:b w:val="0"/>
                <w:color w:val="000000"/>
                <w:sz w:val="32"/>
              </w:rPr>
              <w:t>4.88</w:t>
            </w:r>
          </w:p>
        </w:tc>
        <w:tc>
          <w:tcPr>
            <w:tcW w:type="dxa" w:w="2154"/>
          </w:tcPr>
          <w:p>
            <w:pPr>
              <w:spacing w:lineRule="exact" w:line="600"/>
              <w:jc w:val="center"/>
            </w:pPr>
            <w:r/>
            <w:r>
              <w:rPr>
                <w:rFonts w:ascii="仿宋_GB2312" w:hAnsi="仿宋_GB2312" w:eastAsia="仿宋_GB2312"/>
                <w:b w:val="0"/>
                <w:color w:val="000000"/>
                <w:sz w:val="32"/>
              </w:rPr>
              <w:t>5.53</w:t>
            </w:r>
          </w:p>
        </w:tc>
      </w:tr>
      <w:tr>
        <w:tc>
          <w:tcPr>
            <w:tcW w:type="dxa" w:w="2268"/>
          </w:tcPr>
          <w:p>
            <w:pPr>
              <w:spacing w:lineRule="exact" w:line="600"/>
              <w:jc w:val="center"/>
            </w:pPr>
            <w:r/>
            <w:r>
              <w:rPr>
                <w:rFonts w:ascii="仿宋_GB2312" w:hAnsi="仿宋_GB2312" w:eastAsia="仿宋_GB2312"/>
                <w:b w:val="0"/>
                <w:color w:val="000000"/>
                <w:sz w:val="32"/>
              </w:rPr>
              <w:t>基本每股收益(元)</w:t>
            </w:r>
          </w:p>
        </w:tc>
        <w:tc>
          <w:tcPr>
            <w:tcW w:type="dxa" w:w="2154"/>
          </w:tcPr>
          <w:p>
            <w:pPr>
              <w:spacing w:lineRule="exact" w:line="600"/>
              <w:jc w:val="center"/>
            </w:pPr>
            <w:r/>
            <w:r>
              <w:rPr>
                <w:rFonts w:ascii="仿宋_GB2312" w:hAnsi="仿宋_GB2312" w:eastAsia="仿宋_GB2312"/>
                <w:b w:val="0"/>
                <w:color w:val="000000"/>
                <w:sz w:val="32"/>
              </w:rPr>
              <w:t>2.44</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2.52</w:t>
            </w:r>
          </w:p>
        </w:tc>
      </w:tr>
      <w:tr>
        <w:tc>
          <w:tcPr>
            <w:tcW w:type="dxa" w:w="2268"/>
          </w:tcPr>
          <w:p>
            <w:pPr>
              <w:spacing w:lineRule="exact" w:line="600"/>
              <w:jc w:val="center"/>
            </w:pPr>
            <w:r/>
            <w:r>
              <w:rPr>
                <w:rFonts w:ascii="仿宋_GB2312" w:hAnsi="仿宋_GB2312" w:eastAsia="仿宋_GB2312"/>
                <w:b w:val="0"/>
                <w:color w:val="000000"/>
                <w:sz w:val="32"/>
              </w:rPr>
              <w:t>研发投入</w:t>
            </w:r>
          </w:p>
        </w:tc>
        <w:tc>
          <w:tcPr>
            <w:tcW w:type="dxa" w:w="2154"/>
          </w:tcPr>
          <w:p>
            <w:pPr>
              <w:spacing w:lineRule="exact" w:line="600"/>
              <w:jc w:val="center"/>
            </w:pPr>
            <w:r/>
            <w:r>
              <w:rPr>
                <w:rFonts w:ascii="仿宋_GB2312" w:hAnsi="仿宋_GB2312" w:eastAsia="仿宋_GB2312"/>
                <w:b w:val="0"/>
                <w:color w:val="000000"/>
                <w:sz w:val="32"/>
              </w:rPr>
              <w:t>未单列</w:t>
            </w:r>
          </w:p>
        </w:tc>
        <w:tc>
          <w:tcPr>
            <w:tcW w:type="dxa" w:w="2154"/>
          </w:tcPr>
          <w:p>
            <w:pPr>
              <w:spacing w:lineRule="exact" w:line="600"/>
              <w:jc w:val="center"/>
            </w:pPr>
            <w:r/>
            <w:r>
              <w:rPr>
                <w:rFonts w:ascii="仿宋_GB2312" w:hAnsi="仿宋_GB2312" w:eastAsia="仿宋_GB2312"/>
                <w:b w:val="0"/>
                <w:color w:val="000000"/>
                <w:sz w:val="32"/>
              </w:rPr>
              <w:t>未单列</w:t>
            </w:r>
          </w:p>
        </w:tc>
        <w:tc>
          <w:tcPr>
            <w:tcW w:type="dxa" w:w="2154"/>
          </w:tcPr>
          <w:p>
            <w:pPr>
              <w:spacing w:lineRule="exact" w:line="600"/>
              <w:jc w:val="center"/>
            </w:pPr>
            <w:r/>
            <w:r>
              <w:rPr>
                <w:rFonts w:ascii="仿宋_GB2312" w:hAnsi="仿宋_GB2312" w:eastAsia="仿宋_GB2312"/>
                <w:b w:val="0"/>
                <w:color w:val="000000"/>
                <w:sz w:val="32"/>
              </w:rPr>
              <w:t>6.03</w:t>
            </w:r>
          </w:p>
        </w:tc>
      </w:tr>
      <w:tr>
        <w:tc>
          <w:tcPr>
            <w:tcW w:type="dxa" w:w="2268"/>
          </w:tcPr>
          <w:p>
            <w:pPr>
              <w:spacing w:lineRule="exact" w:line="600"/>
              <w:jc w:val="center"/>
            </w:pPr>
            <w:r/>
            <w:r>
              <w:rPr>
                <w:rFonts w:ascii="仿宋_GB2312" w:hAnsi="仿宋_GB2312" w:eastAsia="仿宋_GB2312"/>
                <w:b w:val="0"/>
                <w:color w:val="000000"/>
                <w:sz w:val="32"/>
              </w:rPr>
              <w:t>员工人数(人)</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5,687</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营收由2022年134.06亿元增至2024年192.20亿元（CAGR约25.3%），归母净利润2022年6.63亿元、2023年回落至4.66亿元（受原料与费用影响）、2024年回升至6.76亿元（+45.18%）；2024年毛利率8.71%（同比-1.25pct）、净利率3.69%，盈利以规模驱动、附加值中等；ROE 14.35%、经营现金流净额5.53亿元（+13.26%）体现盈利质量改善。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约189.71亿元（2025年一季度，同比+23.71%），其中货币资金32.72亿元、应收账款27.86亿元、存货36.53亿元，资产以营运资本与固定资产（装置）为主，与化工制造匹配；存货与应收规模较大，需关注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资产负债率61.68%（同比+4.06pct），在同业中偏中等偏上；2025年一季度总负债118.66亿元（同比+34.64%），其中应付账款8.70亿元，借款规模随扩产上升。流动比率约1.48、速动比率约1.02，短期偿债尚可，但杠杆上行需关注。</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5.53亿元（+13.26%），筹资活动净额6.60亿元，投资活动净额-9.42亿元（扩产投入加大）；自由现金流阶段性承压，依赖经营积累与融资支持扩张。2025年一季度经营现金流随营收小幅回落（归母1.11亿元，-9.79%）。</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与改性塑料同行相比，国恩股份营收增速（三年CAGR 25.32%）居15家之首、规模领先，但毛利率（8.71%）低于高端特种材料企业，体现"一体化降本+以量取胜"策略；纵向一体化（自产树脂）与"大化工+大健康"双轮构成差异化。</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深交所上市公司，设股东大会、董事会（含审计/薪酬/战略等专门委员会）、监事会及经营管理层，治理规范、信息披露充分；实控人王爱国兼任董事长总经理，决策链条清晰。</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董事长兼总经理王爱国（硕士，深耕化工新材料逾二十年，主导纵向一体化战略）；核心高管团队具备产业与资本运营背景。2025年启动赴港IPO显示管理层国际化资本运作意图。</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建立覆盖研发、采购、生产、销售、环保安全的集团化内控体系，通过ISO质量/环境体系及多项产品认证；作为化工企业，安全环保内控为重中之重。</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2024年末员工5,687人（同比+24.12%），人均创收337.96万元、人均创利11.89万元、人均薪酬9.16万元；研发人员与产业工人为主，研发投入6.03亿元支撑技术创新。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纵向一体化：自产PS/PP/EPS树脂，延链补链强链，成本与供应安全保障突出。二是规模与增速：营收近200亿元、三年CAGR居同行第一，规模经济与议价能力强。三是双产业平台："大化工+大健康"（控股东宝生物）分散周期风险、打开成长空间。四是客户与资质：深度绑定家电/汽车/新能源头部企业，研发投入持续。五是资本平台：A股上市并启动H股，融资与品牌优势明显。</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与周期风险（重点）：石化树脂价格受国际油价波动，毛利率仅约8.7%，盈利对价差敏感；应对为一体化降本与产品高端化。二是负债率上行风险：扩产致资产负债率升至61.68%、投资现金流大额流出，需关注融资结构与利率风险。三是毛利率偏低风险：以量取胜模式使附加值有限，需提升复合材料/新能源高毛利占比。四是安全环保风险：化工生产合规压力大，须持续投入。五是贸易与汇率风险：国际化拓展受地缘与汇率影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家电/汽车/新能源头部客户的应收账款（2024年应收27.86亿元）可开展保理，盘活资金。供应链金融：依托核心企业信用，为上游树脂/助剂供应商提供订单与存货融资。融资租赁：浙江一塑、江苏国恒、日照国恩化学等基地装置设备投资巨大，适合以新购设备直租/回租；山东投资可重点对接绿色石化与新能源材料产线融资租赁。小贷：面向中小配套供应商短贷。国恩股份作为上市龙头、信用优良、扩产确定性强，是优质战略客户，建议以"设备融资租赁+核心客户应收保理"组合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国恩股份是城阳橡塑材料产业集群的龙头上市企业，纵向一体化优势突出、规模与增速居行业前列、资本平台完善，但毛利率偏低、负债率上行、安全环保要求高。发展展望：据公司规划与行业趋势，公司推进"A+H"双平台、深化新能源复合与可降解材料，浙江一塑PS等项目达产后成长空间明确。建议：一是对接基地装置设备融资租赁与上游供应链金融；二是以核心客户应收保理切入，关注关联交易真实性；三是授信前评估负债率与现金流、设置增信；四是持续跟踪安全环保与原料价格风险。</w:t>
      </w:r>
    </w:p>
    <w:p>
      <w:pPr>
        <w:spacing w:lineRule="exact" w:line="600" w:before="0" w:after="0"/>
        <w:jc w:val="left"/>
      </w:pPr>
      <w:r>
        <w:rPr>
          <w:rFonts w:ascii="仿宋_GB2312" w:hAnsi="仿宋_GB2312" w:eastAsia="仿宋_GB2312"/>
          <w:b w:val="0"/>
          <w:color w:val="000000"/>
          <w:sz w:val="28"/>
        </w:rPr>
        <w:t>数据来源说明：国恩股份2022—2024年年度报告、中证智能财讯/中国证券报、青岛新闻网（赴港IPO及业务板块）、东方财富/同花顺F10、腾讯财经、天眼查/爱企查（工商股权）。财务数据以公司年报披露为准。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