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青岛市城阳区橡塑材料产业集群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青岛海力威新材料科技股份有限公司企业分析报告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新三板公开转让说明书、全国股转公司公开信息、天眼查/爱企查/企查查、公司官网及权威媒体等公开渠道，统计时点截至最新披露信息；非上市企业或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海力威新材料科技股份有限公司成立于2004年7月13日，法定代表人、董事长张万明，统一社会信用代码91370200763604742U，注册资本10,800万元，注册地址位于青岛市红岛经济区河套街道上疃社区（红岛经济区现属城阳区），登记机关为青岛市市场监督管理局，经营状态为开业（存续），参保人数约499人。控股股东为青岛环力投资有限公司（持有公司34.08%股份，拟挂牌申报稿口径；同花顺显示约37.78%）；张万明、李素滨夫妇通过环力投资间接控制公司，并直接/间接持有公司股权，为公司共同实际控制人（张万明直接持股约27.26%、李素滨约6.82%）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青岛海力威高分子科技有限公司、青岛海力威纳米科技有限公司、青岛海力威工程技术有限公司、海南海力威科技有限公司等全资子公司，控股龙口市铭昌智造机械有限公司（51%）；参股青岛蓝湾烯碳材料科技（30%）、青岛志卓通力新材料（24%）等。业务按应用领域划分为汽车、轨道交通、工程机械、新能源锂电池、半导体等板块，设研发中心与多基地生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7月成立，专注橡塑高分子材料制品；2018年获中橡协科技创新企业、2019年青岛市隐形冠军、2020年获评国家专精特新"小巨人"企业及山东省瞪羚企业、2021年中橡协最具活力发展企业、2022年山东省高端品牌培育企业及山东民营企业创新100强。2026年6月29日披露新三板公开转让说明书（申报稿），启动挂牌进程；2026年再获"青岛市民营领军标杆企业"称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橡胶、聚氨酯、复合材料等高分子材料制品的研发、生产与销售商，产品实现密封、防水、减振、支撑等功能，聚焦汽车与轨道交通两大应用领域。主营业务为研发、生产、销售应用于汽车、轨道交通、机车车辆、机械设备及铁路/隧道/桥梁工程的橡胶制品、聚氨酯材料及制品、塑料制品、复合材料制品及其他高分子材料制品，防水/防腐/建筑材料、模具，并提供工程施工与公路运输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业收入53,745.64万元，其中主营业务收入53,622.07万元（占99.77%）：高性能橡胶密封制品28,538.21万元（占53.10%）、轨道交通领域产品21,552.54万元（占40.10%）、锂电池领域产品2,981.61万元（占5.55%）、其他产品549.71万元（占1.02%）。业务以汽车与轨交密封件为双核心，锂电等新兴领域快速放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旋转油封、往复油封、O型圈、密封垫、弹性体梁端防水装置、扣件垫板、复合轨枕、止水带、高铁制动系统密封件等；覆盖汽车发动机/变速箱密封、轨道交通减震防水密封、工程机械密封及新能源锂电池密封。产品技术含量与附加值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领域主要客户涵盖潍柴集团、康明斯、中国重汽、中国一汽等知名发动机和商用车生产厂商；工程机械领域主要客户为卡特彼勒；轨道交通领域主要客户为各铁路局集团或其下属单位、铁路建设及施工单位。客户均为头部主机厂与轨交系统，质量门槛高、粘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生产所需主要原料为特种橡胶（三元乙丙、丁腈、氟橡胶等）、聚氨酯原料、骨架金属件及助剂，价格受石化与橡胶行情波动；公司通过配方与工艺研发降低单一原料依赖。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国家级专精特新"小巨人"、山东省瞪羚、高新技术企业、青岛市隐形冠军、山东民营企业创新100强；拥有315项专利、38个注册商标、2项软件著作权；具备高分子材料核心技术平台。具体产能未公开披露，但多基地与全自动产线支撑汽车/轨交/锂电多领域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以直销对接头部主机厂与轨交系统为主，通过严格的质量体系认证（IATF16949等）进入客户供应链；配套研发前置、定点供货模式增强客户粘性。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2026年6月新三板公开转让说明书（申报稿）：2024年营业收入44,557.57万元、净利润1,604.34万元；2025年营业收入53,745.64万元、净利润6,032.43万元，收入与利润高速增长（净利同比+276%）。公司在汽车与轨交橡胶密封细分领域居国内前列，客户覆盖潍柴、康明斯、重汽、一汽、卡特彼勒及铁路局集团，细分市场地位稳固。注：2023年及以前数据未在公开申报稿中充分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青岛海力威为新三板申报挂牌企业（公开转让说明书申报稿2026-06），公开材料仅披露2024、2025两个年度主要数据；2023年及以前未充分公开，已如实标注。单位：万元。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44,557.57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53,745.64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1,604.34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6,032.43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31.97%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36.24%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49.28%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44.77%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3,142.36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6,686.85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3,193.88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3,131.00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7.17%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5.83%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加权ROE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3.68%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13.22%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营收由2024年4.46亿元增至2025年5.37亿元（+20.6%），净利润由1,604万元大幅增至6,032万元（+276%），毛利率由31.97%提升至36.24%，盈利质量与规模同步改善，主要得益于高毛利产品占比提升与锂电等新兴领域放量。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2025年资产负债率44.77%（较2024年49.28%下降），流动比率1.61、速动比率1.17，资产结构稳健；固定资产（装置）与营运资本为主，与高分子材料制造匹配。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资产负债率约44.77%，杠杆适中、偿债压力可控；负债以经营性负债与适度银行借款为主，扩产与研发资本开支可通过经营积累与挂牌融资支撑。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2025年经营活动现金流净额6,686.85万元（2024年3,142.36万元，+112.8%），回款与盈利质量显著改善，现金流状况良好。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与国恩股份（改性塑料龙头、毛利率约8.7%）相比，海力威聚焦高附加值橡胶密封制品，毛利率（36%+）显著更高、规模较小但成长更快，属"小而美"的专精特新标的；客户均为头部主机厂与轨交系统，壁垒坚实。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拟挂牌新三板，正按公众公司要求规范治理，设董事会、监事会及经营管理层；实控人张万明、李素滨夫妇通过环力投资控制，治理逐步规范化。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董事长张万明（青岛科技大学高分子材料专业、长江商学院EMBA，深耕密封橡胶逾三十年，创办环力密封及海力威）；总经理李劲东；董事会秘书/副总刘世锋。核心团队产业经验深厚。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建立研发、生产、质量（IATF16949等）、安全环保内控体系；作为高分子材料制造企业，安全环保与质量合规为管控重点。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参保约499人，以技术研发与生产人员为主；315项专利体现较强研发密度，研发人员占比与产出匹配。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专利壁垒：315项专利、国家级专精特新"小巨人"，橡胶密封配方与工艺国内先进。二是客户壁垒：进入潍柴、康明斯、中国重汽、一汽、卡特彼勒及铁路局集团供应链，认证门槛高、粘性强。三是细分市场地位：汽车+轨交橡胶密封双核心，国内前列。四是资质与品牌：山东省瞪羚、隐形冠军、高端品牌培育企业、青岛民营领军标杆。五是高毛利与成长：毛利率36%+、净利高速增长，锂电等新兴领域打开第二曲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集中风险：收入依赖汽车与轨交头部客户，单一客户/行业波动影响大；应对为拓展锂电、半导体等新领域分散。二是原材料价格风险：特种橡胶/聚氨酯受石化行情波动。三是挂牌与资本运作风险：新三板申报进程中，后续北交所预期存不确定性。四是技术迭代风险：密封材料工艺升级快，需持续研发。五是安全环保风险：高分子材料生产须合规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潍柴、康明斯、重汽、一汽、铁路局等头部客户的应收账款可开展保理，盘活资金。供应链金融：围绕核心企业为其上游橡胶/骨架件供应商提供订单融资。融资租赁：扩产与设备升级（密封件产线、检测设备）适合直租/回租。小贷：面向临时周转。海力威作为高毛利、高成长、资质优良的专精特新"小巨人"，是优质重点客户，建议以"核心客户应收保理+设备融资租赁"组合切入，并关注挂牌进展与量产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海力威是城阳橡塑材料产业集群中高附加值的橡胶密封专精特新"小巨人"，技术、客户与盈利质量突出，成长迅速，但规模偏小、客户集中、处新三板申报期。发展展望：据行业趋势，汽车轻量化、轨交投资与新能源锂电池密封需求增长，公司锂电等新兴领域放量将打开空间。建议：一是对接头部客户应收保理与产线设备融资租赁；二是关注挂牌进展与量产良率；三是要求规范财务披露并以增信控制风险；四是跟踪客户集中度与原料价格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新三板公开转让说明书（申报稿，2026-06，东方财富新三板频道）、公司官网hilywill.com、天眼查/爱企查（工商股权、资质、专利）、同花顺/爱企查企业资料、中橡协公开信息。2023年及以前财务数据未在公开申报稿充分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