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青岛市城阳区特种食品特色产业集群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青岛沃隆食品股份有限公司企业分析报告</w:t>
      </w:r>
    </w:p>
    <w:p>
      <w:pPr>
        <w:spacing w:lineRule="exact" w:line="600" w:before="0" w:after="0"/>
        <w:jc w:val="left"/>
      </w:pPr>
      <w:r>
        <w:rPr>
          <w:rFonts w:ascii="仿宋_GB2312" w:hAnsi="仿宋_GB2312" w:eastAsia="仿宋_GB2312"/>
          <w:b w:val="0"/>
          <w:color w:val="000000"/>
          <w:sz w:val="28"/>
        </w:rPr>
        <w:t>（本报告依据城阳区公开报道、企业公开信息及权威媒体报道编制，涉及未公开披露事项均如实标注，用于产业集群代表企业分析参考。）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青岛沃隆食品股份有限公司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青岛市城阳区抱虎山路109号</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青岛市城阳区特种食品特色产业集群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坚果炒货与休闲食品研发生产</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每日坚果、混合坚果、单品坚果、含坚果烘焙及礼盒</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7500万元</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青岛沃隆食品股份有限公司位于城阳区抱虎山路109号，是"每日坚果"品类的开创者（2015年首创独立装），注册资本7500万元，创始人杨国庆持股74.1%。公司自建6座工厂、占地15万平，通过BRCGS A级认证，是城阳区特种食品集群的代表企业。</w:t>
      </w:r>
    </w:p>
    <w:p>
      <w:pPr>
        <w:spacing w:lineRule="exact" w:line="600" w:before="0" w:after="0"/>
        <w:ind w:firstLine="420"/>
        <w:jc w:val="both"/>
      </w:pPr>
      <w:r>
        <w:rPr>
          <w:rFonts w:ascii="仿宋_GB2312" w:hAnsi="仿宋_GB2312" w:eastAsia="仿宋_GB2312"/>
          <w:b w:val="0"/>
          <w:color w:val="000000"/>
          <w:sz w:val="32"/>
        </w:rPr>
        <w:t>在工商登记信息方面，公司成立时间、法定代表人、统一社会信用代码等基础事项以国家企业信用信息公示系统披露为准。实际开展业务时，应调取营业执照、公司章程、股东名册等原件核验，并核查注册资本实缴进度与股权结构稳定性（创始人持股74.1%）。</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据公开信息，沃隆食品为民营控股企业，创始人杨国庆持股74.1%，股权高度集中。公司曾于2022年申报IPO拟募资7亿元扩产，显示其曾有登陆资本市场的规划。</w:t>
      </w:r>
    </w:p>
    <w:p>
      <w:pPr>
        <w:spacing w:lineRule="exact" w:line="600" w:before="0" w:after="0"/>
        <w:ind w:firstLine="420"/>
        <w:jc w:val="both"/>
      </w:pPr>
      <w:r>
        <w:rPr>
          <w:rFonts w:ascii="仿宋_GB2312" w:hAnsi="仿宋_GB2312" w:eastAsia="仿宋_GB2312"/>
          <w:b w:val="0"/>
          <w:color w:val="000000"/>
          <w:sz w:val="32"/>
        </w:rPr>
        <w:t>从出资人属性看，公司系民营企业，股权相对集中、决策链条较短、市场反应灵敏，但实际控制人个人风险与企业风险高度绑定。建议在尽职调查中重点核查实际控制人的股权质押、对外担保与个人负债情况，并核实是否存在股权代持、一致行动安排等未披露事项，同时关注核心管理团队的稳定性。</w:t>
      </w:r>
    </w:p>
    <w:p>
      <w:pPr>
        <w:spacing w:lineRule="exact" w:line="600" w:before="0" w:after="0"/>
        <w:ind w:firstLine="420"/>
        <w:jc w:val="both"/>
      </w:pPr>
      <w:r>
        <w:rPr>
          <w:rFonts w:ascii="仿宋_GB2312" w:hAnsi="仿宋_GB2312" w:eastAsia="仿宋_GB2312"/>
          <w:b w:val="0"/>
          <w:color w:val="000000"/>
          <w:sz w:val="32"/>
        </w:rPr>
        <w:t>从出资人属性看，沃隆食品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沃隆食品的发展与其"每日坚果"品类的开创高度绑定。2015年，公司首创独立小包装每日坚果，定义了这一细分品类，并依托产品创新快速做大。2019—2021年营收分别为11.65亿、8.89亿、11.08亿元；2023年、2024年营收分别为9.02亿、10.73亿元，销售额突破10亿。</w:t>
      </w:r>
    </w:p>
    <w:p>
      <w:pPr>
        <w:spacing w:lineRule="exact" w:line="600" w:before="0" w:after="0"/>
        <w:ind w:firstLine="420"/>
        <w:jc w:val="both"/>
      </w:pPr>
      <w:r>
        <w:rPr>
          <w:rFonts w:ascii="仿宋_GB2312" w:hAnsi="仿宋_GB2312" w:eastAsia="仿宋_GB2312"/>
          <w:b w:val="0"/>
          <w:color w:val="000000"/>
          <w:sz w:val="32"/>
        </w:rPr>
        <w:t>在产能端，公司自建6座工厂、占地15万平，通过BRCGS A级认证，构建了从研发、生产到品牌的全链条能力。2024年以4.0%市占率居坚果炒货行业前五、每日坚果细分赛道市占率近50%（全国排名第四）。曾申报IPO拟募资7亿元扩产，反映其资本化意图。这一沿革表明公司成长源于产品创新与品牌运营，可持续性较好。</w:t>
      </w:r>
    </w:p>
    <w:p>
      <w:pPr>
        <w:spacing w:lineRule="exact" w:line="600" w:before="0" w:after="0"/>
        <w:ind w:firstLine="420"/>
        <w:jc w:val="both"/>
      </w:pPr>
      <w:r>
        <w:rPr>
          <w:rFonts w:ascii="仿宋_GB2312" w:hAnsi="仿宋_GB2312" w:eastAsia="仿宋_GB2312"/>
          <w:b w:val="0"/>
          <w:color w:val="000000"/>
          <w:sz w:val="32"/>
        </w:rPr>
        <w:t>总体看，沃隆食品的发展轨迹与食品加工与品牌消费行业演进和青岛市城阳区特种食品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从产业链定位看，公司处于休闲食品"研发+生产+品牌"环节，是坚果炒货行业的头部品牌。据公开报道，2024年营收10.73亿元，每日坚果细分赛道市占率近50%、全国排名第四，是品类开创者与隐形冠军。</w:t>
      </w:r>
    </w:p>
    <w:p>
      <w:pPr>
        <w:spacing w:lineRule="exact" w:line="600" w:before="0" w:after="0"/>
        <w:ind w:firstLine="420"/>
        <w:jc w:val="both"/>
      </w:pPr>
      <w:r>
        <w:rPr>
          <w:rFonts w:ascii="仿宋_GB2312" w:hAnsi="仿宋_GB2312" w:eastAsia="仿宋_GB2312"/>
          <w:b w:val="0"/>
          <w:color w:val="000000"/>
          <w:sz w:val="32"/>
        </w:rPr>
        <w:t>上述份额数据显示，公司在每日坚果这一细分品种上具有显著的规模地位与定价影响力。份额数据来自企业与行业公开报道，建议通过行业协会统计、电商平台销售数据等渠道交叉验证。</w:t>
      </w:r>
    </w:p>
    <w:p>
      <w:pPr>
        <w:spacing w:lineRule="exact" w:line="600" w:before="0" w:after="0"/>
        <w:ind w:firstLine="420"/>
        <w:jc w:val="both"/>
      </w:pPr>
      <w:r>
        <w:rPr>
          <w:rFonts w:ascii="仿宋_GB2312" w:hAnsi="仿宋_GB2312" w:eastAsia="仿宋_GB2312"/>
          <w:b w:val="0"/>
          <w:color w:val="000000"/>
          <w:sz w:val="32"/>
        </w:rPr>
        <w:t>在青岛市城阳区特种食品特色产业集群的产业链分工中，沃隆食品处于"坚果炒货与休闲食品加工"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坚果炒货为核心，产品涵盖混合坚果、单品坚果、含坚果烘焙及礼盒等百余种，旗下有"沃隆每日坚果""坚果星球"等品牌。其2015年首创的独立装每日坚果定义了品类，2024年每日坚果细分赛道市占率近50%。</w:t>
      </w:r>
    </w:p>
    <w:p>
      <w:pPr>
        <w:spacing w:lineRule="exact" w:line="600" w:before="0" w:after="0"/>
        <w:ind w:firstLine="420"/>
        <w:jc w:val="both"/>
      </w:pPr>
      <w:r>
        <w:rPr>
          <w:rFonts w:ascii="仿宋_GB2312" w:hAnsi="仿宋_GB2312" w:eastAsia="仿宋_GB2312"/>
          <w:b w:val="0"/>
          <w:color w:val="000000"/>
          <w:sz w:val="32"/>
        </w:rPr>
        <w:t>公司自建6座工厂、占地15万平，通过BRCGS A级认证，具备较强的自主生产能力。各产品线的销量、单价与毛利率数据未公开披露，建议在尽调中重点获取分产品财务序列。</w:t>
      </w:r>
    </w:p>
    <w:p>
      <w:pPr>
        <w:spacing w:lineRule="exact" w:line="600" w:before="0" w:after="0"/>
        <w:ind w:firstLine="420"/>
        <w:jc w:val="both"/>
      </w:pPr>
      <w:r>
        <w:rPr>
          <w:rFonts w:ascii="仿宋_GB2312" w:hAnsi="仿宋_GB2312" w:eastAsia="仿宋_GB2312"/>
          <w:b w:val="0"/>
          <w:color w:val="000000"/>
          <w:sz w:val="32"/>
        </w:rPr>
        <w:t>从业务结构的稳健性看，评价沃隆食品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城阳区，自建6座工厂、占地15万平，通过BRCGSA级认证。食品行业的产能有效性受食品生产许可（SC）证载明的品类与工艺范围严格约束，同时受质量管理体系认证与大型商超、电商平台准入审核的双重制约。</w:t>
      </w:r>
    </w:p>
    <w:p>
      <w:pPr>
        <w:spacing w:lineRule="exact" w:line="600" w:before="0" w:after="0"/>
        <w:ind w:firstLine="420"/>
        <w:jc w:val="both"/>
      </w:pPr>
      <w:r>
        <w:rPr>
          <w:rFonts w:ascii="仿宋_GB2312" w:hAnsi="仿宋_GB2312" w:eastAsia="仿宋_GB2312"/>
          <w:b w:val="0"/>
          <w:color w:val="000000"/>
          <w:sz w:val="32"/>
        </w:rPr>
        <w:t>资质方面，公司须持有SC证、ISO22000/HACCP/BRCGS等认证，并通过大型客户的二方审核。BRCGS A级认证表明其质量体系达到较高水平。具体证照品类与有效期未公开披露，建议逐项核查。</w:t>
      </w:r>
    </w:p>
    <w:p>
      <w:pPr>
        <w:spacing w:lineRule="exact" w:line="600" w:before="0" w:after="0"/>
        <w:ind w:firstLine="420"/>
        <w:jc w:val="both"/>
      </w:pPr>
      <w:r>
        <w:rPr>
          <w:rFonts w:ascii="仿宋_GB2312" w:hAnsi="仿宋_GB2312" w:eastAsia="仿宋_GB2312"/>
          <w:b w:val="0"/>
          <w:color w:val="000000"/>
          <w:sz w:val="32"/>
        </w:rPr>
        <w:t>食品行业的产能有效性受食品生产许可（SC）证载明的品类与工艺范围严格约束，同时受质量管理体系认证（如ISO22000、HACCP、BRCGS）与大型商超、电商平台准入审核的双重制约。对以代工或渠道定制为重要业务模式的企业，客户方的现场审核（二方审核）通常比法定许可更为严格，审核结果直接决定订单能否延续。建议核查企业证照品类与在售产品的一致性、近三年监督抽检与客户审核记录、原料供应商准入与追溯体系的完整性。</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公司客户涵盖商超、电商、会员店及流通渠道，C端品牌属性强。其产品通过多渠道触达消费者，渠道结构相对分散，回款以现款现货或短账期为主，优于B端赊销。</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公司前五大客户名称、销售金额、账期及应收账款账龄结构未公开披露。考虑到休闲食品渠道分散，建议重点关注渠道结构健康度与电商渠道的账期与退货政策。</w:t>
      </w:r>
    </w:p>
    <w:p>
      <w:pPr>
        <w:spacing w:lineRule="exact" w:line="600" w:before="0" w:after="0"/>
        <w:ind w:firstLine="420"/>
        <w:jc w:val="both"/>
      </w:pPr>
      <w:r>
        <w:rPr>
          <w:rFonts w:ascii="仿宋_GB2312" w:hAnsi="仿宋_GB2312" w:eastAsia="仿宋_GB2312"/>
          <w:b w:val="0"/>
          <w:color w:val="000000"/>
          <w:sz w:val="32"/>
        </w:rPr>
        <w:t>客户结构是判断沃隆食品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公司主要原料为坚果原料（如腰果、巴旦木、核桃等），具有农产品属性，价格受气候、种植面积、国际贸易政策影响较大。规范企业通常建立"基地直采+合格供应商+批批检验"三重机制。</w:t>
      </w:r>
    </w:p>
    <w:p>
      <w:pPr>
        <w:spacing w:lineRule="exact" w:line="600" w:before="0" w:after="0"/>
        <w:ind w:firstLine="420"/>
        <w:jc w:val="both"/>
      </w:pPr>
      <w:r>
        <w:rPr>
          <w:rFonts w:ascii="仿宋_GB2312" w:hAnsi="仿宋_GB2312" w:eastAsia="仿宋_GB2312"/>
          <w:b w:val="0"/>
          <w:color w:val="000000"/>
          <w:sz w:val="32"/>
        </w:rPr>
        <w:t>主要供应商名单、采购集中度、长协覆盖比例与原料库存周转未公开披露。鉴于坚果原料价格波动及进口依赖，建议核查原料检验报告、供应商审计记录及是否存在单一产地断供隐患。</w:t>
      </w:r>
    </w:p>
    <w:p>
      <w:pPr>
        <w:spacing w:lineRule="exact" w:line="600" w:before="0" w:after="0"/>
        <w:ind w:firstLine="420"/>
        <w:jc w:val="both"/>
      </w:pPr>
      <w:r>
        <w:rPr>
          <w:rFonts w:ascii="仿宋_GB2312" w:hAnsi="仿宋_GB2312" w:eastAsia="仿宋_GB2312"/>
          <w:b w:val="0"/>
          <w:color w:val="000000"/>
          <w:sz w:val="32"/>
        </w:rPr>
        <w:t>食品企业的采购管理直接关系产品安全与成本稳定。农产品类原料具有明显的季节性与产地依赖性，价格受气候、种植面积、国际贸易政策影响较大。规范企业通常建立"基地直采+合格供应商+批批检验"三重机制，并通过期现结合、提前锁价、备货蓄水池等方式平滑成本波动。建议核查原料检验报告、供应商审计记录、原料库存与生产计划的匹配度，以及是否存在因单一产地或单一供应商造成的断供隐患。</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据公开数据，城阳区食品产业2024年营收约350亿元，沃隆以10.73亿元营收居坚果炒货行业前五、每日坚果细分近50%份额。行业预测坚果炒货2029年市场规模将达4200亿元，空间广阔。</w:t>
      </w:r>
    </w:p>
    <w:p>
      <w:pPr>
        <w:spacing w:lineRule="exact" w:line="600" w:before="0" w:after="0"/>
        <w:ind w:firstLine="420"/>
        <w:jc w:val="both"/>
      </w:pPr>
      <w:r>
        <w:rPr>
          <w:rFonts w:ascii="仿宋_GB2312" w:hAnsi="仿宋_GB2312" w:eastAsia="仿宋_GB2312"/>
          <w:b w:val="0"/>
          <w:color w:val="000000"/>
          <w:sz w:val="32"/>
        </w:rPr>
        <w:t>竞争格局方面，坚果炒货行业品牌众多、竞争充分，沃隆作为品类开创者在每日坚果细分具备领先；但面临三只松鼠、良品铺子等全渠道品牌的竞争，以及会员店自有品牌的冲击，需持续以产品创新与渠道深耕维持地位。</w:t>
      </w:r>
    </w:p>
    <w:p>
      <w:pPr>
        <w:spacing w:lineRule="exact" w:line="600" w:before="0" w:after="0"/>
        <w:ind w:firstLine="420"/>
        <w:jc w:val="both"/>
      </w:pPr>
      <w:r>
        <w:rPr>
          <w:rFonts w:ascii="仿宋_GB2312" w:hAnsi="仿宋_GB2312" w:eastAsia="仿宋_GB2312"/>
          <w:b w:val="0"/>
          <w:color w:val="000000"/>
          <w:sz w:val="32"/>
        </w:rPr>
        <w:t>判断沃隆食品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其资产负债表、利润表、现金流量表及审计报告未在公开渠道披露，财务数据未公开披露。可获取的替代指标为：2024年营收10.73亿元、2023年营收9.02亿元、注册资本7500万元、自建6座工厂占地15万平、每日坚果市占率近50%、曾拟IPO募资7亿元。</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营收规模超10亿、具备较好经营体量；二是自建重资产工厂意味着较大固定资产投入与折旧压力；三是创始人控股74.1%、曾拟IPO，显示资本化意图明确，存在相应融资需求。</w:t>
      </w:r>
    </w:p>
    <w:p>
      <w:pPr>
        <w:spacing w:lineRule="exact" w:line="600" w:before="0" w:after="0"/>
        <w:ind w:firstLine="420"/>
        <w:jc w:val="both"/>
      </w:pPr>
      <w:r>
        <w:rPr>
          <w:rFonts w:ascii="仿宋_GB2312" w:hAnsi="仿宋_GB2312" w:eastAsia="仿宋_GB2312"/>
          <w:b w:val="0"/>
          <w:color w:val="000000"/>
          <w:sz w:val="32"/>
        </w:rPr>
        <w:t>沃隆食品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休闲食品企业的盈利能力由"产品结构×渠道结构×费用效率"共同决定。沃隆以每日坚果大单品为主，毛利率受原料价格波动与渠道费用双重影响。其品类开创者地位有助于维持一定品牌溢价。</w:t>
      </w:r>
    </w:p>
    <w:p>
      <w:pPr>
        <w:spacing w:lineRule="exact" w:line="600" w:before="0" w:after="0"/>
        <w:ind w:firstLine="420"/>
        <w:jc w:val="both"/>
      </w:pPr>
      <w:r>
        <w:rPr>
          <w:rFonts w:ascii="仿宋_GB2312" w:hAnsi="仿宋_GB2312" w:eastAsia="仿宋_GB2312"/>
          <w:b w:val="0"/>
          <w:color w:val="000000"/>
          <w:sz w:val="32"/>
        </w:rPr>
        <w:t>食品企业的盈利能力由"产品结构×渠道结构×费用效率"共同决定。产品端，新品与高端品类毛利率显著高于成熟大单品；渠道端，直营电商与会员店渠道毛利率高但需承担较高的平台费用与营销投入，流通与经销渠道毛利率低但费用率也低；费用端，销售费用率是食品企业最大的可变调节项，短期内可通过削减投放改善利润，但会损害长期品牌资产。因此评价沃隆食品的盈利质量，须关注毛利率与销售费用率的联动关系，警惕以牺牲品牌投入换取短期利润的情形。</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自建6座工厂、15万平占地意味着固定资产规模较大，折旧刚性；流动资产中存货以坚果原料与成品为主，受原料价格波动与保质期约束，周转要求较高。建议核查固定资产成新率、存货周转天数及跌价准备计提。</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公司负债结构未公开披露。作为拟IPO企业，其历史上可能引入股权融资；同时重资产工厂建设可能依赖银行借款。建议核查授信品种、期限结构、抵质押安排及关联担保情况。</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沃隆食品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公司现金流量数据未公开披露。建议获取近三年现金流量表与主要银行账户流水，验证销售回款的真实性与稳定性，并评估其偿债能力与再融资需求。</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沃隆食品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坚果炒货与休闲食品上市企业（如三只松鼠、良品铺子、洽洽食品）作为参照，关注其毛利率、销售费用率与经营现金流水平。需注意沃隆以每日坚果大单品突围，与全品类休闲食品企业的结构差异较大，对比时应考虑结构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非上市企业，治理规范度总体低于公众公司，普遍存在股东会与董事会职能虚化、决策依赖实际控制人个人判断等现象。创始人持股74.1%使决策高度集中。建议企业逐步建立规范的董事会与专业委员会机制，为后续资本化奠定基础。</w:t>
      </w:r>
    </w:p>
    <w:p>
      <w:pPr>
        <w:spacing w:lineRule="exact" w:line="600" w:before="0" w:after="0"/>
        <w:ind w:firstLine="420"/>
        <w:jc w:val="both"/>
      </w:pPr>
      <w:r>
        <w:rPr>
          <w:rFonts w:ascii="仿宋_GB2312" w:hAnsi="仿宋_GB2312" w:eastAsia="仿宋_GB2312"/>
          <w:b w:val="0"/>
          <w:color w:val="000000"/>
          <w:sz w:val="32"/>
        </w:rPr>
        <w:t>沃隆食品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公司管理层构成、任职经历与激励机制未公开披露。休闲食品企业的管理层需兼具产品创新与渠道运营能力。建议核查核心团队的任职年限、是否建立与经营成果挂钩的中长期激励。</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公司员工总数、学历与专业结构、参保人数未公开披露。作为食品制造企业，一线生产人员占比较高；研发与品牌团队的能力决定产品创新力。建议核查人员结构、培训记录与流动率。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城阳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公司内控体系运行未公开披露。食品企业的内控除财务与业务外，核心是食品安全与质量管控体系。BRCGS A级认证表明其具备较规范的质控体系。建议核查其食品安全追溯、供应商审计与产品召回机制。</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品类定义能力与配方工艺积累上。其2015年首创独立装每日坚果，定义了这一细分品类，并通过持续的配方与工艺优化形成产品壁垒。这类知识以配方、工艺参数、操作诀窍形式沉淀，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沃隆食品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公司成本优势来源于规模化自建工厂的产能摊薄、原料集采议价能力，以及品牌溢价对成本的对冲。但休闲食品成本受原料价格与渠道费用双重挤压，成本控制需持续优化。</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C端休闲食品的客户壁垒来自品牌认知、渠道覆盖密度与消费者复购习惯。沃隆作为每日坚果品类开创者，品牌认知度高、复购稳定；但其壁垒需长期投入积累，面临新锐品牌与会员店自有品牌的持续挑战。</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城阳区特种食品集群为沃隆提供了要素共享、知识溢出与市场匹配三类外部经济，特别是与利和味道、青岛食品等链主企业的协同，以及在园区内获取食品检测、冷链物流等配套的成本优势。</w:t>
      </w:r>
    </w:p>
    <w:p>
      <w:pPr>
        <w:spacing w:lineRule="exact" w:line="600" w:before="0" w:after="0"/>
        <w:ind w:firstLine="420"/>
        <w:jc w:val="both"/>
      </w:pPr>
      <w:r>
        <w:rPr>
          <w:rFonts w:ascii="仿宋_GB2312" w:hAnsi="仿宋_GB2312" w:eastAsia="仿宋_GB2312"/>
          <w:b w:val="0"/>
          <w:color w:val="000000"/>
          <w:sz w:val="32"/>
        </w:rPr>
        <w:t>青岛市城阳区特种食品特色产业集群为沃隆食品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沃隆食品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食品行业整体需求刚性较强、抗周期性优于工业品，但细分品类的生命周期与流行趋势变化迅速。消费预期变化、人口结构调整、健康化消费升级正在重塑品类格局；同时渠道端从传统商超向会员店、折扣店、内容电商快速迁移，渠道变革带来的结构性风险甚至超过周期性风险。</w:t>
      </w:r>
    </w:p>
    <w:p>
      <w:pPr>
        <w:spacing w:lineRule="exact" w:line="600" w:before="0" w:after="0"/>
        <w:ind w:firstLine="420"/>
        <w:jc w:val="both"/>
      </w:pPr>
      <w:r>
        <w:rPr>
          <w:rFonts w:ascii="仿宋_GB2312" w:hAnsi="仿宋_GB2312" w:eastAsia="仿宋_GB2312"/>
          <w:b w:val="0"/>
          <w:color w:val="000000"/>
          <w:sz w:val="32"/>
        </w:rPr>
        <w:t>食品行业整体需求刚性较强、抗周期性优于工业品，但细分品类的生命周期与流行趋势变化迅速。消费预期变化、人口结构调整、健康化与功能化消费升级正在重塑品类格局；同时渠道端从传统商超向会员店、折扣店、内容电商快速迁移，渠道变革带来的结构性风险甚至超过周期性风险。</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坚果炒货行业品牌众多、竞争充分，沃隆面临全渠道品牌与会员店自有品牌的双重挤压。建议企业建立竞争情报跟踪机制，并以差异化品种与服务能力构筑非价格竞争优势。</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沃隆食品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客户集中度方面，若公司收入依赖少数大型渠道商（如会员店、电商平台），单一客户的准入或策略变动会造成冲击。建议建立客户信用评级与额度管理，并运用信用保险、保理等工具转移风险。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供应链风险集中于坚果原料，具有农产品属性，受气候、种植面积、国际贸易政策影响大，且部分依赖进口。建议核查原料检验报告、供应商审计记录及是否存在单一产地断供隐患。</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食品安全是食品企业的生命线。风险点覆盖原料农残与重金属、微生物污染、添加剂超范围使用、标签标识不合规、过敏原标注缺失、保质期管理不当等环节。一旦发生产品质量事件，除召回与赔偿外，品牌声誉受损难以短期修复。建议核查近三年国家与省市级监督抽检结果、客户审核不符合项整改情况。</w:t>
      </w:r>
    </w:p>
    <w:p>
      <w:pPr>
        <w:spacing w:lineRule="exact" w:line="600" w:before="0" w:after="0"/>
        <w:ind w:firstLine="420"/>
        <w:jc w:val="both"/>
      </w:pPr>
      <w:r>
        <w:rPr>
          <w:rFonts w:ascii="仿宋_GB2312" w:hAnsi="仿宋_GB2312" w:eastAsia="仿宋_GB2312"/>
          <w:b w:val="0"/>
          <w:color w:val="000000"/>
          <w:sz w:val="32"/>
        </w:rPr>
        <w:t>食品安全是食品企业的生命线。风险点覆盖原料农残与重金属、微生物污染、添加剂超范围使用、标签标识不合规、过敏原标注缺失、保质期管理不当等环节。一旦发生质量事件，除召回与赔偿损失外，品牌声誉受损往往难以在短期内修复，且在社交媒体环境下传播速度极快。建议核查企业近三年国家与省市级监督抽检结果、客户审核不符合项整改情况与产品责任保险投保情况。</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财务风险方面，作为重资产自建工厂的拟IPO企业，若依赖短期借款支撑长期产能建设，易形成期限错配。建议金融机构重点监测有息负债增长、票据融资占比、关联方资金往来及抵质押资产比例等预警信号。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治理风险方面，创始人持股74.1%使决策高度集中，存在关联交易不规范、资金管理混同的隐患。建议核查关联交易审批与定价公允性，并为后续资本化做好治理规范。</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沃隆食品面临的主要风险集中于渠道竞争加剧、原料价格波动、食品安全合规及创始人集中持股的治理隐患，但其品类开创者地位、近50%的细分份额与品牌认知构成较强风险缓冲。整体风险等级中等，对其授信应重点关注食品安全合规与渠道结构健康度。</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沃隆食品的融资需求主要源于产能扩建与营运资金：公司曾拟IPO募资7亿元扩产，显示其有持续的资本开支需求；同时原料采购与渠道拓展需要周转资金。资金需求兼具短期周转与中长期扩能特征。</w:t>
      </w:r>
    </w:p>
    <w:p>
      <w:pPr>
        <w:spacing w:lineRule="exact" w:line="600" w:before="0" w:after="0"/>
        <w:ind w:firstLine="420"/>
        <w:jc w:val="both"/>
      </w:pPr>
      <w:r>
        <w:rPr>
          <w:rFonts w:ascii="仿宋_GB2312" w:hAnsi="仿宋_GB2312" w:eastAsia="仿宋_GB2312"/>
          <w:b w:val="0"/>
          <w:color w:val="000000"/>
          <w:sz w:val="32"/>
        </w:rPr>
        <w:t>从资金用途看，沃隆食品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商业保理方面，沃隆对下游渠道商的应收账款可作明保标的，但需做好基础资产确权与回款路径封闭管理。鉴于其渠道分散，可优先选择大型商超、会员店等优质客户项下已验收结算的应收账款。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沃隆食品，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供应链金融方面，沃隆可作为核心企业，依托自身信用开展反向保理帮助上游坚果供应商提前回款；亦可依托下游大型渠道的订单与应付确认开展订单融资。两类方案均需以交易数据线上化为基础。</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沃隆食品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融资租赁方面，沃隆属于设备密集型企业，可通过直接租赁更新烘焙、分装、检测设备，通过售后回租盘活通用设备补充中长期资金。风控要点在于设备的通用性与可处置性。</w:t>
      </w:r>
    </w:p>
    <w:p>
      <w:pPr>
        <w:spacing w:lineRule="exact" w:line="600" w:before="0" w:after="0"/>
        <w:ind w:firstLine="420"/>
        <w:jc w:val="both"/>
      </w:pPr>
      <w:r>
        <w:rPr>
          <w:rFonts w:ascii="仿宋_GB2312" w:hAnsi="仿宋_GB2312" w:eastAsia="仿宋_GB2312"/>
          <w:b w:val="0"/>
          <w:color w:val="000000"/>
          <w:sz w:val="32"/>
        </w:rPr>
        <w:t>沃隆食品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小额贷款方面，适配于沃隆链上配套小微企业的应急周转与批量普惠授信，成本高于银行信贷，不宜作为长期主渠道。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沃隆食品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沃隆食品采取"以自偿性贸易融资为主、中长期工具为辅、普惠工具补充"的组合策略：营运资金缺口优先通过保理与供应链融资解决；产能扩建通过融资租赁与项目贷款解决；链上小微需求通过小额贷款补充。</w:t>
      </w:r>
    </w:p>
    <w:p>
      <w:pPr>
        <w:spacing w:lineRule="exact" w:line="600" w:before="0" w:after="0"/>
        <w:ind w:firstLine="420"/>
        <w:jc w:val="both"/>
      </w:pPr>
      <w:r>
        <w:rPr>
          <w:rFonts w:ascii="仿宋_GB2312" w:hAnsi="仿宋_GB2312" w:eastAsia="仿宋_GB2312"/>
          <w:b w:val="0"/>
          <w:color w:val="000000"/>
          <w:sz w:val="32"/>
        </w:rPr>
        <w:t>综合上述分析，建议对沃隆食品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沃隆食品是"每日坚果"品类的开创者与细分领域隐形冠军，2024年营收超10亿元、每日坚果市占率近50%，品牌认知度高、自建产能扎实。作为民营拟IPO企业，其资本化意图明确，但渠道竞争与食品安全合规是其持续经营的关键变量。</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坚果炒货行业2029年市场规模预计达4200亿元，空间广阔。沃隆依托品类开创者地位与品牌资产，有望在每日坚果基本盘之上向坚果烘焙、礼盒等品类延伸；若资本化推进顺利，将获得权益性资金支撑产能扩建。建议关注其渠道结构优化与新品类拓展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建议沃隆食品在三个方面持续改进：一是强化食品安全与质量合规基础管理，把合规能力转化为可持续竞争优势；二是优化债务结构与期限匹配，避免短贷长用；三是规范治理与信息披露，为资本化创造条件。</w:t>
      </w:r>
    </w:p>
    <w:p>
      <w:pPr>
        <w:spacing w:lineRule="exact" w:line="600" w:before="0" w:after="0"/>
        <w:ind w:firstLine="420"/>
        <w:jc w:val="both"/>
      </w:pPr>
      <w:r>
        <w:rPr>
          <w:rFonts w:ascii="仿宋_GB2312" w:hAnsi="仿宋_GB2312" w:eastAsia="仿宋_GB2312"/>
          <w:b w:val="0"/>
          <w:color w:val="000000"/>
          <w:sz w:val="32"/>
        </w:rPr>
        <w:t>此外，建议沃隆食品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对金融机构而言，服务沃隆食品应立足"看品牌、看渠道、看合规"思路，以供应链金融与保理为抓手服务其周转与扩能需求，并将食品安全合规与监督抽检结果列为授信前置与贷后持续监测重点。</w:t>
      </w:r>
    </w:p>
    <w:p>
      <w:pPr>
        <w:spacing w:lineRule="exact" w:line="600" w:before="0" w:after="0"/>
        <w:ind w:firstLine="420"/>
        <w:jc w:val="both"/>
      </w:pPr>
      <w:r>
        <w:rPr>
          <w:rFonts w:ascii="仿宋_GB2312" w:hAnsi="仿宋_GB2312" w:eastAsia="仿宋_GB2312"/>
          <w:b w:val="0"/>
          <w:color w:val="000000"/>
          <w:sz w:val="32"/>
        </w:rPr>
        <w:t>总体而言，服务青岛市城阳区特种食品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城阳区公开报道及园区产业介绍材料（2024）。</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坚果炒货行业公开市场规模预测数据（2024）。</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