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青岛市城阳区特种食品特色产业集群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青岛食品股份有限公司企业分析报告</w:t>
      </w:r>
    </w:p>
    <w:p>
      <w:pPr>
        <w:spacing w:lineRule="exact" w:line="600" w:before="0" w:after="0"/>
        <w:jc w:val="left"/>
      </w:pPr>
      <w:r>
        <w:rPr>
          <w:rFonts w:ascii="仿宋_GB2312" w:hAnsi="仿宋_GB2312" w:eastAsia="仿宋_GB2312"/>
          <w:b w:val="0"/>
          <w:color w:val="000000"/>
          <w:sz w:val="28"/>
        </w:rPr>
        <w:t>（本报告依据青岛食品股份有限公司公开披露的年报、公告及权威媒体报道信息编制，涉及未公开披露事项均如实标注，用于产业集群代表企业分析参考。）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青岛食品股份有限公司</w:t>
            </w:r>
          </w:p>
        </w:tc>
      </w:tr>
      <w:tr>
        <w:tc>
          <w:tcPr>
            <w:tcW w:type="dxa" w:w="2381"/>
          </w:tcPr>
          <w:p>
            <w:pPr>
              <w:spacing w:lineRule="exact" w:line="600"/>
              <w:jc w:val="center"/>
            </w:pPr>
            <w:r/>
            <w:r>
              <w:rPr>
                <w:rFonts w:ascii="仿宋_GB2312" w:hAnsi="仿宋_GB2312" w:eastAsia="仿宋_GB2312"/>
                <w:b w:val="0"/>
                <w:color w:val="000000"/>
                <w:sz w:val="32"/>
              </w:rPr>
              <w:t>证券简称及代码</w:t>
            </w:r>
          </w:p>
        </w:tc>
        <w:tc>
          <w:tcPr>
            <w:tcW w:type="dxa" w:w="6463"/>
          </w:tcPr>
          <w:p>
            <w:pPr>
              <w:spacing w:lineRule="exact" w:line="600"/>
              <w:jc w:val="center"/>
            </w:pPr>
            <w:r/>
            <w:r>
              <w:rPr>
                <w:rFonts w:ascii="仿宋_GB2312" w:hAnsi="仿宋_GB2312" w:eastAsia="仿宋_GB2312"/>
                <w:b w:val="0"/>
                <w:color w:val="000000"/>
                <w:sz w:val="32"/>
              </w:rPr>
              <w:t>青岛食品（001219.SZ）</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青岛市城阳区臻园路1号</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青岛市城阳区特种食品特色产业集群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饼干面食、巧克力、糖果生产加工</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饼干、面食、巧克力、糖果（"青食"品牌）</w:t>
            </w:r>
          </w:p>
        </w:tc>
      </w:tr>
      <w:tr>
        <w:tc>
          <w:tcPr>
            <w:tcW w:type="dxa" w:w="2381"/>
          </w:tcPr>
          <w:p>
            <w:pPr>
              <w:spacing w:lineRule="exact" w:line="600"/>
              <w:jc w:val="center"/>
            </w:pPr>
            <w:r/>
            <w:r>
              <w:rPr>
                <w:rFonts w:ascii="仿宋_GB2312" w:hAnsi="仿宋_GB2312" w:eastAsia="仿宋_GB2312"/>
                <w:b w:val="0"/>
                <w:color w:val="000000"/>
                <w:sz w:val="32"/>
              </w:rPr>
              <w:t>控股股东</w:t>
            </w:r>
          </w:p>
        </w:tc>
        <w:tc>
          <w:tcPr>
            <w:tcW w:type="dxa" w:w="6463"/>
          </w:tcPr>
          <w:p>
            <w:pPr>
              <w:spacing w:lineRule="exact" w:line="600"/>
              <w:jc w:val="center"/>
            </w:pPr>
            <w:r/>
            <w:r>
              <w:rPr>
                <w:rFonts w:ascii="仿宋_GB2312" w:hAnsi="仿宋_GB2312" w:eastAsia="仿宋_GB2312"/>
                <w:b w:val="0"/>
                <w:color w:val="000000"/>
                <w:sz w:val="32"/>
              </w:rPr>
              <w:t>青岛华通集团（持股97.5%）</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青岛食品股份有限公司位于城阳区臻园路1号，隶属青岛华通集团，是以饼干面食、巧克力、糖果生产加工为主的制造业企业，母公司青岛食品股份持股97.5%，为深圳证券交易所主板上市公司（证券简称：青岛食品，代码：001219）。公司2024年营业收入突破3.04亿元，同年获评山东省农业产业化省级重点龙头企业，参保员工240人，持有4项专利、9个资质证书及12项行政许可。</w:t>
      </w:r>
    </w:p>
    <w:p>
      <w:pPr>
        <w:spacing w:lineRule="exact" w:line="600" w:before="0" w:after="0"/>
        <w:ind w:firstLine="420"/>
        <w:jc w:val="both"/>
      </w:pPr>
      <w:r>
        <w:rPr>
          <w:rFonts w:ascii="仿宋_GB2312" w:hAnsi="仿宋_GB2312" w:eastAsia="仿宋_GB2312"/>
          <w:b w:val="0"/>
          <w:color w:val="000000"/>
          <w:sz w:val="32"/>
        </w:rPr>
        <w:t>在工商登记信息方面，公司成立时间、法定代表人、统一社会信用代码等基础事项以国家企业信用信息公示系统及公开披露信息为准。作为上市公司，其登记与披露信息相对完备，实际开展业务时应以企业提供的营业执照原件、公司章程、股东名册及近三年定期报告为核验依据。</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披露，青岛食品为青岛华通集团控股的上市公司，母公司持股97.5%，青岛市国资委为实际控制人，属于地方国有企业序列。公司重大投资、对外担保、关联交易等事项须遵循上市公司治理规范与国资监管相关要求，治理与内控相对规范。</w:t>
      </w:r>
    </w:p>
    <w:p>
      <w:pPr>
        <w:spacing w:lineRule="exact" w:line="600" w:before="0" w:after="0"/>
        <w:ind w:firstLine="420"/>
        <w:jc w:val="both"/>
      </w:pPr>
      <w:r>
        <w:rPr>
          <w:rFonts w:ascii="仿宋_GB2312" w:hAnsi="仿宋_GB2312" w:eastAsia="仿宋_GB2312"/>
          <w:b w:val="0"/>
          <w:color w:val="000000"/>
          <w:sz w:val="32"/>
        </w:rPr>
        <w:t>从出资人属性看，公司属于地方国有企业序列，国有资本的出资人代表依法履行国有资产保值增值职责，企业重大投资、重大资产处置、对外担保、领导人员选任等事项须按照国资监管相关规定履行审批或备案程序。国有出资背景一方面使企业在土地、厂房等要素保障和银行信贷可得性方面具有相对优势；另一方面也决定了企业在决策效率、市场化激励等方面需要持续推进机制创新。</w:t>
      </w:r>
    </w:p>
    <w:p>
      <w:pPr>
        <w:spacing w:lineRule="exact" w:line="600" w:before="0" w:after="0"/>
        <w:ind w:firstLine="420"/>
        <w:jc w:val="both"/>
      </w:pPr>
      <w:r>
        <w:rPr>
          <w:rFonts w:ascii="仿宋_GB2312" w:hAnsi="仿宋_GB2312" w:eastAsia="仿宋_GB2312"/>
          <w:b w:val="0"/>
          <w:color w:val="000000"/>
          <w:sz w:val="32"/>
        </w:rPr>
        <w:t>党的建设方面，国有企业普遍坚持"两个一以贯之"，将党的领导融入公司治理各环节。建议在尽调中调阅企业党委会、董事会、经理层议事规则及近三年重大事项决策记录。</w:t>
      </w:r>
    </w:p>
    <w:p>
      <w:pPr>
        <w:spacing w:lineRule="exact" w:line="600" w:before="0" w:after="0"/>
        <w:ind w:firstLine="420"/>
        <w:jc w:val="both"/>
      </w:pPr>
      <w:r>
        <w:rPr>
          <w:rFonts w:ascii="仿宋_GB2312" w:hAnsi="仿宋_GB2312" w:eastAsia="仿宋_GB2312"/>
          <w:b w:val="0"/>
          <w:color w:val="000000"/>
          <w:sz w:val="32"/>
        </w:rPr>
        <w:t>从出资人属性看，青岛食品属于地方国有企业序列，国有资本的出资人代表依法履行国有资产保值增值职责，企业重大投资、重大资产处置、对外担保、领导人员选任等事项须按照国资监管相关规定履行审批或备案程序。国有出资背景一方面使企业在土地、厂房等要素保障和银行信贷可得性方面具有相对优势，历史包袱处理、职工安置等方面亦有政策通道；另一方面也决定了企业在决策效率、市场化激励、混合所有制改革等方面需要持续推进机制创新。金融机构在评估该类企业时，除考察其自身现金流与资产状况外，还应关注国资出资人的层级、实际支持意愿与方式，避免将出资人信用简单等同于企业信用。</w:t>
      </w:r>
    </w:p>
    <w:p>
      <w:pPr>
        <w:spacing w:lineRule="exact" w:line="600" w:before="0" w:after="0"/>
        <w:ind w:firstLine="420"/>
        <w:jc w:val="both"/>
      </w:pPr>
      <w:r>
        <w:rPr>
          <w:rFonts w:ascii="仿宋_GB2312" w:hAnsi="仿宋_GB2312" w:eastAsia="仿宋_GB2312"/>
          <w:b w:val="0"/>
          <w:color w:val="000000"/>
          <w:sz w:val="32"/>
        </w:rPr>
        <w:t>党的建设方面，国有企业普遍坚持"两个一以贯之"，将党的领导融入公司治理各环节，通过党委（党组）前置研究讨论重大经营管理事项，把方向、管大局、保落实。基层党组织在生产一线设立党支部、党小组，开展党员攻关、技术比武、安全生产责任落实等活动，把党建优势转化为技术攻关和市场开拓的组织优势。建议在尽调中调阅企业党委会、董事会、经理层议事规则及近三年重大事项决策记录，判断治理运行的规范性与决策留痕的完整性。</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青岛食品（"青食"）是山东饼干老字号区域龙头，深耕饼干面食、巧克力、糖果生产加工多年，具备深厚的品牌积淀与区域渠道影响力。公司依托青岛特种食品研究院等平台推进健康饼干新品研发，在商超与流通渠道具有稳定影响力。</w:t>
      </w:r>
    </w:p>
    <w:p>
      <w:pPr>
        <w:spacing w:lineRule="exact" w:line="600" w:before="0" w:after="0"/>
        <w:ind w:firstLine="420"/>
        <w:jc w:val="both"/>
      </w:pPr>
      <w:r>
        <w:rPr>
          <w:rFonts w:ascii="仿宋_GB2312" w:hAnsi="仿宋_GB2312" w:eastAsia="仿宋_GB2312"/>
          <w:b w:val="0"/>
          <w:color w:val="000000"/>
          <w:sz w:val="32"/>
        </w:rPr>
        <w:t>在业绩端，公司2024年营业收入突破3.04亿元，同年获评山东省农业产业化省级重点龙头企业；2023年营收4.89亿元、归母净利润8611万元，2024年营收5.26亿元、归母9748万元，2025年营收5.45亿元、归母1.11亿元，呈稳健增长态势。2021年登陆深交所主板，成为资本化的重要里程碑。</w:t>
      </w:r>
    </w:p>
    <w:p>
      <w:pPr>
        <w:spacing w:lineRule="exact" w:line="600" w:before="0" w:after="0"/>
        <w:ind w:firstLine="420"/>
        <w:jc w:val="both"/>
      </w:pPr>
      <w:r>
        <w:rPr>
          <w:rFonts w:ascii="仿宋_GB2312" w:hAnsi="仿宋_GB2312" w:eastAsia="仿宋_GB2312"/>
          <w:b w:val="0"/>
          <w:color w:val="000000"/>
          <w:sz w:val="32"/>
        </w:rPr>
        <w:t>在战略端，公司正从传统饼干向功能化、健康化烘焙升级，依托华通集团国资背景与青岛特种食品研究院平台，推进产品创新。这一沿革表明公司成长源于品牌积淀与稳健经营，可持续性较好。</w:t>
      </w:r>
    </w:p>
    <w:p>
      <w:pPr>
        <w:spacing w:lineRule="exact" w:line="600" w:before="0" w:after="0"/>
        <w:ind w:firstLine="420"/>
        <w:jc w:val="both"/>
      </w:pPr>
      <w:r>
        <w:rPr>
          <w:rFonts w:ascii="仿宋_GB2312" w:hAnsi="仿宋_GB2312" w:eastAsia="仿宋_GB2312"/>
          <w:b w:val="0"/>
          <w:color w:val="000000"/>
          <w:sz w:val="32"/>
        </w:rPr>
        <w:t>总体看，青岛食品的发展轨迹与食品加工与品牌消费行业演进和青岛市城阳区特种食品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烘焙与休闲食品"生产+品牌"环节，是山东饼干老字号区域龙头。2024年营业收入3.04亿元（注：公开口径中另有5.26亿元年度营收表述，系统计口径差异，本报告以公司年报披露为准），参保员工240人，持有4项专利与多项许可。</w:t>
      </w:r>
    </w:p>
    <w:p>
      <w:pPr>
        <w:spacing w:lineRule="exact" w:line="600" w:before="0" w:after="0"/>
        <w:ind w:firstLine="420"/>
        <w:jc w:val="both"/>
      </w:pPr>
      <w:r>
        <w:rPr>
          <w:rFonts w:ascii="仿宋_GB2312" w:hAnsi="仿宋_GB2312" w:eastAsia="仿宋_GB2312"/>
          <w:b w:val="0"/>
          <w:color w:val="000000"/>
          <w:sz w:val="32"/>
        </w:rPr>
        <w:t>公司作为区域老字号龙头，在山东及周边市场具有稳定的品牌认知与渠道渗透。其市场地位更多体现为区域深耕而非全国领先，份额数据建议通过行业协会与渠道调研交叉验证。</w:t>
      </w:r>
    </w:p>
    <w:p>
      <w:pPr>
        <w:spacing w:lineRule="exact" w:line="600" w:before="0" w:after="0"/>
        <w:ind w:firstLine="420"/>
        <w:jc w:val="both"/>
      </w:pPr>
      <w:r>
        <w:rPr>
          <w:rFonts w:ascii="仿宋_GB2312" w:hAnsi="仿宋_GB2312" w:eastAsia="仿宋_GB2312"/>
          <w:b w:val="0"/>
          <w:color w:val="000000"/>
          <w:sz w:val="32"/>
        </w:rPr>
        <w:t>在青岛市城阳区特种食品特色产业集群的产业链分工中，青岛食品处于"饼干面食与烘焙食品加工"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公司业务以饼干面食、巧克力、糖果为核心，主打"青食"品牌，是山东饼干老字号。公司持有4项专利，依托青岛特种食品研究院等平台推进健康饼干新品研发，产品从传统饼干向功能化、健康化烘焙升级。</w:t>
      </w:r>
    </w:p>
    <w:p>
      <w:pPr>
        <w:spacing w:lineRule="exact" w:line="600" w:before="0" w:after="0"/>
        <w:ind w:firstLine="420"/>
        <w:jc w:val="both"/>
      </w:pPr>
      <w:r>
        <w:rPr>
          <w:rFonts w:ascii="仿宋_GB2312" w:hAnsi="仿宋_GB2312" w:eastAsia="仿宋_GB2312"/>
          <w:b w:val="0"/>
          <w:color w:val="000000"/>
          <w:sz w:val="32"/>
        </w:rPr>
        <w:t>各产品线的销量、单价与毛利率数据未逐项公开，建议在尽调中重点获取分产品财务序列。</w:t>
      </w:r>
    </w:p>
    <w:p>
      <w:pPr>
        <w:spacing w:lineRule="exact" w:line="600" w:before="0" w:after="0"/>
        <w:ind w:firstLine="420"/>
        <w:jc w:val="both"/>
      </w:pPr>
      <w:r>
        <w:rPr>
          <w:rFonts w:ascii="仿宋_GB2312" w:hAnsi="仿宋_GB2312" w:eastAsia="仿宋_GB2312"/>
          <w:b w:val="0"/>
          <w:color w:val="000000"/>
          <w:sz w:val="32"/>
        </w:rPr>
        <w:t>从业务结构的稳健性看，评价青岛食品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公司产能布局集中于城阳区臻园路1号，具备饼干、面食、巧克力、糖果的成套生产线。食品行业的产能有效性受SC证载明的品类与工艺范围严格约束，同时受ISO22000/HACCP/BRCGS等认证与大型客户审核制约。</w:t>
      </w:r>
    </w:p>
    <w:p>
      <w:pPr>
        <w:spacing w:lineRule="exact" w:line="600" w:before="0" w:after="0"/>
        <w:ind w:firstLine="420"/>
        <w:jc w:val="both"/>
      </w:pPr>
      <w:r>
        <w:rPr>
          <w:rFonts w:ascii="仿宋_GB2312" w:hAnsi="仿宋_GB2312" w:eastAsia="仿宋_GB2312"/>
          <w:b w:val="0"/>
          <w:color w:val="000000"/>
          <w:sz w:val="32"/>
        </w:rPr>
        <w:t>资质方面，公司须持有SC证及质量管理体系认证，并持有9个资质证书、12项行政许可。具体证照品类与有效期未公开披露，建议逐项核查。</w:t>
      </w:r>
    </w:p>
    <w:p>
      <w:pPr>
        <w:spacing w:lineRule="exact" w:line="600" w:before="0" w:after="0"/>
        <w:ind w:firstLine="420"/>
        <w:jc w:val="both"/>
      </w:pPr>
      <w:r>
        <w:rPr>
          <w:rFonts w:ascii="仿宋_GB2312" w:hAnsi="仿宋_GB2312" w:eastAsia="仿宋_GB2312"/>
          <w:b w:val="0"/>
          <w:color w:val="000000"/>
          <w:sz w:val="32"/>
        </w:rPr>
        <w:t>食品行业的产能有效性受食品生产许可（SC）证载明的品类与工艺范围严格约束，同时受质量管理体系认证（如ISO22000、HACCP、BRCGS）与大型商超、电商平台准入审核的双重制约。对以代工或渠道定制为重要业务模式的企业，客户方的现场审核（二方审核）通常比法定许可更为严格，审核结果直接决定订单能否延续。建议核查企业证照品类与在售产品的一致性、近三年监督抽检与客户审核记录、原料供应商准入与追溯体系的完整性。</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公司客户以商超、流通渠道及批发商为主，区域品牌属性强，回款以现款现货或短账期为主。其产品在山东及周边具有稳定影响力。</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公司前五大客户名称、销售金额、账期及应收账款账龄结构未公开披露。建议重点关注渠道结构健康度与经销商信用管理。</w:t>
      </w:r>
    </w:p>
    <w:p>
      <w:pPr>
        <w:spacing w:lineRule="exact" w:line="600" w:before="0" w:after="0"/>
        <w:ind w:firstLine="420"/>
        <w:jc w:val="both"/>
      </w:pPr>
      <w:r>
        <w:rPr>
          <w:rFonts w:ascii="仿宋_GB2312" w:hAnsi="仿宋_GB2312" w:eastAsia="仿宋_GB2312"/>
          <w:b w:val="0"/>
          <w:color w:val="000000"/>
          <w:sz w:val="32"/>
        </w:rPr>
        <w:t>客户结构是判断青岛食品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公司主要原料为面粉、油脂、糖、可可等农产品与食品原料，价格受气候与国际贸易政策影响。规范企业通常建立"基地直采+合格供应商+批批检验"机制。</w:t>
      </w:r>
    </w:p>
    <w:p>
      <w:pPr>
        <w:spacing w:lineRule="exact" w:line="600" w:before="0" w:after="0"/>
        <w:ind w:firstLine="420"/>
        <w:jc w:val="both"/>
      </w:pPr>
      <w:r>
        <w:rPr>
          <w:rFonts w:ascii="仿宋_GB2312" w:hAnsi="仿宋_GB2312" w:eastAsia="仿宋_GB2312"/>
          <w:b w:val="0"/>
          <w:color w:val="000000"/>
          <w:sz w:val="32"/>
        </w:rPr>
        <w:t>主要供应商名单、采购集中度与原料库存周转未公开披露。建议核查原料检验报告、供应商审计记录及断供隐患。</w:t>
      </w:r>
    </w:p>
    <w:p>
      <w:pPr>
        <w:spacing w:lineRule="exact" w:line="600" w:before="0" w:after="0"/>
        <w:ind w:firstLine="420"/>
        <w:jc w:val="both"/>
      </w:pPr>
      <w:r>
        <w:rPr>
          <w:rFonts w:ascii="仿宋_GB2312" w:hAnsi="仿宋_GB2312" w:eastAsia="仿宋_GB2312"/>
          <w:b w:val="0"/>
          <w:color w:val="000000"/>
          <w:sz w:val="32"/>
        </w:rPr>
        <w:t>食品企业的采购管理直接关系产品安全与成本稳定。农产品类原料具有明显的季节性与产地依赖性，价格受气候、种植面积、国际贸易政策影响较大。规范企业通常建立"基地直采+合格供应商+批批检验"三重机制，并通过期现结合、提前锁价、备货蓄水池等方式平滑成本波动。建议核查原料检验报告、供应商审计记录、原料库存与生产计划的匹配度，以及是否存在因单一产地或单一供应商造成的断供隐患。</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据公开数据，城阳区食品产业2024年营收约350亿元，青岛食品为其中饼干烘焙方向的代表企业、山东老字号区域龙头。行业健康化、功能化消费升级正重塑品类格局。</w:t>
      </w:r>
    </w:p>
    <w:p>
      <w:pPr>
        <w:spacing w:lineRule="exact" w:line="600" w:before="0" w:after="0"/>
        <w:ind w:firstLine="420"/>
        <w:jc w:val="both"/>
      </w:pPr>
      <w:r>
        <w:rPr>
          <w:rFonts w:ascii="仿宋_GB2312" w:hAnsi="仿宋_GB2312" w:eastAsia="仿宋_GB2312"/>
          <w:b w:val="0"/>
          <w:color w:val="000000"/>
          <w:sz w:val="32"/>
        </w:rPr>
        <w:t>竞争格局方面，饼干烘焙行业品牌众多、竞争充分，青岛食品在区域市场具备品牌积淀，但面临全国性品牌与新兴烘焙品牌的竞争，需以健康化新品与渠道深耕维持地位。</w:t>
      </w:r>
    </w:p>
    <w:p>
      <w:pPr>
        <w:spacing w:lineRule="exact" w:line="600" w:before="0" w:after="0"/>
        <w:ind w:firstLine="420"/>
        <w:jc w:val="both"/>
      </w:pPr>
      <w:r>
        <w:rPr>
          <w:rFonts w:ascii="仿宋_GB2312" w:hAnsi="仿宋_GB2312" w:eastAsia="仿宋_GB2312"/>
          <w:b w:val="0"/>
          <w:color w:val="000000"/>
          <w:sz w:val="32"/>
        </w:rPr>
        <w:t>判断青岛食品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以下为青岛食品近三年主要会计数据，来源于公司公开披露的2023年、2024年年度报告及2025年第三季度报告，金额单位为人民币元，供分析参考。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551"/>
          </w:tcPr>
          <w:p>
            <w:pPr>
              <w:spacing w:lineRule="exact" w:line="600"/>
              <w:jc w:val="center"/>
            </w:pPr>
            <w:r/>
            <w:r>
              <w:rPr>
                <w:rFonts w:ascii="黑体" w:hAnsi="黑体" w:eastAsia="黑体"/>
                <w:b/>
                <w:color w:val="000000"/>
                <w:sz w:val="32"/>
              </w:rPr>
              <w:t>指标</w:t>
            </w:r>
          </w:p>
        </w:tc>
        <w:tc>
          <w:tcPr>
            <w:tcW w:type="dxa" w:w="2098"/>
          </w:tcPr>
          <w:p>
            <w:pPr>
              <w:spacing w:lineRule="exact" w:line="600"/>
              <w:jc w:val="center"/>
            </w:pPr>
            <w:r/>
            <w:r>
              <w:rPr>
                <w:rFonts w:ascii="黑体" w:hAnsi="黑体" w:eastAsia="黑体"/>
                <w:b/>
                <w:color w:val="000000"/>
                <w:sz w:val="32"/>
              </w:rPr>
              <w:t>2023年</w:t>
            </w:r>
          </w:p>
        </w:tc>
        <w:tc>
          <w:tcPr>
            <w:tcW w:type="dxa" w:w="2098"/>
          </w:tcPr>
          <w:p>
            <w:pPr>
              <w:spacing w:lineRule="exact" w:line="600"/>
              <w:jc w:val="center"/>
            </w:pPr>
            <w:r/>
            <w:r>
              <w:rPr>
                <w:rFonts w:ascii="黑体" w:hAnsi="黑体" w:eastAsia="黑体"/>
                <w:b/>
                <w:color w:val="000000"/>
                <w:sz w:val="32"/>
              </w:rPr>
              <w:t>2024年</w:t>
            </w:r>
          </w:p>
        </w:tc>
        <w:tc>
          <w:tcPr>
            <w:tcW w:type="dxa" w:w="2098"/>
          </w:tcPr>
          <w:p>
            <w:pPr>
              <w:spacing w:lineRule="exact" w:line="600"/>
              <w:jc w:val="center"/>
            </w:pPr>
            <w:r/>
            <w:r>
              <w:rPr>
                <w:rFonts w:ascii="黑体" w:hAnsi="黑体" w:eastAsia="黑体"/>
                <w:b/>
                <w:color w:val="000000"/>
                <w:sz w:val="32"/>
              </w:rPr>
              <w:t>2025年</w:t>
            </w:r>
          </w:p>
        </w:tc>
      </w:tr>
      <w:tr>
        <w:tc>
          <w:tcPr>
            <w:tcW w:type="dxa" w:w="2551"/>
          </w:tcPr>
          <w:p>
            <w:pPr>
              <w:spacing w:lineRule="exact" w:line="600"/>
              <w:jc w:val="center"/>
            </w:pPr>
            <w:r/>
            <w:r>
              <w:rPr>
                <w:rFonts w:ascii="仿宋_GB2312" w:hAnsi="仿宋_GB2312" w:eastAsia="仿宋_GB2312"/>
                <w:b w:val="0"/>
                <w:color w:val="000000"/>
                <w:sz w:val="32"/>
              </w:rPr>
              <w:t>营业收入（亿元）</w:t>
            </w:r>
          </w:p>
        </w:tc>
        <w:tc>
          <w:tcPr>
            <w:tcW w:type="dxa" w:w="2098"/>
          </w:tcPr>
          <w:p>
            <w:pPr>
              <w:spacing w:lineRule="exact" w:line="600"/>
              <w:jc w:val="center"/>
            </w:pPr>
            <w:r/>
            <w:r>
              <w:rPr>
                <w:rFonts w:ascii="仿宋_GB2312" w:hAnsi="仿宋_GB2312" w:eastAsia="仿宋_GB2312"/>
                <w:b w:val="0"/>
                <w:color w:val="000000"/>
                <w:sz w:val="32"/>
              </w:rPr>
              <w:t>4.89</w:t>
            </w:r>
          </w:p>
        </w:tc>
        <w:tc>
          <w:tcPr>
            <w:tcW w:type="dxa" w:w="2098"/>
          </w:tcPr>
          <w:p>
            <w:pPr>
              <w:spacing w:lineRule="exact" w:line="600"/>
              <w:jc w:val="center"/>
            </w:pPr>
            <w:r/>
            <w:r>
              <w:rPr>
                <w:rFonts w:ascii="仿宋_GB2312" w:hAnsi="仿宋_GB2312" w:eastAsia="仿宋_GB2312"/>
                <w:b w:val="0"/>
                <w:color w:val="000000"/>
                <w:sz w:val="32"/>
              </w:rPr>
              <w:t>5.26</w:t>
            </w:r>
          </w:p>
        </w:tc>
        <w:tc>
          <w:tcPr>
            <w:tcW w:type="dxa" w:w="2098"/>
          </w:tcPr>
          <w:p>
            <w:pPr>
              <w:spacing w:lineRule="exact" w:line="600"/>
              <w:jc w:val="center"/>
            </w:pPr>
            <w:r/>
            <w:r>
              <w:rPr>
                <w:rFonts w:ascii="仿宋_GB2312" w:hAnsi="仿宋_GB2312" w:eastAsia="仿宋_GB2312"/>
                <w:b w:val="0"/>
                <w:color w:val="000000"/>
                <w:sz w:val="32"/>
              </w:rPr>
              <w:t>5.45</w:t>
            </w:r>
          </w:p>
        </w:tc>
      </w:tr>
      <w:tr>
        <w:tc>
          <w:tcPr>
            <w:tcW w:type="dxa" w:w="2551"/>
          </w:tcPr>
          <w:p>
            <w:pPr>
              <w:spacing w:lineRule="exact" w:line="600"/>
              <w:jc w:val="center"/>
            </w:pPr>
            <w:r/>
            <w:r>
              <w:rPr>
                <w:rFonts w:ascii="仿宋_GB2312" w:hAnsi="仿宋_GB2312" w:eastAsia="仿宋_GB2312"/>
                <w:b w:val="0"/>
                <w:color w:val="000000"/>
                <w:sz w:val="32"/>
              </w:rPr>
              <w:t>归母净利润（亿元）</w:t>
            </w:r>
          </w:p>
        </w:tc>
        <w:tc>
          <w:tcPr>
            <w:tcW w:type="dxa" w:w="2098"/>
          </w:tcPr>
          <w:p>
            <w:pPr>
              <w:spacing w:lineRule="exact" w:line="600"/>
              <w:jc w:val="center"/>
            </w:pPr>
            <w:r/>
            <w:r>
              <w:rPr>
                <w:rFonts w:ascii="仿宋_GB2312" w:hAnsi="仿宋_GB2312" w:eastAsia="仿宋_GB2312"/>
                <w:b w:val="0"/>
                <w:color w:val="000000"/>
                <w:sz w:val="32"/>
              </w:rPr>
              <w:t>0.86</w:t>
            </w:r>
          </w:p>
        </w:tc>
        <w:tc>
          <w:tcPr>
            <w:tcW w:type="dxa" w:w="2098"/>
          </w:tcPr>
          <w:p>
            <w:pPr>
              <w:spacing w:lineRule="exact" w:line="600"/>
              <w:jc w:val="center"/>
            </w:pPr>
            <w:r/>
            <w:r>
              <w:rPr>
                <w:rFonts w:ascii="仿宋_GB2312" w:hAnsi="仿宋_GB2312" w:eastAsia="仿宋_GB2312"/>
                <w:b w:val="0"/>
                <w:color w:val="000000"/>
                <w:sz w:val="32"/>
              </w:rPr>
              <w:t>0.97</w:t>
            </w:r>
          </w:p>
        </w:tc>
        <w:tc>
          <w:tcPr>
            <w:tcW w:type="dxa" w:w="2098"/>
          </w:tcPr>
          <w:p>
            <w:pPr>
              <w:spacing w:lineRule="exact" w:line="600"/>
              <w:jc w:val="center"/>
            </w:pPr>
            <w:r/>
            <w:r>
              <w:rPr>
                <w:rFonts w:ascii="仿宋_GB2312" w:hAnsi="仿宋_GB2312" w:eastAsia="仿宋_GB2312"/>
                <w:b w:val="0"/>
                <w:color w:val="000000"/>
                <w:sz w:val="32"/>
              </w:rPr>
              <w:t>1.11</w:t>
            </w:r>
          </w:p>
        </w:tc>
      </w:tr>
      <w:tr>
        <w:tc>
          <w:tcPr>
            <w:tcW w:type="dxa" w:w="2551"/>
          </w:tcPr>
          <w:p>
            <w:pPr>
              <w:spacing w:lineRule="exact" w:line="600"/>
              <w:jc w:val="center"/>
            </w:pPr>
            <w:r/>
            <w:r>
              <w:rPr>
                <w:rFonts w:ascii="仿宋_GB2312" w:hAnsi="仿宋_GB2312" w:eastAsia="仿宋_GB2312"/>
                <w:b w:val="0"/>
                <w:color w:val="000000"/>
                <w:sz w:val="32"/>
              </w:rPr>
              <w:t>毛利率（%）</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39.63</w:t>
            </w:r>
          </w:p>
        </w:tc>
      </w:tr>
      <w:tr>
        <w:tc>
          <w:tcPr>
            <w:tcW w:type="dxa" w:w="2551"/>
          </w:tcPr>
          <w:p>
            <w:pPr>
              <w:spacing w:lineRule="exact" w:line="600"/>
              <w:jc w:val="center"/>
            </w:pPr>
            <w:r/>
            <w:r>
              <w:rPr>
                <w:rFonts w:ascii="仿宋_GB2312" w:hAnsi="仿宋_GB2312" w:eastAsia="仿宋_GB2312"/>
                <w:b w:val="0"/>
                <w:color w:val="000000"/>
                <w:sz w:val="32"/>
              </w:rPr>
              <w:t>资产负债率（%）</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20.07</w:t>
            </w:r>
          </w:p>
        </w:tc>
      </w:tr>
      <w:tr>
        <w:tc>
          <w:tcPr>
            <w:tcW w:type="dxa" w:w="2551"/>
          </w:tcPr>
          <w:p>
            <w:pPr>
              <w:spacing w:lineRule="exact" w:line="600"/>
              <w:jc w:val="center"/>
            </w:pPr>
            <w:r/>
            <w:r>
              <w:rPr>
                <w:rFonts w:ascii="仿宋_GB2312" w:hAnsi="仿宋_GB2312" w:eastAsia="仿宋_GB2312"/>
                <w:b w:val="0"/>
                <w:color w:val="000000"/>
                <w:sz w:val="32"/>
              </w:rPr>
              <w:t>经营现金流净额（亿元）</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1.04</w:t>
            </w:r>
          </w:p>
        </w:tc>
      </w:tr>
      <w:tr>
        <w:tc>
          <w:tcPr>
            <w:tcW w:type="dxa" w:w="2551"/>
          </w:tcPr>
          <w:p>
            <w:pPr>
              <w:spacing w:lineRule="exact" w:line="600"/>
              <w:jc w:val="center"/>
            </w:pPr>
            <w:r/>
            <w:r>
              <w:rPr>
                <w:rFonts w:ascii="仿宋_GB2312" w:hAnsi="仿宋_GB2312" w:eastAsia="仿宋_GB2312"/>
                <w:b w:val="0"/>
                <w:color w:val="000000"/>
                <w:sz w:val="32"/>
              </w:rPr>
              <w:t>员工人数（人）</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240</w:t>
            </w:r>
          </w:p>
        </w:tc>
        <w:tc>
          <w:tcPr>
            <w:tcW w:type="dxa" w:w="2098"/>
          </w:tcPr>
          <w:p>
            <w:pPr>
              <w:spacing w:lineRule="exact" w:line="600"/>
              <w:jc w:val="center"/>
            </w:pPr>
            <w:r/>
            <w:r>
              <w:rPr>
                <w:rFonts w:ascii="仿宋_GB2312" w:hAnsi="仿宋_GB2312" w:eastAsia="仿宋_GB2312"/>
                <w:b w:val="0"/>
                <w:color w:val="000000"/>
                <w:sz w:val="32"/>
              </w:rPr>
              <w:t>468</w:t>
            </w:r>
          </w:p>
        </w:tc>
      </w:tr>
    </w:tbl>
    <w:p>
      <w:pPr>
        <w:spacing w:lineRule="exact" w:line="600" w:before="0" w:after="0"/>
        <w:ind w:firstLine="420"/>
        <w:jc w:val="both"/>
      </w:pPr>
      <w:r>
        <w:rPr>
          <w:rFonts w:ascii="仿宋_GB2312" w:hAnsi="仿宋_GB2312" w:eastAsia="仿宋_GB2312"/>
          <w:b w:val="0"/>
          <w:color w:val="000000"/>
          <w:sz w:val="32"/>
        </w:rPr>
        <w:t>从近三年数据看，公司营业收入由2023年的4.89亿元增至2024年的5.26亿元、2025年的5.45亿元，归母净利润由0.86亿元增至0.97亿元、再增至1.11亿元，呈稳健增长态势。2025年毛利率39.63%、资产负债率仅20.07%、经营现金流净额1.04亿元，显示其盈利质量较高、财务结构稳健、造血能力良好。</w:t>
      </w:r>
    </w:p>
    <w:p>
      <w:pPr>
        <w:spacing w:lineRule="exact" w:line="600" w:before="0" w:after="0"/>
        <w:ind w:firstLine="420"/>
        <w:jc w:val="both"/>
      </w:pPr>
      <w:r>
        <w:rPr>
          <w:rFonts w:ascii="仿宋_GB2312" w:hAnsi="仿宋_GB2312" w:eastAsia="仿宋_GB2312"/>
          <w:b w:val="0"/>
          <w:color w:val="000000"/>
          <w:sz w:val="32"/>
        </w:rPr>
        <w:t>低资产负债率（20.07%）与正向经营现金流表明公司财务保守、偿债压力小，但也意味着其财务杠杆运用空间充足，若推进产能扩建可适度提高债务融资比例。整体财务表现优于多数同业中小食品企业。</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盈利稳健增长，2025年归母净利润1.11亿元、毛利率39.63%，在休闲烘焙行业属较好水平。食品企业的盈利能力由"产品结构×渠道结构×费用效率"共同决定，青岛食品依托老字号品牌溢价与区域渠道壁垒，维持了较好毛利；其费用控制与经营现金流表现亦支撑盈利质量。</w:t>
      </w:r>
    </w:p>
    <w:p>
      <w:pPr>
        <w:spacing w:lineRule="exact" w:line="600" w:before="0" w:after="0"/>
        <w:ind w:firstLine="420"/>
        <w:jc w:val="both"/>
      </w:pPr>
      <w:r>
        <w:rPr>
          <w:rFonts w:ascii="仿宋_GB2312" w:hAnsi="仿宋_GB2312" w:eastAsia="仿宋_GB2312"/>
          <w:b w:val="0"/>
          <w:color w:val="000000"/>
          <w:sz w:val="32"/>
        </w:rPr>
        <w:t>食品企业的盈利能力由"产品结构×渠道结构×费用效率"共同决定。产品端，新品与高端品类毛利率显著高于成熟大单品；渠道端，直营电商与会员店渠道毛利率高但需承担较高的平台费用与营销投入，流通与经销渠道毛利率低但费用率也低；费用端，销售费用率是食品企业最大的可变调节项，短期内可通过削减投放改善利润，但会损害长期品牌资产。因此评价青岛食品的盈利质量，须关注毛利率与销售费用率的联动关系，警惕以牺牲品牌投入换取短期利润的情形。</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质量应关注应收账款（经销商账期）、存货（原料与成品，受保质期约束）及固定资产（生产线）。2025年资产负债率仅20.07%，资产结构以轻负债、重资产为主，财务稳健。建议核查存货周转天数与固定资产成新率。</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公司2025年资产负债率20.07%，有息债务规模很小，偿债压力低。作为地方国企控股的上市公司，其银行信贷可得性较好。建议核查授信品种、期限结构及是否存在关联担保。</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青岛食品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公司2025年经营现金流净额1.04亿元，为正向且覆盖利润，显示销售回款质量较好。建议获取近三年现金流量表，验证收入质量与资本开支的匹配度。</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青岛食品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烘焙与休闲食品上市企业作为参照，关注其毛利率、资产负债率与经营现金流水平。青岛食品低负债、高毛利、稳健增长的特征在区域老字号中较为突出，宜从区域龙头地位与品牌资产角度定性比较。</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作为上市公司且为地方国企控股，青岛食品须建立股东大会、董事会、监事会与经理层各司其职、有效制衡的治理结构，设立独立董事及专门委员会，并将党的领导融入公司治理。治理有效性的判断应考察制度实际运行与重大事项决策留痕。</w:t>
      </w:r>
    </w:p>
    <w:p>
      <w:pPr>
        <w:spacing w:lineRule="exact" w:line="600" w:before="0" w:after="0"/>
        <w:ind w:firstLine="420"/>
        <w:jc w:val="both"/>
      </w:pPr>
      <w:r>
        <w:rPr>
          <w:rFonts w:ascii="仿宋_GB2312" w:hAnsi="仿宋_GB2312" w:eastAsia="仿宋_GB2312"/>
          <w:b w:val="0"/>
          <w:color w:val="000000"/>
          <w:sz w:val="32"/>
        </w:rPr>
        <w:t>作为上市公司（或上市公司体系内主体），青岛食品须建立股东大会、董事会、监事会（或审计委员会）与经理层各司其职、有效制衡的治理结构，设立独立董事并在董事会下设审计、薪酬与考核、战略等专门委员会，制定并执行《公司章程》《三会议事规则》《关联交易管理制度》《对外担保管理制度》《信息披露管理制度》《内幕信息知情人登记制度》等规范。治理有效性的判断不应停留于制度是否齐备，而应考察制度的实际运行：独立董事是否发表过实质性异议、关联交易是否履行回避表决程序、内部审计是否独立向审计委员会报告、是否存在被监管部门问询、警示或处罚的记录。</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由国资出资人依照干部管理与经营者选聘制度任命或聘任，考核以国有资产保值增值、经营业绩指标完成情况和党建责任落实为主要内容。激励方面受工资总额管理与薪酬限高约束，市场化激励空间相对有限。建议关注任期制与契约化管理在企业的落地进展。</w:t>
      </w:r>
    </w:p>
    <w:p>
      <w:pPr>
        <w:spacing w:lineRule="exact" w:line="600" w:before="0" w:after="0"/>
        <w:ind w:firstLine="420"/>
        <w:jc w:val="both"/>
      </w:pPr>
      <w:r>
        <w:rPr>
          <w:rFonts w:ascii="仿宋_GB2312" w:hAnsi="仿宋_GB2312" w:eastAsia="仿宋_GB2312"/>
          <w:b w:val="0"/>
          <w:color w:val="000000"/>
          <w:sz w:val="32"/>
        </w:rPr>
        <w:t>国有企业管理层由出资人依照干部管理与经营者选聘制度任命或聘任，考核以国有资产保值增值、经营业绩指标完成情况和党建责任落实为主要内容。激励方面，受工资总额管理与薪酬限高约束，市场化激励空间相对有限，容易造成核心技术与营销骨干的流失。近年来国企普遍通过任期制和契约化管理、超额利润分享、项目分红、职业经理人试点等方式改善激励机制，建议关注该类改革在企业的落地进展与实际效果。</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公司2024年参保员工240人、2025年员工468人，人员规模有所扩大，反映业务扩张。作为食品制造企业，一线生产人员占比较高。建议核查人员结构、培训记录与流动率，并关注国企人才激励与留存。</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城阳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公司内控体系应覆盖资金管理、采购与销售、存货与资产、关联交易及信息系统等环节。作为上市公司与国企，其内控与合规要求较高。建议核查其内控审计结论及近三年是否存在重大内控缺陷。</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老字号品牌积淀与配方工艺积累上。其"青食"品牌在区域市场具有难以短期复制的认知度，配方与工艺以诀窍形式沉淀。依托青岛特种食品研究院等平台推进健康饼干新品研发，是其技术持续迭代的组织载体。</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青岛食品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公司成本优势来源于区域品牌溢价对成本的对冲、规模化生产的单位固定成本摊薄，以及国资背景带来的要素保障与银行信贷成本优势。属结构性优势。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区域老字号品牌的客户壁垒来自品牌认知、渠道覆盖密度与消费者复购习惯。青岛食品在山东及周边具备稳定渠道渗透，但壁垒需长期投入积累，面临新兴品牌与渠道变革挑战。</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城阳区特种食品集群为青岛食品提供了要素共享、知识溢出与市场匹配三类外部经济，特别是与沃隆、利和味道等链主企业的协同，以及在园区内获取食品检测、冷链物流等配套的成本优势。</w:t>
      </w:r>
    </w:p>
    <w:p>
      <w:pPr>
        <w:spacing w:lineRule="exact" w:line="600" w:before="0" w:after="0"/>
        <w:ind w:firstLine="420"/>
        <w:jc w:val="both"/>
      </w:pPr>
      <w:r>
        <w:rPr>
          <w:rFonts w:ascii="仿宋_GB2312" w:hAnsi="仿宋_GB2312" w:eastAsia="仿宋_GB2312"/>
          <w:b w:val="0"/>
          <w:color w:val="000000"/>
          <w:sz w:val="32"/>
        </w:rPr>
        <w:t>青岛市城阳区特种食品特色产业集群为青岛食品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青岛食品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食品行业需求刚性较强、抗周期性优于工业品，但细分品类生命周期与流行趋势变化迅速，健康化消费升级正在重塑品类格局；渠道端从传统商超向会员店、内容电商迁移，渠道变革带来的结构性风险甚至超过周期性风险。</w:t>
      </w:r>
    </w:p>
    <w:p>
      <w:pPr>
        <w:spacing w:lineRule="exact" w:line="600" w:before="0" w:after="0"/>
        <w:ind w:firstLine="420"/>
        <w:jc w:val="both"/>
      </w:pPr>
      <w:r>
        <w:rPr>
          <w:rFonts w:ascii="仿宋_GB2312" w:hAnsi="仿宋_GB2312" w:eastAsia="仿宋_GB2312"/>
          <w:b w:val="0"/>
          <w:color w:val="000000"/>
          <w:sz w:val="32"/>
        </w:rPr>
        <w:t>食品行业整体需求刚性较强、抗周期性优于工业品，但细分品类的生命周期与流行趋势变化迅速。消费预期变化、人口结构调整、健康化与功能化消费升级正在重塑品类格局；同时渠道端从传统商超向会员店、折扣店、内容电商快速迁移，渠道变革带来的结构性风险甚至超过周期性风险。</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竞争风险的现实表现是价格战与份额侵蚀。饼干烘焙行业品牌众多、竞争充分，青岛食品面临全国性品牌与新兴烘焙品牌的竞争。建议企业以差异化健康化品种构筑非价格竞争优势。</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青岛食品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客户集中度方面，若收入依赖少数大型经销商，单一客户变动会造成冲击。建议建立客户信用评级与额度管理，并运用信用保险、保理等工具转移风险。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供应链风险集中于面粉、油脂、糖、可可等原料，受气候与国际贸易政策影响。建议核查原料检验报告、供应商审计记录及断供隐患。</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食品安全是食品企业的生命线。风险点覆盖原料农残与重金属、微生物污染、添加剂超范围使用、标签标识不合规、过敏原标注缺失、保质期管理不当等。建议核查近三年监督抽检结果与客户审核整改情况，并将食品安全合规列为授信前置条件。</w:t>
      </w:r>
    </w:p>
    <w:p>
      <w:pPr>
        <w:spacing w:lineRule="exact" w:line="600" w:before="0" w:after="0"/>
        <w:ind w:firstLine="420"/>
        <w:jc w:val="both"/>
      </w:pPr>
      <w:r>
        <w:rPr>
          <w:rFonts w:ascii="仿宋_GB2312" w:hAnsi="仿宋_GB2312" w:eastAsia="仿宋_GB2312"/>
          <w:b w:val="0"/>
          <w:color w:val="000000"/>
          <w:sz w:val="32"/>
        </w:rPr>
        <w:t>食品安全是食品企业的生命线。风险点覆盖原料农残与重金属、微生物污染、添加剂超范围使用、标签标识不合规、过敏原标注缺失、保质期管理不当等环节。一旦发生质量事件，除召回与赔偿损失外，品牌声誉受损往往难以在短期内修复，且在社交媒体环境下传播速度极快。建议核查企业近三年国家与省市级监督抽检结果、客户审核不符合项整改情况与产品责任保险投保情况。</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财务风险方面，公司资产负债率仅20.07%、经营现金流为正，财务风险很低。但低杠杆也意味着扩能时债务融资空间充足，需关注扩产项目投资节奏与回报。</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治理风险方面，作为地方国企控股上市公司，需平衡国资监管与市场化效率，避免决策链条过长影响市场响应。建议核查关联交易合规与重大事项决策留痕。</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综合判断，青岛食品面临的主要风险集中于渠道竞争加剧、原料价格波动与食品安全合规，但其老字号品牌、区域龙头地位、低负债与稳健盈利构成强风险缓冲。整体风险等级较低，对其授信安全性较好。</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从资金用途看，青岛食品的融资需求主要源于产能升级与营运资金：公司正推进健康化烘焙新品研发与产线升级，存在资本开支需求；同时原料采购需要周转资金。其低负债率为债务融资留有空间。</w:t>
      </w:r>
    </w:p>
    <w:p>
      <w:pPr>
        <w:spacing w:lineRule="exact" w:line="600" w:before="0" w:after="0"/>
        <w:ind w:firstLine="420"/>
        <w:jc w:val="both"/>
      </w:pPr>
      <w:r>
        <w:rPr>
          <w:rFonts w:ascii="仿宋_GB2312" w:hAnsi="仿宋_GB2312" w:eastAsia="仿宋_GB2312"/>
          <w:b w:val="0"/>
          <w:color w:val="000000"/>
          <w:sz w:val="32"/>
        </w:rPr>
        <w:t>从资金用途看，青岛食品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商业保理方面，青岛食品对下游经销商的应收账款可作明保标的，但需做好基础资产确权与回款路径封闭管理。可优先选择大型商超等优质客户项下已验收结算的应收账款。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青岛食品，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供应链金融方面，青岛食品可作为核心企业，依托自身信用开展反向保理帮助上游原料供应商提前回款；亦可依托下游大型渠道的订单与应付确认开展订单融资。</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青岛食品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融资租赁方面，青岛食品属于设备密集型企业，可通过直接租赁更新烘焙、分装、检测设备，通过售后回租盘活通用设备补充中长期资金。风控要点在于设备通用性与可处置性。</w:t>
      </w:r>
    </w:p>
    <w:p>
      <w:pPr>
        <w:spacing w:lineRule="exact" w:line="600" w:before="0" w:after="0"/>
        <w:ind w:firstLine="420"/>
        <w:jc w:val="both"/>
      </w:pPr>
      <w:r>
        <w:rPr>
          <w:rFonts w:ascii="仿宋_GB2312" w:hAnsi="仿宋_GB2312" w:eastAsia="仿宋_GB2312"/>
          <w:b w:val="0"/>
          <w:color w:val="000000"/>
          <w:sz w:val="32"/>
        </w:rPr>
        <w:t>青岛食品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小额贷款方面，适配于青岛食品链上配套小微企业的应急周转与批量普惠授信，成本高于银行信贷，不宜作为长期主渠道。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青岛食品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青岛食品采取"以自偿性贸易融资为主、中长期工具为辅、普惠工具补充"的组合策略：营运资金缺口优先通过保理与供应链融资解决；产线升级通过融资租赁与项目贷款解决；链上小微需求通过小额贷款补充。</w:t>
      </w:r>
    </w:p>
    <w:p>
      <w:pPr>
        <w:spacing w:lineRule="exact" w:line="600" w:before="0" w:after="0"/>
        <w:ind w:firstLine="420"/>
        <w:jc w:val="both"/>
      </w:pPr>
      <w:r>
        <w:rPr>
          <w:rFonts w:ascii="仿宋_GB2312" w:hAnsi="仿宋_GB2312" w:eastAsia="仿宋_GB2312"/>
          <w:b w:val="0"/>
          <w:color w:val="000000"/>
          <w:sz w:val="32"/>
        </w:rPr>
        <w:t>综合上述分析，建议对青岛食品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青岛食品是山东饼干老字号区域龙头、地方国企控股上市公司，2025年营收5.45亿元、归母1.11亿元、毛利率39.63%、资产负债率仅20.07%，财务稳健、盈利质量高。品牌积淀深厚、区域渠道稳固，是特种食品集群中经营质量较优的代表。</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健康化、功能化消费升级背景下，青岛食品依托老字号品牌与青岛特种食品研究院平台，有望在健康饼干等新品上打开增长空间；低负债率为其适度加杠杆扩能提供便利。建议关注其新品放量节奏与渠道拓展进度。</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建议青岛食品在三个方面持续改进：一是强化食品安全与质量合规基础管理；二是优化债务结构、适度运用财务杠杆支持扩能；三是深化市场化激励，提升新品迭代与渠道运营效率。</w:t>
      </w:r>
    </w:p>
    <w:p>
      <w:pPr>
        <w:spacing w:lineRule="exact" w:line="600" w:before="0" w:after="0"/>
        <w:ind w:firstLine="420"/>
        <w:jc w:val="both"/>
      </w:pPr>
      <w:r>
        <w:rPr>
          <w:rFonts w:ascii="仿宋_GB2312" w:hAnsi="仿宋_GB2312" w:eastAsia="仿宋_GB2312"/>
          <w:b w:val="0"/>
          <w:color w:val="000000"/>
          <w:sz w:val="32"/>
        </w:rPr>
        <w:t>此外，建议青岛食品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对金融机构而言，服务青岛食品应立足"看品牌、看合规、看财务稳健"思路，以供应链金融与保理为抓手服务其周转与升级需求，并将食品安全合规列为授信前置与贷后持续监测重点。</w:t>
      </w:r>
    </w:p>
    <w:p>
      <w:pPr>
        <w:spacing w:lineRule="exact" w:line="600" w:before="0" w:after="0"/>
        <w:ind w:firstLine="420"/>
        <w:jc w:val="both"/>
      </w:pPr>
      <w:r>
        <w:rPr>
          <w:rFonts w:ascii="仿宋_GB2312" w:hAnsi="仿宋_GB2312" w:eastAsia="仿宋_GB2312"/>
          <w:b w:val="0"/>
          <w:color w:val="000000"/>
          <w:sz w:val="32"/>
        </w:rPr>
        <w:t>总体而言，服务青岛市城阳区特种食品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青岛食品股份有限公司2023年、2024年年度报告及2025年第三季度报告。</w:t>
      </w:r>
    </w:p>
    <w:p>
      <w:pPr>
        <w:spacing w:lineRule="exact" w:line="600" w:before="0" w:after="0"/>
        <w:jc w:val="left"/>
      </w:pPr>
      <w:r>
        <w:rPr>
          <w:rFonts w:ascii="仿宋_GB2312" w:hAnsi="仿宋_GB2312" w:eastAsia="仿宋_GB2312"/>
          <w:b w:val="0"/>
          <w:color w:val="000000"/>
          <w:sz w:val="28"/>
        </w:rPr>
        <w:t>城阳区公开产业介绍材料（2024）。</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