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青岛市崂山区工业互联网服务产业集群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海尔集团公司企业分析报告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集团公司成立于1980年3月24日，法定代表人周云杰，统一社会信用代码91370200163562681G，企业类型为集体所有制企业，注册资本31,118万元（实缴31,118万元），注册地址位于青岛市高科技工业园海尔路（海尔工业园内），登记机关为青岛市市场监督管理局，经营状态为存续。公司前身为1984年创办的青岛电冰箱总厂，历经集体小厂改制成长为全球生态型企业集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国资性质：海尔集团公司为集体所有制企业，股权结构具有特殊性、不对外公开详细比例。公开资料显示，其股权主要由职工持股平台（占比超过30%，为最大股东群体）、青岛市集体企业联合社（约25%）、外资机构（20%以上）及国有资本（不足10%）构成；管理层通过“海创客”等持股平台实现对集团资产的实际控制。青岛市国资委曾出具说明，认定海尔集团企业性质为集体所有制企业，最终控制权归属于青岛市政府领导下的集体资产管理体系，无单一自然人、家族或基金管理人作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实行“人单合一”模式下的去中心化生态组织，下设智慧住居、大健康、数字经济三大赛道业务集群；控股海尔智家（600690/06690.HK/A股+D股）、海尔生物、雷神科技等多家上市公司，并孵化卡奥斯、海纳云、卡泰驰、海尔新能源等生态企业；集团总部职能与产业板块协同，全球设有10大研发中心、35个工业园、163个制造中心（海外15个工业园、60个工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1984年12月26日海尔创业（重生转折点）；2005年9月“人单合一”模式创立（新模式转折点）；2019年首登凯度BrandZ全球品牌百强、开启生态品牌战略；2024年9月“人单合一2.0”与新引擎提出（第三个转折点）。集团先后并购日本三洋白电、新西兰斐雪派克、美国通用家电、意大利Candy等全球品牌，并战略入股上海莱士、新时达，收购汽车之家，持续完善生态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领先的美好生活和数字化转型生态品牌，物联网生态企业。主营业务涵盖智慧住居（冰箱、洗衣机、空调、厨电、水家电及三翼鸟场景品牌）、大健康产业生态（盈康一生，覆盖生命科学、临床医学、生物科技）、数字经济产业生态（卡奥斯工业互联网平台、海纳云、卡泰驰、海尔新能源等）；连续16年全球大型家电品牌零售量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形成“智慧住居+大健康+数字经济”三大赛道。2024年集团全球收入4,016亿元，其中海外收入占比53%；智慧住居为核心基本盘（海尔智家2024年营收约2,859亿元），大健康（盈康一生）2024年产业规模突破百亿元，数字经济以卡奥斯等平台企业为载体快速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/服务：冰箱、洗衣机、空调、厨电、热水器、小家电及三翼鸟全屋智能场景；盈康一生生命健康生态（医疗器械、医疗服务、生物科技）；卡奥斯工业互联网平台与工业智能解决方案、海纳云物联与城市大脑、卡泰驰汽车产业生态、海尔新能源等。海尔冰箱连续17年全球第一、洗衣机连续16年、酒柜15年、冷柜14年全球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球家庭消费者（C端）与政企客户（B端）。C端通过自有品牌+并购品牌矩阵服务全球用户，三翼鸟日活用户达1,000万；B端面向医院、工厂、城市与车企等提供解决方案，并依托卡奥斯链接90万家企业。海外收入占比53%，全球化创牌成效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生产所需钢材、芯片、塑料、压缩机等大宗与电子物料为主要采购对象，集团通过全球供应链协同与规模化集采管控成本；卡奥斯平台链接上下游企业，强化供需对接与供应链韧性。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布局：10大研发中心、2.4万名研发人员、链接全球超25万名行业专家，主导和参与发布国际标准109项；35个工业园、163个制造中心；总资产4,700多亿元（集团口径）；品牌价值476亿美元（2025年凯度BrandZ，全球排名第54）。拥有国家级企业技术中心、国家重点实验室等创新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构建“全球创牌+线上线下融合+生态场景”渠道体系：海外以自有品牌本土化运营（先进入发达国家再拓展发展中国家），国内以专卖店、电商、前置渠道与三翼鸟体验店协同；B端通过生态企业与工业互联网平台获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海尔集团公开披露：2023年全球收入3,718亿元（同比+6%）、全球利润总额267亿元；2024年全球收入4,016亿元（同比+8%）、全球利润总额302亿元（同比+13%），总资产4,700多亿元，累计纳税2,233亿元；连续16年全球大型家电零售量第一，连续7年作为全球唯一物联网生态品牌上榜凯度BrandZ百强。注：集团合并口径财务未以标准年报形式对外披露，上述为集团公开发布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海尔集团公司为集体所有制企业，不对外披露标准合并财务报表；以下为集团公开发布的全球收入与利润总额数据（部分年份），单位：亿元，供参照。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3,718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4,016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+8%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全球利润总额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+13%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约4,700+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海外收入占比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品牌价值(2025)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476亿美元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全球第54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集团全球收入维持稳健增长，2024年突破4,000亿元、利润突破300亿元，盈利能力随高端化、全球化与生态转型提升；子公司海尔智家等上市公司盈利质量稳健，为集团利润核心来源。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集团总资产4,700多亿元，资产以制造基地、品牌、技术专利与全球渠道为主，重资产与无形资产并重，资产质量扎实。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集团层面负债数据未公开披露；作为集体所有制龙头、信用评级优良，融资能力强、偿债压力总体可控。子公司层面（海尔智家等）负债率处于行业合理水平。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集团层面现金流数据未公开披露；全球化经营与并购带来较大的投资与营运资金需求，但经营性现金流随收入与利润增长保持稳健。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与美的集团、格力电器等家电龙头相比，海尔以“生态品牌+全球创牌+高端化”差异化竞争，海外收入占比（53%）显著高于多数国内同行，品牌价值与全球化布局领先。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体所有制企业，由职工持股平台、集体企业联合社、外资与国有股东共同构成；管理层通过“海创客”等平台实现控制，落实集体资产监管要求与“三重一大”集体决策；党委在治理中发挥领导作用，党组织前置研究重大事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董事局主席、首席执行官周云杰；创始人张瑞敏为“人单合一”模式创立者、名誉主席。核心高管通过海创客平台持股，利益绑定；管理层国际化程度高，主导全球创牌与生态转型。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以“人单合一”模式驱动去中心化、小微化组织，强调用户导向与创客机制；建立覆盖研发、制造、销售、合规的内控体系，子公司按上市/公众公司标准规范运作。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集团全球员工规模庞大（海尔智家等上市公司合计数十万人），研发人员2.4万名；推行创客文化与股权激励（海创客、海创智等平台），人才密度与活力较高。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品牌与渠道：连续16年全球大型家电零售量第一、连续7年全球唯一物联网生态品牌，海外收入占比53%，全球化创牌壁垒深厚。二是生态战略：智慧住居+大健康+数字经济三大赛道，生态协同与用户粘性突出。三是技术专利：主导国际标准109项、2.4万研发人员、全球10大研发中心。四是资本与并购：多次成功跨境并购并实现本土化重生，资本运作能力强。五是机制文化：“人单合一”模式与创客机制，组织活力与抗周期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宏观与周期风险：家电与消费受全球经济、地产周期影响，需求波动影响增长。二是汇率与地缘风险：海外收入占比高，受汇率、贸易壁垒与地缘冲突影响。三是整合风险：多次跨境并购后需持续消化整合，管理半径大。四是治理与产权风险：集体所有制产权结构特殊，需持续满足集体资产监管与合规要求。五是竞争风险：与美的、格力及国际品牌在高端与智能化领域竞争加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依托海尔智家、卡奥斯庞大的上下游产业链，可围绕核心企业为其供应商、经销商提供订单融资、存货质押与票据贴现，是山东投资批量获取优质资产的重要场景。保理业务：对海尔及生态企业的应收账款可开展保理。融资租赁：智能制造升级、物流与新能源设备投资适合设备直租/回租。小贷：面向生态内中小配套企业短期周转。鉴于海尔信用等级高、生态庞大，建议山东投资以“核心企业+链属企业”供应链金融模式深度切入，并关注关联交易与资金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海尔集团是全球家电与物联网生态龙头、青岛市崂山区工业互联网服务产业集群的链主与生态核心，品牌、全球化、技术与生态优势突出，2024年全球收入突破4,000亿元；但集体所有制产权结构特殊、集团合并财务未充分披露、海外与整合并购带来一定风险。发展展望：据公司规划与行业趋势，海尔将持续深耕智慧住居、大健康与数字经济三大赛道，推进工业AI与生态全球化，向万亿级生态迈进。建议：一是以供应链金融与生态金融为核心合作切入点；二是关注集团产权与治理合规、关联交易披露；三是将汇率、整合与周期风险纳入持续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海尔集团官网新闻稿（2024/2025经营业绩发布）、凯度BrandZ榜单、长江商报/新浪财经（全球营收首超4000亿报道）、天眼查/爱企查（工商与股权性质）、海尔智家年报及公开股权结构资料。集团合并财务未标准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