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青岛市市南区工业控制系统产业集群</w:t>
      </w:r>
    </w:p>
    <w:p>
      <w:pPr>
        <w:spacing w:lineRule="exact" w:line="600" w:before="240" w:after="240"/>
        <w:ind w:firstLine="0"/>
        <w:jc w:val="center"/>
      </w:pPr>
      <w:r>
        <w:rPr>
          <w:rFonts w:ascii="方正小标宋简体" w:hAnsi="方正小标宋简体" w:eastAsia="方正小标宋简体"/>
          <w:b w:val="0"/>
          <w:color w:val="000000"/>
          <w:sz w:val="44"/>
        </w:rPr>
        <w:t>青岛杰瑞工控技术有限公司企业分析报告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杰瑞工控技术有限公司成立于2008年1月30日，法定代表人赵奎，统一社会信用代码9137020267175660XL，企业类型为有限责任公司（自然人投资或控股的法人独资），注册资本5,000万元（实缴5,000万元），注册地址位于青岛市市南区山东路27号东栋101室，登记机关为青岛市市南区市场监督管理局，经营状态为存续。</w:t>
      </w:r>
    </w:p>
    <w:p>
      <w:pPr>
        <w:spacing w:lineRule="exact" w:line="600" w:before="0" w:after="0"/>
        <w:ind w:firstLine="420"/>
        <w:jc w:val="both"/>
      </w:pPr>
      <w:r>
        <w:rPr>
          <w:rFonts w:ascii="仿宋_GB2312" w:hAnsi="仿宋_GB2312" w:eastAsia="仿宋_GB2312"/>
          <w:b w:val="0"/>
          <w:color w:val="000000"/>
          <w:sz w:val="32"/>
        </w:rPr>
        <w:t>股权结构：青岛杰瑞自动化有限公司持股100%，穿透后受中国船舶重工集团海洋防务与信息对抗股份有限公司（中国海防，600764）100%控制，最终实际控制人为国务院国资委（中国船舶集团）。属中央企业控股的国有控股子公司，国资层级为央企（中国船舶集团）。</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中国海防/中国船舶集团体系内企业，设法定代表人赵奎等治理岗位；业务涵盖智慧港口、海洋及能源、石油钻采、轨道交通、工厂智能化等系统装备的研发、总装调试，及工业自动化工程承包、软件与系统集成。</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2008年1月成立；长期深耕工业控制系统与智能化装备，聚焦智慧港口、海洋装备等方向；作为中国船舶集团旗下信息化与防务企业，承担多项系统装备研制任务，积累了181项专利、83项软件著作权。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智能码头设备管控系统与工业控制系统装备服务商、央企体系内智能化系统与装备研发商。主营业务为智慧港口系统装备、海洋及能源系统装备、石油钻采系统装备、轨道交通系统装备、工厂智能化系统装备的研发、设计、生产、总装调试及服务，工业自动化工程承包，软件工程开发及计算机信息系统集成。</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业务按应用场景划分为智慧港口、海洋及能源、石油钻采、轨道交通、工厂智能化五大系统装备方向，并提供工业自动化工程总包与软件集成服务。公司未公开披露分业务收入占比。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主要产品包括智能码头设备管控系统、海洋与能源系统装备、石油钻采系统装备、轨道交通系统装备、工厂智能化系统装备，以及工控机及配件、计算机信息系统集成服务。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客户以港口、海洋工程、能源、石油钻采、轨道交通等央企与大型国企为主，依托中国船舶集团与“杰瑞（JARI）”品牌获取项目；公开招投标信息显示公司持续参与系统装备与算法采购项目。</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生产所需电子元器件、结构件、软件与外包加工为主要采购对象（生产限分支机构），受供应链与原材料价格影响。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位于市南区山东路，人员82人（小型企业）；具国企背景，为专精特新企业，拥有专利约165—181项、软件著作权约76—83项，研发与知识产权储备雄厚；参与多项重大系统装备任务。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以央企体系内协同与招投标并重获取项目，提供研发—设计—总装调试—服务一体化；通过“杰瑞”品牌与集团渠道拓展市场。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据中国海防担保公告披露：2023年度公司实现营业收入26,541.85万元、归母净利润1,048.71万元、总资产29,567.88万元。在智慧港口设备等细分领域具备技术领先地位，但具体市占率未公开披露。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青岛杰瑞工控为中国海防（600764）间接控股子公司，非单独上市；下表列示公开披露的2023年主要财务数据（来源：中国海防对外担保公告），近三年完整财报未单独公开，单位：万元。</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2023年（公开披露）</w:t>
            </w:r>
          </w:p>
        </w:tc>
        <w:tc>
          <w:tcPr>
            <w:tcW w:type="dxa" w:w="3118"/>
          </w:tcPr>
          <w:p>
            <w:pPr>
              <w:spacing w:lineRule="exact" w:line="600"/>
              <w:jc w:val="center"/>
            </w:pPr>
            <w:r/>
            <w:r>
              <w:rPr>
                <w:rFonts w:ascii="黑体" w:hAnsi="黑体" w:eastAsia="黑体"/>
                <w:b/>
                <w:color w:val="000000"/>
                <w:sz w:val="32"/>
              </w:rPr>
              <w:t>备注</w:t>
            </w:r>
          </w:p>
        </w:tc>
      </w:tr>
      <w:tr>
        <w:tc>
          <w:tcPr>
            <w:tcW w:type="dxa" w:w="2268"/>
          </w:tcPr>
          <w:p>
            <w:pPr>
              <w:spacing w:lineRule="exact" w:line="600"/>
              <w:jc w:val="center"/>
            </w:pPr>
            <w:r/>
            <w:r>
              <w:rPr>
                <w:rFonts w:ascii="仿宋_GB2312" w:hAnsi="仿宋_GB2312" w:eastAsia="仿宋_GB2312"/>
                <w:b w:val="0"/>
                <w:color w:val="000000"/>
                <w:sz w:val="32"/>
              </w:rPr>
              <w:t>营业收入</w:t>
            </w:r>
          </w:p>
        </w:tc>
        <w:tc>
          <w:tcPr>
            <w:tcW w:type="dxa" w:w="3118"/>
          </w:tcPr>
          <w:p>
            <w:pPr>
              <w:spacing w:lineRule="exact" w:line="600"/>
              <w:jc w:val="center"/>
            </w:pPr>
            <w:r/>
            <w:r>
              <w:rPr>
                <w:rFonts w:ascii="仿宋_GB2312" w:hAnsi="仿宋_GB2312" w:eastAsia="仿宋_GB2312"/>
                <w:b w:val="0"/>
                <w:color w:val="000000"/>
                <w:sz w:val="32"/>
              </w:rPr>
              <w:t>26,541.85</w:t>
            </w:r>
          </w:p>
        </w:tc>
        <w:tc>
          <w:tcPr>
            <w:tcW w:type="dxa" w:w="3118"/>
          </w:tcPr>
          <w:p>
            <w:pPr>
              <w:spacing w:lineRule="exact" w:line="600"/>
              <w:jc w:val="center"/>
            </w:pPr>
            <w:r/>
            <w:r>
              <w:rPr>
                <w:rFonts w:ascii="仿宋_GB2312" w:hAnsi="仿宋_GB2312" w:eastAsia="仿宋_GB2312"/>
                <w:b w:val="0"/>
                <w:color w:val="000000"/>
                <w:sz w:val="32"/>
              </w:rPr>
              <w:t>中国海防担保公告</w:t>
            </w:r>
          </w:p>
        </w:tc>
      </w:tr>
      <w:tr>
        <w:tc>
          <w:tcPr>
            <w:tcW w:type="dxa" w:w="2268"/>
          </w:tcPr>
          <w:p>
            <w:pPr>
              <w:spacing w:lineRule="exact" w:line="600"/>
              <w:jc w:val="center"/>
            </w:pPr>
            <w:r/>
            <w:r>
              <w:rPr>
                <w:rFonts w:ascii="仿宋_GB2312" w:hAnsi="仿宋_GB2312" w:eastAsia="仿宋_GB2312"/>
                <w:b w:val="0"/>
                <w:color w:val="000000"/>
                <w:sz w:val="32"/>
              </w:rPr>
              <w:t>归母净利润</w:t>
            </w:r>
          </w:p>
        </w:tc>
        <w:tc>
          <w:tcPr>
            <w:tcW w:type="dxa" w:w="3118"/>
          </w:tcPr>
          <w:p>
            <w:pPr>
              <w:spacing w:lineRule="exact" w:line="600"/>
              <w:jc w:val="center"/>
            </w:pPr>
            <w:r/>
            <w:r>
              <w:rPr>
                <w:rFonts w:ascii="仿宋_GB2312" w:hAnsi="仿宋_GB2312" w:eastAsia="仿宋_GB2312"/>
                <w:b w:val="0"/>
                <w:color w:val="000000"/>
                <w:sz w:val="32"/>
              </w:rPr>
              <w:t>1,048.71</w:t>
            </w:r>
          </w:p>
        </w:tc>
        <w:tc>
          <w:tcPr>
            <w:tcW w:type="dxa" w:w="3118"/>
          </w:tcPr>
          <w:p>
            <w:pPr>
              <w:spacing w:lineRule="exact" w:line="600"/>
              <w:jc w:val="center"/>
            </w:pPr>
            <w:r/>
            <w:r>
              <w:rPr>
                <w:rFonts w:ascii="仿宋_GB2312" w:hAnsi="仿宋_GB2312" w:eastAsia="仿宋_GB2312"/>
                <w:b w:val="0"/>
                <w:color w:val="000000"/>
                <w:sz w:val="32"/>
              </w:rPr>
              <w:t>中国海防担保公告</w:t>
            </w:r>
          </w:p>
        </w:tc>
      </w:tr>
      <w:tr>
        <w:tc>
          <w:tcPr>
            <w:tcW w:type="dxa" w:w="2268"/>
          </w:tcPr>
          <w:p>
            <w:pPr>
              <w:spacing w:lineRule="exact" w:line="600"/>
              <w:jc w:val="center"/>
            </w:pPr>
            <w:r/>
            <w:r>
              <w:rPr>
                <w:rFonts w:ascii="仿宋_GB2312" w:hAnsi="仿宋_GB2312" w:eastAsia="仿宋_GB2312"/>
                <w:b w:val="0"/>
                <w:color w:val="000000"/>
                <w:sz w:val="32"/>
              </w:rPr>
              <w:t>总资产</w:t>
            </w:r>
          </w:p>
        </w:tc>
        <w:tc>
          <w:tcPr>
            <w:tcW w:type="dxa" w:w="3118"/>
          </w:tcPr>
          <w:p>
            <w:pPr>
              <w:spacing w:lineRule="exact" w:line="600"/>
              <w:jc w:val="center"/>
            </w:pPr>
            <w:r/>
            <w:r>
              <w:rPr>
                <w:rFonts w:ascii="仿宋_GB2312" w:hAnsi="仿宋_GB2312" w:eastAsia="仿宋_GB2312"/>
                <w:b w:val="0"/>
                <w:color w:val="000000"/>
                <w:sz w:val="32"/>
              </w:rPr>
              <w:t>29,567.88</w:t>
            </w:r>
          </w:p>
        </w:tc>
        <w:tc>
          <w:tcPr>
            <w:tcW w:type="dxa" w:w="3118"/>
          </w:tcPr>
          <w:p>
            <w:pPr>
              <w:spacing w:lineRule="exact" w:line="600"/>
              <w:jc w:val="center"/>
            </w:pPr>
            <w:r/>
            <w:r>
              <w:rPr>
                <w:rFonts w:ascii="仿宋_GB2312" w:hAnsi="仿宋_GB2312" w:eastAsia="仿宋_GB2312"/>
                <w:b w:val="0"/>
                <w:color w:val="000000"/>
                <w:sz w:val="32"/>
              </w:rPr>
              <w:t>中国海防担保公告</w:t>
            </w:r>
          </w:p>
        </w:tc>
      </w:tr>
      <w:tr>
        <w:tc>
          <w:tcPr>
            <w:tcW w:type="dxa" w:w="2268"/>
          </w:tcPr>
          <w:p>
            <w:pPr>
              <w:spacing w:lineRule="exact" w:line="600"/>
              <w:jc w:val="center"/>
            </w:pPr>
            <w:r/>
            <w:r>
              <w:rPr>
                <w:rFonts w:ascii="仿宋_GB2312" w:hAnsi="仿宋_GB2312" w:eastAsia="仿宋_GB2312"/>
                <w:b w:val="0"/>
                <w:color w:val="000000"/>
                <w:sz w:val="32"/>
              </w:rPr>
              <w:t>总负债</w:t>
            </w:r>
          </w:p>
        </w:tc>
        <w:tc>
          <w:tcPr>
            <w:tcW w:type="dxa" w:w="3118"/>
          </w:tcPr>
          <w:p>
            <w:pPr>
              <w:spacing w:lineRule="exact" w:line="600"/>
              <w:jc w:val="center"/>
            </w:pPr>
            <w:r/>
            <w:r>
              <w:rPr>
                <w:rFonts w:ascii="仿宋_GB2312" w:hAnsi="仿宋_GB2312" w:eastAsia="仿宋_GB2312"/>
                <w:b w:val="0"/>
                <w:color w:val="000000"/>
                <w:sz w:val="32"/>
              </w:rPr>
              <w:t>19,458.90</w:t>
            </w:r>
          </w:p>
        </w:tc>
        <w:tc>
          <w:tcPr>
            <w:tcW w:type="dxa" w:w="3118"/>
          </w:tcPr>
          <w:p>
            <w:pPr>
              <w:spacing w:lineRule="exact" w:line="600"/>
              <w:jc w:val="center"/>
            </w:pPr>
            <w:r/>
            <w:r>
              <w:rPr>
                <w:rFonts w:ascii="仿宋_GB2312" w:hAnsi="仿宋_GB2312" w:eastAsia="仿宋_GB2312"/>
                <w:b w:val="0"/>
                <w:color w:val="000000"/>
                <w:sz w:val="32"/>
              </w:rPr>
              <w:t>资产负债率65.81%</w:t>
            </w:r>
          </w:p>
        </w:tc>
      </w:tr>
      <w:tr>
        <w:tc>
          <w:tcPr>
            <w:tcW w:type="dxa" w:w="2268"/>
          </w:tcPr>
          <w:p>
            <w:pPr>
              <w:spacing w:lineRule="exact" w:line="600"/>
              <w:jc w:val="center"/>
            </w:pPr>
            <w:r/>
            <w:r>
              <w:rPr>
                <w:rFonts w:ascii="仿宋_GB2312" w:hAnsi="仿宋_GB2312" w:eastAsia="仿宋_GB2312"/>
                <w:b w:val="0"/>
                <w:color w:val="000000"/>
                <w:sz w:val="32"/>
              </w:rPr>
              <w:t>净资产</w:t>
            </w:r>
          </w:p>
        </w:tc>
        <w:tc>
          <w:tcPr>
            <w:tcW w:type="dxa" w:w="3118"/>
          </w:tcPr>
          <w:p>
            <w:pPr>
              <w:spacing w:lineRule="exact" w:line="600"/>
              <w:jc w:val="center"/>
            </w:pPr>
            <w:r/>
            <w:r>
              <w:rPr>
                <w:rFonts w:ascii="仿宋_GB2312" w:hAnsi="仿宋_GB2312" w:eastAsia="仿宋_GB2312"/>
                <w:b w:val="0"/>
                <w:color w:val="000000"/>
                <w:sz w:val="32"/>
              </w:rPr>
              <w:t>10,108.98</w:t>
            </w:r>
          </w:p>
        </w:tc>
        <w:tc>
          <w:tcPr>
            <w:tcW w:type="dxa" w:w="3118"/>
          </w:tcPr>
          <w:p>
            <w:pPr>
              <w:spacing w:lineRule="exact" w:line="600"/>
              <w:jc w:val="center"/>
            </w:pPr>
            <w:r/>
            <w:r>
              <w:rPr>
                <w:rFonts w:ascii="仿宋_GB2312" w:hAnsi="仿宋_GB2312" w:eastAsia="仿宋_GB2312"/>
                <w:b w:val="0"/>
                <w:color w:val="000000"/>
                <w:sz w:val="32"/>
              </w:rPr>
              <w:t>—</w:t>
            </w:r>
          </w:p>
        </w:tc>
      </w:tr>
      <w:tr>
        <w:tc>
          <w:tcPr>
            <w:tcW w:type="dxa" w:w="2268"/>
          </w:tcPr>
          <w:p>
            <w:pPr>
              <w:spacing w:lineRule="exact" w:line="600"/>
              <w:jc w:val="center"/>
            </w:pPr>
            <w:r/>
            <w:r>
              <w:rPr>
                <w:rFonts w:ascii="仿宋_GB2312" w:hAnsi="仿宋_GB2312" w:eastAsia="仿宋_GB2312"/>
                <w:b w:val="0"/>
                <w:color w:val="000000"/>
                <w:sz w:val="32"/>
              </w:rPr>
              <w:t>2022/2024完整财报</w:t>
            </w:r>
          </w:p>
        </w:tc>
        <w:tc>
          <w:tcPr>
            <w:tcW w:type="dxa" w:w="3118"/>
          </w:tcPr>
          <w:p>
            <w:pPr>
              <w:spacing w:lineRule="exact" w:line="600"/>
              <w:jc w:val="center"/>
            </w:pPr>
            <w:r/>
            <w:r>
              <w:rPr>
                <w:rFonts w:ascii="仿宋_GB2312" w:hAnsi="仿宋_GB2312" w:eastAsia="仿宋_GB2312"/>
                <w:b w:val="0"/>
                <w:color w:val="000000"/>
                <w:sz w:val="32"/>
              </w:rPr>
              <w:t>未单独公开</w:t>
            </w:r>
          </w:p>
        </w:tc>
        <w:tc>
          <w:tcPr>
            <w:tcW w:type="dxa" w:w="3118"/>
          </w:tcPr>
          <w:p>
            <w:pPr>
              <w:spacing w:lineRule="exact" w:line="600"/>
              <w:jc w:val="center"/>
            </w:pPr>
            <w:r/>
            <w:r>
              <w:rPr>
                <w:rFonts w:ascii="仿宋_GB2312" w:hAnsi="仿宋_GB2312" w:eastAsia="仿宋_GB2312"/>
                <w:b w:val="0"/>
                <w:color w:val="000000"/>
                <w:sz w:val="32"/>
              </w:rPr>
              <w:t>并入中国海防合并口径</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2023年营业收入26,541.85万元、归母净利润1,048.71万元，净利率约3.95%，盈利规模中等；作为系统装备与集成商，盈利受项目周期与研发投入影响。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2023年末总资产29,567.88万元，资产以营运资本（应收、存货）与固定资产为主，与系统装备总包匹配。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2023年末总负债19,458.90万元、资产负债率65.81%，杠杆偏高；流动负债18,529.59万元，短期偿债压力需关注，但背靠央企信用，融资有保障。</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无单独公开现金流数据。系统装备项目结算周期长，需关注经营性现金流与回款。</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与市南区工业控制系统集群内企业（如百瑞特控制）相比，杰瑞工控背靠中国船舶/中国海防央企体系、专利与软著储备极厚（181项专利、83项软著）、营收规模更大，但资产负债率偏高。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中央国有企业控股子公司，设法定代表人赵奎及治理岗位；落实国资监管、出资人职责与“三重一大”集体决策、党委前置研究程序，党组织发挥领导作用。</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法定代表人赵奎；管理团队由青岛杰瑞自动化/中国海防派驻。作为央企体系企业，管理层兼具军工与民用系统装备背景。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建立符合央企要求的安全、质量与保密内控体系；通过专精特新等资质认定，研发与项目管控规范。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2025年社保人数82人，小型企业；但专利/软著储备雄厚，体现高研发密度与技术人员占比。</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央企与品牌：背靠中国船舶/中国海防，信用与项目资源强，“杰瑞（JARI）”品牌背书。二是技术与知识产权：专利约165—181项、软著约76—83项，智慧港口/海洋装备技术领先。三是场景壁垒：覆盖智慧港口、海洋、石油钻采、轨交、工厂智能化多场景系统装备能力。四是资质：国企、专精特新，项目承接门槛高。五是协同：融入集团产业链，获取体系内订单。</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负债与偿债风险：2023年资产负债率65.81%、流动负债占比高，短期偿债压力需关注；应对为优化项目现金流、依托央企融资。二是项目周期风险：系统装备总包结算周期长、回款慢；应对为加强应收管理。三是技术与迭代风险：工控与智能化技术升级快，需持续研发。四是合规风险：公开信息显示存在少量开庭公告与涉诉关系，需关注合同管理。五是依赖体系风险：订单较多依赖集团与央企客户，市场化独立拓展需平衡。</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港口、能源等央企/国企客户的应收账款账期较长，可开展保理融资盘活资金。供应链金融：围绕核心企业为其上游元器件与外包供应商提供订单融资。融资租赁：研发与总装调试设备升级适合直租/回租。小贷：面向临时周转。鉴于企业背靠央企、技术与资质雄厚，是稳健型重点客户，但资产负债率偏高，建议以“核心客户应收保理+设备融资租赁”组合切入，并关注负债率与回款节奏。</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杰瑞工控是市南区工业控制系统集群的央企体系智慧港口与系统装备龙头，技术与知识产权壁垒突出、品牌信用强，但资产负债率偏高、项目结算周期长。发展展望：据行业趋势与公司规划，智慧港口、海洋工程与工厂智能化需求增长，公司凭借央企资源与技术储备具备稳步发展空间。建议：一是对接核心客户应收保理与设备融资租赁；二是关注资产负债率与回款节奏，设置动态信用监测；三是作为央企协同标的审慎推进、优先绑定优质项目应收账款。</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数据来源说明：天眼查/爱企查/企查查/启信宝（工商、股权、资质、专利）、中国证券报/中国海防（600764）对外担保公告（2023年财务数据）、公司官网 qdjari.com。近三年完整财报未单独公开，已说明并采用公开披露数据。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