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青岛市市南区工业控制系统产业集群</w:t>
      </w:r>
    </w:p>
    <w:p>
      <w:pPr>
        <w:spacing w:lineRule="exact" w:line="600" w:before="240" w:after="240"/>
        <w:ind w:firstLine="0"/>
        <w:jc w:val="center"/>
      </w:pPr>
      <w:r>
        <w:rPr>
          <w:rFonts w:ascii="方正小标宋简体" w:hAnsi="方正小标宋简体" w:eastAsia="方正小标宋简体"/>
          <w:b w:val="0"/>
          <w:color w:val="000000"/>
          <w:sz w:val="44"/>
        </w:rPr>
        <w:t>青岛百瑞特控制系统工程有限公司企业分析报告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百瑞特控制系统工程有限公司成立于2004年12月8日，法定代表人姜海波，统一社会信用代码9137020276674656XM，企业类型为有限责任公司（自然人投资或控股），注册资本1,500万元（实缴1,500万元，历史上由5,000万元经两次减资至1,500万元，2024年11月完成），注册地址位于青岛市市南区福州南路87号1101-3户，登记机关为青岛市市南区市场监督管理局，经营状态为存续。</w:t>
      </w:r>
    </w:p>
    <w:p>
      <w:pPr>
        <w:spacing w:lineRule="exact" w:line="600" w:before="0" w:after="0"/>
        <w:ind w:firstLine="420"/>
        <w:jc w:val="both"/>
      </w:pPr>
      <w:r>
        <w:rPr>
          <w:rFonts w:ascii="仿宋_GB2312" w:hAnsi="仿宋_GB2312" w:eastAsia="仿宋_GB2312"/>
          <w:b w:val="0"/>
          <w:color w:val="000000"/>
          <w:sz w:val="32"/>
        </w:rPr>
        <w:t>股权结构：姜海波持股61.2%、曲广芹持股38.8%，为自然人控股的民营企业，实际控制人为姜海波，无国有出资人。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姜海波、经理（历史为毕方亮）、监事（历史为孙玲洁）等治理岗位；业务涵盖工业自动化工程总包、计算机控制系统与软件开发、变频节能技术，并在烟台牟平设有约17,000㎡厂房；对外投资曾设山东百瑞特节能科技有限公司（已注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2004年12月成立；长期深耕工业自动化控制工程，累计实施较大工程项目67项、中小型工程项目150余项；2023年3月获ISO9001质量管理体系、环境管理体系、中国职业健康安全管理体系认证；2021—2024年连续四年获评A级纳税人；2024年9月股东周鑫退出、注册资本由5,000万元减至1,500万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工业自动化控制工程与系统集成服务商。主营业务为工业自动化工程的设计、安装与技术服务，工业过程计算机控制系统、信息管理系统、办公自动化系统、楼宇自控系统软件开发与系统集成，变频节能技术设计服务，工业自动化产品与仪器仪表开发、系统集成、销售；代理销售ABB、西门子、DANFOSS、VACON等品牌变频器；业务覆盖电力、化工、冶金、食品、市政（污水/净水）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业务由工业自动化工程总包（有色冶炼、热电、冶金、市政、化工、环保）与自动化产品/仪器仪表销售（含ABB、西门子等代理）两大板块构成。公司未公开披露分业务收入占比。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主要服务包括工业生产过程全流程自动化设计与实施、动力配电系统集成、安全监控系统、控制检测仪表、冶金与环保设备工程承包；代理销售变频器、PLC、伺服、低压等工控产品。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客户覆盖电力、化工、冶金、食品、市政（污水/净水）及环保等领域企业；累计实施较大工程67项、中小型150余项，客户以山东及周边工业企业为主。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代理销售ABB、西门子、DANFOSS、VACON等国际品牌变频器与工控产品，采购以品牌原厂/分销渠道为主；工程所需线缆、管件阀门、钢材等按项目采购。</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烟台牟平设有约17,000㎡厂房；具ISO9001/14001/45001体系认证，2021—2024年连续四年A级纳税人；参与招投标项目数十次，拥有多项行政许可。人数规模小于50人（工商参保11人）/2024年员工48人。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以工程总包直销与品牌代理并重，青岛总部+烟台牟平厂房布局；通过招投标获取项目，并提供运维技术服务。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公司为非上市小微企业，财务数据未公开披露，无公开营收、利润及市占率数据。从累计实施200余项工程与品牌代理看，其在山东工业自动化工程细分领域具备稳定区域市场地位，但规模偏小。</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青岛百瑞特控制为非上市小微企业，近三年财务报表未公开披露，以下仅列公开工商与资质信息，不作财务数据编造。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1,500万元（实缴1,500万元，由5,000万减资）</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2004-12-08</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姜海波61.2%、曲广芹38.8%</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约11—48人</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ISO三体系、连续四年A级纳税人</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财务数据未公开披露。工业自动化工程行业毛利率受项目竞争与品牌代理价差影响，通常处于中游水平。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无公开资产数据。小微企业资产以轻资产（厂房、设备、应收）为主。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无公开负债数据。2024年注册资本由5,000万减至1,500万，或反映资本结构调整；授信前建议核查征信、实控人连带及对外担保（曾涉买卖合同纠纷诉讼）。</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无公开现金流数据。工程业务按进度结算、回款周期长，需关注经营性现金流。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与市南区工业控制系统集群内杰瑞工控（央企、营收2.6亿级）相比，百瑞特控制为民营小微工程商，规模与资源差距显著，但在区域工业自动化工程与品牌代理领域具备灵活优势。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自然人控股的有限责任公司，治理结构简易，执行董事姜海波负责经营，设监事；未建立董事会。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法定代表人/执行董事姜海波（持股61.2%）；监事（历史孙玲洁）；经理（历史毕方亮）。决策链条短，创始人主导。</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通过ISO9001/14001/45001体系认证，内控较基础规范；需关注工程安全与合同管理（曾涉买卖合同纠纷被判返还预付货款及利息）。</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工商参保约11人、2024年员工48人，规模小，以工程技术与销售为主。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工程经验：累计实施较大工程67项、中小型150余项，项目经验丰富。二是品牌代理：ABB、西门子、DANFOSS、VACON等国际品牌代理，产品资源优质。三是资质与信用：ISO三体系认证、连续四年A级纳税人。四是灵活高效：小微企业决策链短，可快速响应定制化工程。五是区域布局：青岛总部+烟台牟平厂房，覆盖山东市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弱：小微企业抗周期能力有限，扩张受资金约束。二是客户与回款风险：工程业务回款周期长、集中度较高，曾涉买卖合同纠纷诉讼，需加强信用与合同管理。三是资本结构调整：2024年注册资本由5,000万减至1,500万，需关注其真实财务状况与资本意图。四是行业竞争风险：工业自动化工程门槛相对有限、同质化竞争，代理价差承压。五是合规风险：需关注工程安全与税务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工程业务形成的应收账款可开展保理融资，缓解回款周期压力。供应链金融：可围绕核心工程客户开展订单融资、票据贴现。融资租赁：烟台厂房设备与检测仪器升级适合直租/回租。小贷：面向临时性周转提供短贷。鉴于企业规模小，建议以“小额、分散、强担保”为原则，优先绑定优质工程应收账款，并核查减资后资本结构与诉讼情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百瑞特控制是市南区工业控制系统集群的民营小微工业自动化工程商，项目经验丰富、品牌代理优质、资质与信用良好，但规模偏小、财务透明度低、曾涉合同纠纷、资本结构近期调整。发展展望：据行业趋势，工业自动化、市政环保与节能改造需求增长，公司可依托区域与品牌代理稳步发展。建议：一是补充规范财务与征信资料后再行授信；二是以应收账款保理与设备融资租赁为切入点、控制额度；三是关注减资后资本结构与回款/诉讼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数据来源说明：天眼查/爱企查/企查查（工商、股权、资质）、百度百科（减资/认证/纳税人）、猎聘（业务与工程案例）、公开招投标信息。财务数据未公开披露，已如实标注。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