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青岛市市南区数字经济特色产业集群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青岛鼎信通讯股份有限公司企业分析报告</w:t>
      </w:r>
    </w:p>
    <w:p>
      <w:pPr>
        <w:spacing w:lineRule="exact" w:line="600" w:before="0" w:after="0"/>
        <w:jc w:val="left"/>
      </w:pPr>
      <w:r>
        <w:rPr>
          <w:rFonts w:ascii="仿宋_GB2312" w:hAnsi="仿宋_GB2312" w:eastAsia="仿宋_GB2312"/>
          <w:b w:val="0"/>
          <w:color w:val="000000"/>
          <w:sz w:val="28"/>
        </w:rPr>
        <w:t>（本报告数据来源于青岛鼎信通讯股份有限公司2022—2024年年度报告、2025年业绩预告/季度报告、巨潮资讯网及东方财富等公开披露信息，统计时点截至2024年12月31日及已披露最新数据。部分前瞻性表述据公司公告与行业信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鼎信通讯股份有限公司成立于2008年3月26日，2016年10月11日在上海证券交易所主板上市，证券简称"鼎信通讯"，证券代码603421。公司统一社会信用代码为91370200671775202M，法定代表人为刘敏（董事长），注册资本65,219.0511万元，注册地址位于山东省青岛市市南区宁夏路288号6号楼5层，所属行业为通信—通信设备—通信网络设备及器件。</w:t>
      </w:r>
    </w:p>
    <w:p>
      <w:pPr>
        <w:spacing w:lineRule="exact" w:line="600" w:before="0" w:after="0"/>
        <w:ind w:firstLine="420"/>
        <w:jc w:val="both"/>
      </w:pPr>
      <w:r>
        <w:rPr>
          <w:rFonts w:ascii="仿宋_GB2312" w:hAnsi="仿宋_GB2312" w:eastAsia="仿宋_GB2312"/>
          <w:b w:val="0"/>
          <w:color w:val="000000"/>
          <w:sz w:val="32"/>
        </w:rPr>
        <w:t>股权结构方面，公司股权相对分散。截至2026年一季报，第一大股东曾繁忆直接持股27.02%（17,618.94万股），第二大股东王建华直接持股14.04%（9,157.49万股），第三大股东张启持股9.29%。2025年11月，创始人曾繁忆、王建华解除一致行动协议，公司实际控制人由曾繁忆、王建华共同控制变更为曾繁忆一人，王建华承诺不争夺公司控制权。前十大股东合计持股约65.62%。</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控股型上市主体，下设电力线载波通信、消防电子、新能源等业务板块，拥有多家从事研发、生产、销售的全资及控股子公司。母公司统筹芯片与通信技术研发、电能表及采集终端设备制造、消防产品研发与销售；并通过子公司开展新能源产品业务。公司治理层级完备，设有董事会、监事会及专业委员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2008年设立的青岛鼎信通讯有限公司，2016年完成股份制改造并登陆上交所。早期以低压电力线载波通信芯片及模块为核心，逐步拓展至电能表、用电信息采集终端、消防电子产品，形成"电力+消防"双主业。2024年2月、7月，公司先后被国家电网、南方电网采取限制市场准入措施，电力业务受到较大冲击；2025年两大电网网招及省招业务全面解禁，但受订单停滞造成的行业评级缺口等因素影响，业绩恢复尚需时间。2025年12月，公司通过高新技术企业复审，2025—2027年享受15%企业所得税优惠税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能源互联网与消防领域芯片及通信产品提供商，主营低压电力线载波通信产品的研发、生产、销售及服务。主营业务收入构成为：电力电子产品（含电能表、采集终端设备、载波模块及芯片等）、消防产品（含消防报警设备等）、新能源产品。2024年分产品看，电能表收入7.37亿元（占比23.87%）、采集终端设备7.04亿元（22.82%）、消防产品4.88亿元（15.81%）、载波模块（含芯片）3.99亿元（12.93%）、新能源产品2.70亿元（8.74%，同比增长55.87%）。</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分为电力行业与消防业务两大板块。电力板块覆盖载波通信芯片、电能表、用电信息采集终端，是营收基本盘；消防板块涵盖消防报警及联动产品；新能源板块为战略培育业务（光伏逆变、储能等相关产品），增速较快但基数较小。2024年受"两网"限制准入影响，电力板块收入下滑，载波模块（含芯片）收入同比下降50.07%至3.99亿元，成为利润大幅下滑主因。</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包括：低压电力线载波通信芯片及模块（公司自主芯片设计）、单相/三相智能电能表、集中器与采集器（采集终端设备）、消防报警控制器及探测器、新能源逆变器与储能变流设备。其中载波芯片与电能表为公司技术沉淀最深的产品，长期服务于电网用电信息采集系统。</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高度依赖国家电网、南方电网及其下属省网公司，客户集中度较高。2023年前五大客户合计销售金额7.10亿元，占总销售19.56%。2024—2025年因被限制准入，电网招投标业务近乎停滞，存量订单消化完毕后收入大幅回落；2025年解禁后正逐步恢复网招及省招资格，但历史业绩与竞争力评价缺口短期难以完全弥补。</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采购芯片晶圆、电子元器件、结构件及外协加工服务。2023年前五名供应商合计采购金额5.33亿元，占年度采购总额27.31%。公司作为Fabless模式芯片设计企业，晶圆制造依赖外部代工，对上游半导体产能与价格存在一定敏感。</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采用"自主研发芯片+外协制造+自主总装测试"模式，拥有电能表与终端设备的智能制造与检测能力，并取得相关计量器具制造许可证及3C、消防产品强制认证等资质。研发人员规模较大，2024年研发总投入5.09亿元，研发投入占营收16.50%。</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电力产品以参与国网、南网集中招标为主，辅以省网及地市公司订单；消防产品通过经销商与直销结合拓展地产、工商业及公共建筑市场。销售网络覆盖全国主要省级行政区。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2024年员工总数3,199人（同比减少26.56%），人均创收96.48万元。公司在电力线载波通信领域长期处于国内第一梯队，但受资质限制后市场份额阶段性下滑。随着2025年解禁，公司正力争恢复既有市场地位。</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指标（亿元）</w:t>
            </w:r>
          </w:p>
        </w:tc>
        <w:tc>
          <w:tcPr>
            <w:tcW w:type="dxa" w:w="2268"/>
          </w:tcPr>
          <w:p>
            <w:pPr>
              <w:spacing w:lineRule="exact" w:line="600"/>
              <w:jc w:val="center"/>
            </w:pPr>
            <w:r/>
            <w:r>
              <w:rPr>
                <w:rFonts w:ascii="黑体" w:hAnsi="黑体" w:eastAsia="黑体"/>
                <w:b/>
                <w:color w:val="000000"/>
                <w:sz w:val="32"/>
              </w:rPr>
              <w:t>2022年</w:t>
            </w:r>
          </w:p>
        </w:tc>
        <w:tc>
          <w:tcPr>
            <w:tcW w:type="dxa" w:w="2268"/>
          </w:tcPr>
          <w:p>
            <w:pPr>
              <w:spacing w:lineRule="exact" w:line="600"/>
              <w:jc w:val="center"/>
            </w:pPr>
            <w:r/>
            <w:r>
              <w:rPr>
                <w:rFonts w:ascii="黑体" w:hAnsi="黑体" w:eastAsia="黑体"/>
                <w:b/>
                <w:color w:val="000000"/>
                <w:sz w:val="32"/>
              </w:rPr>
              <w:t>2023年</w:t>
            </w:r>
          </w:p>
        </w:tc>
        <w:tc>
          <w:tcPr>
            <w:tcW w:type="dxa" w:w="2268"/>
          </w:tcPr>
          <w:p>
            <w:pPr>
              <w:spacing w:lineRule="exact" w:line="600"/>
              <w:jc w:val="center"/>
            </w:pPr>
            <w:r/>
            <w:r>
              <w:rPr>
                <w:rFonts w:ascii="黑体" w:hAnsi="黑体" w:eastAsia="黑体"/>
                <w:b/>
                <w:color w:val="000000"/>
                <w:sz w:val="32"/>
              </w:rPr>
              <w:t>2024年</w:t>
            </w:r>
          </w:p>
        </w:tc>
      </w:tr>
      <w:tr>
        <w:tc>
          <w:tcPr>
            <w:tcW w:type="dxa" w:w="2551"/>
          </w:tcPr>
          <w:p>
            <w:pPr>
              <w:spacing w:lineRule="exact" w:line="600"/>
              <w:jc w:val="center"/>
            </w:pPr>
            <w:r/>
            <w:r>
              <w:rPr>
                <w:rFonts w:ascii="仿宋_GB2312" w:hAnsi="仿宋_GB2312" w:eastAsia="仿宋_GB2312"/>
                <w:b w:val="0"/>
                <w:color w:val="000000"/>
                <w:sz w:val="32"/>
              </w:rPr>
              <w:t>营业收入</w:t>
            </w:r>
          </w:p>
        </w:tc>
        <w:tc>
          <w:tcPr>
            <w:tcW w:type="dxa" w:w="2268"/>
          </w:tcPr>
          <w:p>
            <w:pPr>
              <w:spacing w:lineRule="exact" w:line="600"/>
              <w:jc w:val="center"/>
            </w:pPr>
            <w:r/>
            <w:r>
              <w:rPr>
                <w:rFonts w:ascii="仿宋_GB2312" w:hAnsi="仿宋_GB2312" w:eastAsia="仿宋_GB2312"/>
                <w:b w:val="0"/>
                <w:color w:val="000000"/>
                <w:sz w:val="32"/>
              </w:rPr>
              <w:t>31.15</w:t>
            </w:r>
          </w:p>
        </w:tc>
        <w:tc>
          <w:tcPr>
            <w:tcW w:type="dxa" w:w="2268"/>
          </w:tcPr>
          <w:p>
            <w:pPr>
              <w:spacing w:lineRule="exact" w:line="600"/>
              <w:jc w:val="center"/>
            </w:pPr>
            <w:r/>
            <w:r>
              <w:rPr>
                <w:rFonts w:ascii="仿宋_GB2312" w:hAnsi="仿宋_GB2312" w:eastAsia="仿宋_GB2312"/>
                <w:b w:val="0"/>
                <w:color w:val="000000"/>
                <w:sz w:val="32"/>
              </w:rPr>
              <w:t>36.33</w:t>
            </w:r>
          </w:p>
        </w:tc>
        <w:tc>
          <w:tcPr>
            <w:tcW w:type="dxa" w:w="2268"/>
          </w:tcPr>
          <w:p>
            <w:pPr>
              <w:spacing w:lineRule="exact" w:line="600"/>
              <w:jc w:val="center"/>
            </w:pPr>
            <w:r/>
            <w:r>
              <w:rPr>
                <w:rFonts w:ascii="仿宋_GB2312" w:hAnsi="仿宋_GB2312" w:eastAsia="仿宋_GB2312"/>
                <w:b w:val="0"/>
                <w:color w:val="000000"/>
                <w:sz w:val="32"/>
              </w:rPr>
              <w:t>30.86</w:t>
            </w:r>
          </w:p>
        </w:tc>
      </w:tr>
      <w:tr>
        <w:tc>
          <w:tcPr>
            <w:tcW w:type="dxa" w:w="2551"/>
          </w:tcPr>
          <w:p>
            <w:pPr>
              <w:spacing w:lineRule="exact" w:line="600"/>
              <w:jc w:val="center"/>
            </w:pPr>
            <w:r/>
            <w:r>
              <w:rPr>
                <w:rFonts w:ascii="仿宋_GB2312" w:hAnsi="仿宋_GB2312" w:eastAsia="仿宋_GB2312"/>
                <w:b w:val="0"/>
                <w:color w:val="000000"/>
                <w:sz w:val="32"/>
              </w:rPr>
              <w:t>归母净利润</w:t>
            </w:r>
          </w:p>
        </w:tc>
        <w:tc>
          <w:tcPr>
            <w:tcW w:type="dxa" w:w="2268"/>
          </w:tcPr>
          <w:p>
            <w:pPr>
              <w:spacing w:lineRule="exact" w:line="600"/>
              <w:jc w:val="center"/>
            </w:pPr>
            <w:r/>
            <w:r>
              <w:rPr>
                <w:rFonts w:ascii="仿宋_GB2312" w:hAnsi="仿宋_GB2312" w:eastAsia="仿宋_GB2312"/>
                <w:b w:val="0"/>
                <w:color w:val="000000"/>
                <w:sz w:val="32"/>
              </w:rPr>
              <w:t>1.19</w:t>
            </w:r>
          </w:p>
        </w:tc>
        <w:tc>
          <w:tcPr>
            <w:tcW w:type="dxa" w:w="2268"/>
          </w:tcPr>
          <w:p>
            <w:pPr>
              <w:spacing w:lineRule="exact" w:line="600"/>
              <w:jc w:val="center"/>
            </w:pPr>
            <w:r/>
            <w:r>
              <w:rPr>
                <w:rFonts w:ascii="仿宋_GB2312" w:hAnsi="仿宋_GB2312" w:eastAsia="仿宋_GB2312"/>
                <w:b w:val="0"/>
                <w:color w:val="000000"/>
                <w:sz w:val="32"/>
              </w:rPr>
              <w:t>1.31</w:t>
            </w:r>
          </w:p>
        </w:tc>
        <w:tc>
          <w:tcPr>
            <w:tcW w:type="dxa" w:w="2268"/>
          </w:tcPr>
          <w:p>
            <w:pPr>
              <w:spacing w:lineRule="exact" w:line="600"/>
              <w:jc w:val="center"/>
            </w:pPr>
            <w:r/>
            <w:r>
              <w:rPr>
                <w:rFonts w:ascii="仿宋_GB2312" w:hAnsi="仿宋_GB2312" w:eastAsia="仿宋_GB2312"/>
                <w:b w:val="0"/>
                <w:color w:val="000000"/>
                <w:sz w:val="32"/>
              </w:rPr>
              <w:t>-2.42</w:t>
            </w:r>
          </w:p>
        </w:tc>
      </w:tr>
      <w:tr>
        <w:tc>
          <w:tcPr>
            <w:tcW w:type="dxa" w:w="2551"/>
          </w:tcPr>
          <w:p>
            <w:pPr>
              <w:spacing w:lineRule="exact" w:line="600"/>
              <w:jc w:val="center"/>
            </w:pPr>
            <w:r/>
            <w:r>
              <w:rPr>
                <w:rFonts w:ascii="仿宋_GB2312" w:hAnsi="仿宋_GB2312" w:eastAsia="仿宋_GB2312"/>
                <w:b w:val="0"/>
                <w:color w:val="000000"/>
                <w:sz w:val="32"/>
              </w:rPr>
              <w:t>销售毛利率(%)</w:t>
            </w:r>
          </w:p>
        </w:tc>
        <w:tc>
          <w:tcPr>
            <w:tcW w:type="dxa" w:w="2268"/>
          </w:tcPr>
          <w:p>
            <w:pPr>
              <w:spacing w:lineRule="exact" w:line="600"/>
              <w:jc w:val="center"/>
            </w:pPr>
            <w:r/>
            <w:r>
              <w:rPr>
                <w:rFonts w:ascii="仿宋_GB2312" w:hAnsi="仿宋_GB2312" w:eastAsia="仿宋_GB2312"/>
                <w:b w:val="0"/>
                <w:color w:val="000000"/>
                <w:sz w:val="32"/>
              </w:rPr>
              <w:t>43.96</w:t>
            </w:r>
          </w:p>
        </w:tc>
        <w:tc>
          <w:tcPr>
            <w:tcW w:type="dxa" w:w="2268"/>
          </w:tcPr>
          <w:p>
            <w:pPr>
              <w:spacing w:lineRule="exact" w:line="600"/>
              <w:jc w:val="center"/>
            </w:pPr>
            <w:r/>
            <w:r>
              <w:rPr>
                <w:rFonts w:ascii="仿宋_GB2312" w:hAnsi="仿宋_GB2312" w:eastAsia="仿宋_GB2312"/>
                <w:b w:val="0"/>
                <w:color w:val="000000"/>
                <w:sz w:val="32"/>
              </w:rPr>
              <w:t>40.66</w:t>
            </w:r>
          </w:p>
        </w:tc>
        <w:tc>
          <w:tcPr>
            <w:tcW w:type="dxa" w:w="2268"/>
          </w:tcPr>
          <w:p>
            <w:pPr>
              <w:spacing w:lineRule="exact" w:line="600"/>
              <w:jc w:val="center"/>
            </w:pPr>
            <w:r/>
            <w:r>
              <w:rPr>
                <w:rFonts w:ascii="仿宋_GB2312" w:hAnsi="仿宋_GB2312" w:eastAsia="仿宋_GB2312"/>
                <w:b w:val="0"/>
                <w:color w:val="000000"/>
                <w:sz w:val="32"/>
              </w:rPr>
              <w:t>36.41</w:t>
            </w:r>
          </w:p>
        </w:tc>
      </w:tr>
      <w:tr>
        <w:tc>
          <w:tcPr>
            <w:tcW w:type="dxa" w:w="2551"/>
          </w:tcPr>
          <w:p>
            <w:pPr>
              <w:spacing w:lineRule="exact" w:line="600"/>
              <w:jc w:val="center"/>
            </w:pPr>
            <w:r/>
            <w:r>
              <w:rPr>
                <w:rFonts w:ascii="仿宋_GB2312" w:hAnsi="仿宋_GB2312" w:eastAsia="仿宋_GB2312"/>
                <w:b w:val="0"/>
                <w:color w:val="000000"/>
                <w:sz w:val="32"/>
              </w:rPr>
              <w:t>资产负债率(%)</w:t>
            </w:r>
          </w:p>
        </w:tc>
        <w:tc>
          <w:tcPr>
            <w:tcW w:type="dxa" w:w="2268"/>
          </w:tcPr>
          <w:p>
            <w:pPr>
              <w:spacing w:lineRule="exact" w:line="600"/>
              <w:jc w:val="center"/>
            </w:pPr>
            <w:r/>
            <w:r>
              <w:rPr>
                <w:rFonts w:ascii="仿宋_GB2312" w:hAnsi="仿宋_GB2312" w:eastAsia="仿宋_GB2312"/>
                <w:b w:val="0"/>
                <w:color w:val="000000"/>
                <w:sz w:val="32"/>
              </w:rPr>
              <w:t>41.31</w:t>
            </w:r>
          </w:p>
        </w:tc>
        <w:tc>
          <w:tcPr>
            <w:tcW w:type="dxa" w:w="2268"/>
          </w:tcPr>
          <w:p>
            <w:pPr>
              <w:spacing w:lineRule="exact" w:line="600"/>
              <w:jc w:val="center"/>
            </w:pPr>
            <w:r/>
            <w:r>
              <w:rPr>
                <w:rFonts w:ascii="仿宋_GB2312" w:hAnsi="仿宋_GB2312" w:eastAsia="仿宋_GB2312"/>
                <w:b w:val="0"/>
                <w:color w:val="000000"/>
                <w:sz w:val="32"/>
              </w:rPr>
              <w:t>42.24</w:t>
            </w:r>
          </w:p>
        </w:tc>
        <w:tc>
          <w:tcPr>
            <w:tcW w:type="dxa" w:w="2268"/>
          </w:tcPr>
          <w:p>
            <w:pPr>
              <w:spacing w:lineRule="exact" w:line="600"/>
              <w:jc w:val="center"/>
            </w:pPr>
            <w:r/>
            <w:r>
              <w:rPr>
                <w:rFonts w:ascii="仿宋_GB2312" w:hAnsi="仿宋_GB2312" w:eastAsia="仿宋_GB2312"/>
                <w:b w:val="0"/>
                <w:color w:val="000000"/>
                <w:sz w:val="32"/>
              </w:rPr>
              <w:t>32.66</w:t>
            </w:r>
          </w:p>
        </w:tc>
      </w:tr>
      <w:tr>
        <w:tc>
          <w:tcPr>
            <w:tcW w:type="dxa" w:w="2551"/>
          </w:tcPr>
          <w:p>
            <w:pPr>
              <w:spacing w:lineRule="exact" w:line="600"/>
              <w:jc w:val="center"/>
            </w:pPr>
            <w:r/>
            <w:r>
              <w:rPr>
                <w:rFonts w:ascii="仿宋_GB2312" w:hAnsi="仿宋_GB2312" w:eastAsia="仿宋_GB2312"/>
                <w:b w:val="0"/>
                <w:color w:val="000000"/>
                <w:sz w:val="32"/>
              </w:rPr>
              <w:t>经营现金流净额</w:t>
            </w:r>
          </w:p>
        </w:tc>
        <w:tc>
          <w:tcPr>
            <w:tcW w:type="dxa" w:w="2268"/>
          </w:tcPr>
          <w:p>
            <w:pPr>
              <w:spacing w:lineRule="exact" w:line="600"/>
              <w:jc w:val="center"/>
            </w:pPr>
            <w:r/>
            <w:r>
              <w:rPr>
                <w:rFonts w:ascii="仿宋_GB2312" w:hAnsi="仿宋_GB2312" w:eastAsia="仿宋_GB2312"/>
                <w:b w:val="0"/>
                <w:color w:val="000000"/>
                <w:sz w:val="32"/>
              </w:rPr>
              <w:t>-2.84</w:t>
            </w:r>
          </w:p>
        </w:tc>
        <w:tc>
          <w:tcPr>
            <w:tcW w:type="dxa" w:w="2268"/>
          </w:tcPr>
          <w:p>
            <w:pPr>
              <w:spacing w:lineRule="exact" w:line="600"/>
              <w:jc w:val="center"/>
            </w:pPr>
            <w:r/>
            <w:r>
              <w:rPr>
                <w:rFonts w:ascii="仿宋_GB2312" w:hAnsi="仿宋_GB2312" w:eastAsia="仿宋_GB2312"/>
                <w:b w:val="0"/>
                <w:color w:val="000000"/>
                <w:sz w:val="32"/>
              </w:rPr>
              <w:t>2.89</w:t>
            </w:r>
          </w:p>
        </w:tc>
        <w:tc>
          <w:tcPr>
            <w:tcW w:type="dxa" w:w="2268"/>
          </w:tcPr>
          <w:p>
            <w:pPr>
              <w:spacing w:lineRule="exact" w:line="600"/>
              <w:jc w:val="center"/>
            </w:pPr>
            <w:r/>
            <w:r>
              <w:rPr>
                <w:rFonts w:ascii="仿宋_GB2312" w:hAnsi="仿宋_GB2312" w:eastAsia="仿宋_GB2312"/>
                <w:b w:val="0"/>
                <w:color w:val="000000"/>
                <w:sz w:val="32"/>
              </w:rPr>
              <w:t>2.33</w:t>
            </w:r>
          </w:p>
        </w:tc>
      </w:tr>
      <w:tr>
        <w:tc>
          <w:tcPr>
            <w:tcW w:type="dxa" w:w="2551"/>
          </w:tcPr>
          <w:p>
            <w:pPr>
              <w:spacing w:lineRule="exact" w:line="600"/>
              <w:jc w:val="center"/>
            </w:pPr>
            <w:r/>
            <w:r>
              <w:rPr>
                <w:rFonts w:ascii="仿宋_GB2312" w:hAnsi="仿宋_GB2312" w:eastAsia="仿宋_GB2312"/>
                <w:b w:val="0"/>
                <w:color w:val="000000"/>
                <w:sz w:val="32"/>
              </w:rPr>
              <w:t>每股收益(元)</w:t>
            </w:r>
          </w:p>
        </w:tc>
        <w:tc>
          <w:tcPr>
            <w:tcW w:type="dxa" w:w="2268"/>
          </w:tcPr>
          <w:p>
            <w:pPr>
              <w:spacing w:lineRule="exact" w:line="600"/>
              <w:jc w:val="center"/>
            </w:pPr>
            <w:r/>
            <w:r>
              <w:rPr>
                <w:rFonts w:ascii="仿宋_GB2312" w:hAnsi="仿宋_GB2312" w:eastAsia="仿宋_GB2312"/>
                <w:b w:val="0"/>
                <w:color w:val="000000"/>
                <w:sz w:val="32"/>
              </w:rPr>
              <w:t>0.18</w:t>
            </w:r>
          </w:p>
        </w:tc>
        <w:tc>
          <w:tcPr>
            <w:tcW w:type="dxa" w:w="2268"/>
          </w:tcPr>
          <w:p>
            <w:pPr>
              <w:spacing w:lineRule="exact" w:line="600"/>
              <w:jc w:val="center"/>
            </w:pPr>
            <w:r/>
            <w:r>
              <w:rPr>
                <w:rFonts w:ascii="仿宋_GB2312" w:hAnsi="仿宋_GB2312" w:eastAsia="仿宋_GB2312"/>
                <w:b w:val="0"/>
                <w:color w:val="000000"/>
                <w:sz w:val="32"/>
              </w:rPr>
              <w:t>0.20</w:t>
            </w:r>
          </w:p>
        </w:tc>
        <w:tc>
          <w:tcPr>
            <w:tcW w:type="dxa" w:w="2268"/>
          </w:tcPr>
          <w:p>
            <w:pPr>
              <w:spacing w:lineRule="exact" w:line="600"/>
              <w:jc w:val="center"/>
            </w:pPr>
            <w:r/>
            <w:r>
              <w:rPr>
                <w:rFonts w:ascii="仿宋_GB2312" w:hAnsi="仿宋_GB2312" w:eastAsia="仿宋_GB2312"/>
                <w:b w:val="0"/>
                <w:color w:val="000000"/>
                <w:sz w:val="32"/>
              </w:rPr>
              <w:t>-0.37</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2022—2023年保持微利（归母净利1.19亿、1.31亿），2024年转为亏损2.42亿元，同比由盈转亏（下降284.72%），主要因"两网"限制准入致载波模块收入腰斩、存货跌价损失计提增加及组件销售模式替代成品销售使溢价能力下降。毛利率由2022年43.96%降至2024年36.41%，三年下降7.55个百分点，盈利质量承压。</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2024年末总资产46.58亿元，归母净资产约31.37亿元；应收账款与存货规模较大，存在一定减值压力。2024年公司对存货计提较大跌价准备，进一步侵蚀利润，反映订单萎缩下的资产质量问题。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2024年末资产负债率32.66%，有息负债率38.04%，流动比率2.24、速动比率1.58，财务杠杆可控、短期偿债能力良好。负债以经营性负债为主，刚性债务压力不大。</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2024年经营活动现金流净额2.33亿元（同比下降19.17%），仍为净流入；但2022年经营现金流为-2.84亿元，现金流年度波动明显，与电网回款周期及备货节奏相关。投资与筹资活动现金流整体平稳。</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通信网络设备及器件行业可比公司相比，公司2024年营收降幅（-15.04%）与净利降幅（-284.72%）均居行业后列，三年营收复合增速3.04%（行业中游），但三年净利复合增速-215.67%排名靠后，反映"两网"事件对公司经营性冲击显著高于同业。</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公司为上市公司，设立股东大会、董事会、监事会及专门委员会，2025年完成实际控制人变更与股权梳理，治理层决策体系进一步理顺。2025年度不派发现金红利。</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董事长刘敏，核心创始股东曾繁忆、王建华分别持股27.02%、14.04%。管理团队在载波通信与消防电子领域积累深厚。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公司建立研发、采购、生产、销售全流程内控体系，通过高新技术企业复审。受"两网"事件影响，公司加强了合规与资质恢复管理，并推进向解决方案供应商转型。</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2024年末员工3,199人，研发人员占比高，研发总投入5.09亿元。人均薪酬32.24万元，人才结构以技术与研发为主。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自主芯片与通信协议壁垒：公司拥有电力线载波通信核心芯片及底层协议自主知识产权，技术积累深；二是电网客户与资质壁垒：长期服务国网、南网，用电信息采集领域渠道稳固；三是消防与新能源协同：双主业布局分散单一行业风险；四是高强度研发：研发投入占比长期超15%，2025—2027年享15%高新优惠税率。</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一）行业风险：电网投资节奏与集采政策变化影响订单；（二）经营风险：曾因合规问题被"两网"限制准入，资质恢复后历史评级缺口短期难补，电力业务回暖存不确定性；地产下行拖累消防业务（2025年消防营收同比下滑43.61%）；（三）财务风险：2024年及2025年持续大额亏损，毛利率下行、存货减值压力；（四）客户集中风险：电网客户占比高，议价与回款受制约；（五）合规风险：需持续强化招投标与产品质量合规。公司应对措施包括恢复网招资格、拓展新能源与海外市场、优化产品结构与降本增效。</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一）供应链金融：公司上游为晶圆代工与元器件供应商、下游为电网等强势客户，可基于真实贸易背景开展应收账款保理与订单融资，缓解回款周期压力；（二）融资租赁：智能制造与检测设备更新可通过融资租赁盘活固定资产；（三）保理业务：针对电网应收账款开展有追索/无追索保理，改善现金流；（四）小贷协同：在合规前提下，为产业链中小配套商提供流动性支持。鉴于公司当前亏损且资质恢复期，建议以稳健、强担保的供应链金融产品切入，严控信用风险。</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鼎信通讯是国内电力线载波通信领域老牌企业，技术底蕴与电网渠道仍在，但2024—2025年受"两网"限制准入事件冲击业绩大幅下滑，正处于修复期。未来发展取决于电网资质恢复的订单兑现、新能源与消防业务拓展及降本增效成效。建议：一是紧抓2025年解禁窗口，全力恢复网招份额；二是对冲地产下行，优化消防业务结构；三是加大新能源与海外布局，培育第二曲线；四是强化合规与现金流管理。与目标企业"山东投资"可在供应链金融、设备融资租赁方面审慎开展协同。</w:t>
      </w:r>
    </w:p>
    <w:p>
      <w:pPr>
        <w:spacing w:lineRule="exact" w:line="600" w:before="0" w:after="0"/>
        <w:jc w:val="left"/>
      </w:pPr>
      <w:r>
        <w:rPr>
          <w:rFonts w:ascii="仿宋_GB2312" w:hAnsi="仿宋_GB2312" w:eastAsia="仿宋_GB2312"/>
          <w:b w:val="0"/>
          <w:color w:val="000000"/>
          <w:sz w:val="28"/>
        </w:rPr>
        <w:t>数据来源说明：青岛鼎信通讯股份有限公司2022、2023、2024年年度报告（巨潮资讯网）、2025年业绩预告及季度报告、东方财富/同花顺财务数据、经济参考报等公开报道。控股股东与实控人信息来源于2026年一季报及公司公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