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青岛市平度市精细与专用化学品产业集群</w:t>
      </w:r>
    </w:p>
    <w:p>
      <w:pPr>
        <w:spacing w:lineRule="exact" w:line="600" w:before="240" w:after="240"/>
        <w:ind w:firstLine="0"/>
        <w:jc w:val="center"/>
      </w:pPr>
      <w:r>
        <w:rPr>
          <w:rFonts w:ascii="方正小标宋简体" w:hAnsi="方正小标宋简体" w:eastAsia="方正小标宋简体"/>
          <w:b w:val="0"/>
          <w:color w:val="000000"/>
          <w:sz w:val="44"/>
        </w:rPr>
        <w:t>青岛润农化工有限公司企业分析报告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润农化工有限公司成立于2013年7月11日，法定代表人袁良国，统一社会信用代码913702830732547813，企业类型为有限责任公司（外商投资企业与内资合资），注册资本22,749万元（实缴21,769万元），注册地址位于山东省青岛市平度市新河生态化工科技产业基地海浦北路8号，登记机关为平度市市场监督管理局，经营状态为存续，营业期限至2063年7月10日。</w:t>
      </w:r>
    </w:p>
    <w:p>
      <w:pPr>
        <w:spacing w:lineRule="exact" w:line="600" w:before="0" w:after="0"/>
        <w:ind w:firstLine="420"/>
        <w:jc w:val="both"/>
      </w:pPr>
      <w:r>
        <w:rPr>
          <w:rFonts w:ascii="仿宋_GB2312" w:hAnsi="仿宋_GB2312" w:eastAsia="仿宋_GB2312"/>
          <w:b w:val="0"/>
          <w:color w:val="000000"/>
          <w:sz w:val="32"/>
        </w:rPr>
        <w:t>股权结构：山东潍坊润丰化工股份有限公司（A股上市公司润丰股份，301035）持股91.2084%，山东润科国际贸易有限公司持股8.7916%；穿透后实际控制人为润丰股份及其一致行动人（王文才等），为民营控股、上市公司体系内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公司设董事长袁良国、董事沈婕、刘元强、监事邢秉鹏、经理王亮等；作为润丰股份全资子公司，业务独立运营、纳入集团农化制造与全球营销体系，位于平度新河生态化工科技产业基地。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2013年7月成立；作为润丰股份重要原药制造基地，主营杀虫剂、杀菌剂、植物生长调节剂；2016年9月成立党支部，打造“党润丰农”党建品牌；2022年产值13.33亿元，先后获评山东省瞪羚企业、青岛市“专精特新”企业、市级企业技术中心、省级专精特新、省级创新型中小企业、2025年税务信用A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润丰股份旗下的农药原药及精细化学品制造基地，面向全球提供植物保护产品。主营业务为农药生产、批发与零售，生物农药技术研发，专用化学产品制造与销售，肥料生产与生物农药生产，以及有毒化学品进出口等；主要生产杀虫剂、杀菌剂、植物生长调节剂。</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业务以农药原药及制剂为主，涵盖杀虫剂、杀菌剂、植物生长调节剂，并配套肥料与生物农药研发；产品远销大洋洲、中南美、东南亚、非洲等100多个国家和地区。公司未公开披露分产品收入占比。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主要产品包括杀虫剂、杀菌剂、植物生长调节剂等农药原药及制剂；拥有“含螺虫乙酯和吡丙醚的悬乳剂”等专利，具备差异化制剂研发能力。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依托润丰股份全球营销网络，产品远销100多个国家和地区，客户为全球农化渠道与种植服务商；“党润丰农”党建赋能下，2023年前7个月实现产值10.72亿元（同比+12.83%）。</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生产所需基础化工原料、中间体为主要采购对象，原料价格受化工周期影响；公司通过集团集采体系稳定供应。</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平度新河生态化工科技产业基地，人员规模490人（2025年），企业规模大型；具农药生产许可证、农药登记证、危险化学品相关许可，为省级专精特新、创新型中小企业、市级企业技术中心、A级纳税人；拥有专利55项、商标4项、软著3项、行政许可146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以润丰股份全球销售运营体系为主，出口占比高，覆盖六大洲100余国；提供植保产品与技术服务。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公开披露：2022年营业收入12.67亿元、利润总额1.79亿元、总资产13.93亿元、产值13.33亿元；2023年前7个月产值10.72亿元（同比+12.83%）。作为润丰股份核心原药基地，出口规模可观，但具体细分市占率未公开披露。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青岛润农化工为非上市企业（润丰股份子公司），近三年完整财务报表未单独公开；下表列示公开的2022年代表性财务数据（来源：启信宝/工商年报）及集团背景，单位：亿元，不作编造。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22,749万元（实缴21,769万元）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2013-07-11</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润丰股份（91.21%）、润科国贸（8.79%）</w:t>
            </w:r>
          </w:p>
        </w:tc>
      </w:tr>
      <w:tr>
        <w:tc>
          <w:tcPr>
            <w:tcW w:type="dxa" w:w="2551"/>
          </w:tcPr>
          <w:p>
            <w:pPr>
              <w:spacing w:lineRule="exact" w:line="600"/>
              <w:jc w:val="center"/>
            </w:pPr>
            <w:r/>
            <w:r>
              <w:rPr>
                <w:rFonts w:ascii="仿宋_GB2312" w:hAnsi="仿宋_GB2312" w:eastAsia="仿宋_GB2312"/>
                <w:b w:val="0"/>
                <w:color w:val="000000"/>
                <w:sz w:val="32"/>
              </w:rPr>
              <w:t>2022年营业收入</w:t>
            </w:r>
          </w:p>
        </w:tc>
        <w:tc>
          <w:tcPr>
            <w:tcW w:type="dxa" w:w="6236"/>
          </w:tcPr>
          <w:p>
            <w:pPr>
              <w:spacing w:lineRule="exact" w:line="600"/>
              <w:jc w:val="center"/>
            </w:pPr>
            <w:r/>
            <w:r>
              <w:rPr>
                <w:rFonts w:ascii="仿宋_GB2312" w:hAnsi="仿宋_GB2312" w:eastAsia="仿宋_GB2312"/>
                <w:b w:val="0"/>
                <w:color w:val="000000"/>
                <w:sz w:val="32"/>
              </w:rPr>
              <w:t>约12.67亿元</w:t>
            </w:r>
          </w:p>
        </w:tc>
      </w:tr>
      <w:tr>
        <w:tc>
          <w:tcPr>
            <w:tcW w:type="dxa" w:w="2551"/>
          </w:tcPr>
          <w:p>
            <w:pPr>
              <w:spacing w:lineRule="exact" w:line="600"/>
              <w:jc w:val="center"/>
            </w:pPr>
            <w:r/>
            <w:r>
              <w:rPr>
                <w:rFonts w:ascii="仿宋_GB2312" w:hAnsi="仿宋_GB2312" w:eastAsia="仿宋_GB2312"/>
                <w:b w:val="0"/>
                <w:color w:val="000000"/>
                <w:sz w:val="32"/>
              </w:rPr>
              <w:t>2022年利润总额</w:t>
            </w:r>
          </w:p>
        </w:tc>
        <w:tc>
          <w:tcPr>
            <w:tcW w:type="dxa" w:w="6236"/>
          </w:tcPr>
          <w:p>
            <w:pPr>
              <w:spacing w:lineRule="exact" w:line="600"/>
              <w:jc w:val="center"/>
            </w:pPr>
            <w:r/>
            <w:r>
              <w:rPr>
                <w:rFonts w:ascii="仿宋_GB2312" w:hAnsi="仿宋_GB2312" w:eastAsia="仿宋_GB2312"/>
                <w:b w:val="0"/>
                <w:color w:val="000000"/>
                <w:sz w:val="32"/>
              </w:rPr>
              <w:t>约1.79亿元</w:t>
            </w:r>
          </w:p>
        </w:tc>
      </w:tr>
      <w:tr>
        <w:tc>
          <w:tcPr>
            <w:tcW w:type="dxa" w:w="2551"/>
          </w:tcPr>
          <w:p>
            <w:pPr>
              <w:spacing w:lineRule="exact" w:line="600"/>
              <w:jc w:val="center"/>
            </w:pPr>
            <w:r/>
            <w:r>
              <w:rPr>
                <w:rFonts w:ascii="仿宋_GB2312" w:hAnsi="仿宋_GB2312" w:eastAsia="仿宋_GB2312"/>
                <w:b w:val="0"/>
                <w:color w:val="000000"/>
                <w:sz w:val="32"/>
              </w:rPr>
              <w:t>2022年总资产</w:t>
            </w:r>
          </w:p>
        </w:tc>
        <w:tc>
          <w:tcPr>
            <w:tcW w:type="dxa" w:w="6236"/>
          </w:tcPr>
          <w:p>
            <w:pPr>
              <w:spacing w:lineRule="exact" w:line="600"/>
              <w:jc w:val="center"/>
            </w:pPr>
            <w:r/>
            <w:r>
              <w:rPr>
                <w:rFonts w:ascii="仿宋_GB2312" w:hAnsi="仿宋_GB2312" w:eastAsia="仿宋_GB2312"/>
                <w:b w:val="0"/>
                <w:color w:val="000000"/>
                <w:sz w:val="32"/>
              </w:rPr>
              <w:t>约13.93亿元</w:t>
            </w:r>
          </w:p>
        </w:tc>
      </w:tr>
      <w:tr>
        <w:tc>
          <w:tcPr>
            <w:tcW w:type="dxa" w:w="2551"/>
          </w:tcPr>
          <w:p>
            <w:pPr>
              <w:spacing w:lineRule="exact" w:line="600"/>
              <w:jc w:val="center"/>
            </w:pPr>
            <w:r/>
            <w:r>
              <w:rPr>
                <w:rFonts w:ascii="仿宋_GB2312" w:hAnsi="仿宋_GB2312" w:eastAsia="仿宋_GB2312"/>
                <w:b w:val="0"/>
                <w:color w:val="000000"/>
                <w:sz w:val="32"/>
              </w:rPr>
              <w:t>2022年产值</w:t>
            </w:r>
          </w:p>
        </w:tc>
        <w:tc>
          <w:tcPr>
            <w:tcW w:type="dxa" w:w="6236"/>
          </w:tcPr>
          <w:p>
            <w:pPr>
              <w:spacing w:lineRule="exact" w:line="600"/>
              <w:jc w:val="center"/>
            </w:pPr>
            <w:r/>
            <w:r>
              <w:rPr>
                <w:rFonts w:ascii="仿宋_GB2312" w:hAnsi="仿宋_GB2312" w:eastAsia="仿宋_GB2312"/>
                <w:b w:val="0"/>
                <w:color w:val="000000"/>
                <w:sz w:val="32"/>
              </w:rPr>
              <w:t>13.33亿元</w:t>
            </w:r>
          </w:p>
        </w:tc>
      </w:tr>
      <w:tr>
        <w:tc>
          <w:tcPr>
            <w:tcW w:type="dxa" w:w="2551"/>
          </w:tcPr>
          <w:p>
            <w:pPr>
              <w:spacing w:lineRule="exact" w:line="600"/>
              <w:jc w:val="center"/>
            </w:pPr>
            <w:r/>
            <w:r>
              <w:rPr>
                <w:rFonts w:ascii="仿宋_GB2312" w:hAnsi="仿宋_GB2312" w:eastAsia="仿宋_GB2312"/>
                <w:b w:val="0"/>
                <w:color w:val="000000"/>
                <w:sz w:val="32"/>
              </w:rPr>
              <w:t>近三年完整财报</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公开披露2022年营业收入约12.67亿元、利润总额约1.79亿元，盈利规模较大；作为原药制造基地，盈利随农药行业周期与产品价格波动。近三年完整财报未公开，无法精确评价趋势。</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2022年总资产约13.93亿元，重资产农化制造属性明显；固定资产（原药装置）占比高。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无公开负债数据。背靠润丰股份（A股上市）信用背书，融资能力较强；授信前建议核查有息负债与对外担保。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无公开现金流数据。出口业务回款与汇率管理为现金流关键。</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与平度精细化学品集群内企业（如海利尔、红蝶新材料）相比，润农化工专注农药原药、出口导向强，规模可观且背靠上市母公司，但经营透明度低于母公司。</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作为润丰股份全资子公司，治理纳入集团体系；设董事长、董事、监事与经理；落实国资/上市公司合规要求（民营企业，无国资，但党组织发挥引领作用）。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法定代表人/董事长袁良国；董事沈婕、刘元强；监事邢秉鹏；经理王亮。管理团队由润丰股份派驻与本土结合。</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建立安全生产与环保内控体系，党支部引领“党润丰农”将党建与生产经营深度融合；作为农药定点企业，须符合安全环保监管要求。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2025年社保人数490人，企业规模大型；党支部牵头人才培养，产品打包效率由每天6吨提升至13吨，体现组织效能。</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集团与渠道：背靠润丰股份（A股农化龙头）全球营销网络，产品远销100余国。二是规模与产能：2022年产值13.33亿元、营收12.67亿元，新河基地原药产能充足。三是资质与研发：省级专精特新、瞪羚企业、市级企业技术中心，专利55项。四是党建赋能： “党润丰农”品牌推动党建与经营双融双促，提升效率与凝聚力。五是出口能力：农药出口资质与全球客户基础扎实。</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农药原药价格与需求周期波动，影响盈利；应对为产品结构与降本。二是安全环保风险（重点）：农药生产涉及危化与排放，须持续合规投入。三是国际贸易风险：出口占比高，受贸易政策、汇率与地缘影响；应对为全球布局分散。四是原料价格风险：基础化工原料波动影响成本。五是经营透明度风险：非上市、财报未公开，授信需加强尽调（公开信息显示存在少量司法/立案记录）。</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海外与国内客户的应收账款账期较长，可开展保理融资盘活资金。供应链金融：依托润丰股份信用，为上游原料供应商提供订单与存货融资。融资租赁：原药装置技改与设备升级适合直租/回租。小贷：面向临时周转。鉴于企业背靠A股上市母公司、出口规模大、资质优良，是优质协同客户，建议以“出口应收保理+设备融资租赁”组合切入，并关注行业景气与合规。</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润农化工是平度精细化学品集群内润丰股份的核心原药基地，出口导向强、规模可观、资质完备、党建赋能突出，但非上市、财务透明度有限、处农药周期波动中。发展展望：据行业趋势与公司规划，全球植保需求稳健、原药一体化趋势延续，公司作为润丰核心基地成长确定性较高。建议：一是对接出口应收保理与装置设备融资租赁；二是授信前补充规范财务资料并评估行业景气；三是将安全环保合规作为持续监测重点。</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平度市政府官网（党润丰农党建报道）、润丰股份（301035）公开资料。财务数据部分来自工商年报公开披露，近三年完整财报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