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青岛市胶州市智慧家居制造产业集群</w:t>
      </w:r>
    </w:p>
    <w:p>
      <w:pPr>
        <w:spacing w:lineRule="exact" w:line="600" w:before="240" w:after="240"/>
        <w:ind w:firstLine="0"/>
        <w:jc w:val="center"/>
      </w:pPr>
      <w:r>
        <w:rPr>
          <w:rFonts w:ascii="方正小标宋简体" w:hAnsi="方正小标宋简体" w:eastAsia="方正小标宋简体"/>
          <w:b w:val="0"/>
          <w:color w:val="000000"/>
          <w:sz w:val="44"/>
        </w:rPr>
        <w:t>青岛有屋智能家居科技有限公司企业分析报告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新三板公开转让说明书、全国股转公司公开信息、天眼查/爱企查/企查查、公司官网及权威媒体等公开渠道，统计时点截至最新披露信息；非上市企业或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青岛有屋智能家居科技有限公司系青岛有屋智能家居科技股份有限公司（曾用名"青岛有屋智能家居科技有限公司""青岛海尔厨房设施有限公司"）的惯用指称主体。该公司统一社会信用代码913702117306175120，法定代表人为刘斥（总经理为廉景进），企业类型为其他股份有限公司（非上市），注册资本38,345.2125万元（实缴同额），成立于2001年9月21日，登记机关为青岛市市场监督管理局，经营状态为开业（存续）。注册地址位于山东省青岛市胶州市胶州经济技术开发区汾河路6号有屋楼6楼。2024年9月20日，公司正式登陆全国中小企业股份转让系统（新三板，证券代码874535.NQ，基础层），挂牌股份总量约3.83亿股。</w:t>
      </w:r>
    </w:p>
    <w:p>
      <w:pPr>
        <w:spacing w:lineRule="exact" w:line="600" w:before="0" w:after="0"/>
        <w:ind w:firstLine="420"/>
        <w:jc w:val="both"/>
      </w:pPr>
      <w:r>
        <w:rPr>
          <w:rFonts w:ascii="仿宋_GB2312" w:hAnsi="仿宋_GB2312" w:eastAsia="仿宋_GB2312"/>
          <w:b w:val="0"/>
          <w:color w:val="000000"/>
          <w:sz w:val="32"/>
        </w:rPr>
        <w:t>股权结构方面，青岛有屋家居科技股份有限公司直接持有公司27.38%股份，为控股股东；海尔集团通过海尔卡奥斯间接控制有屋家居41.61%股权、通过君一控股控制3.50%股权，并取得刘斥、刘昌龙、少海壹号等股东所持表决权委托，合计控制有屋家居52.79%表决权；同时海尔集团通过海有居间接持有公司4.44%股份，并与海创合签署表决权委托协议（海创合将其持有公司16.43%股份表决权委托给海尔集团），合计控制公司48.25%股份的表决权，海尔集团为公司的实际控制人。公司属海尔系控股、混合所有制公众公司，无国有独资背景但具大型产业集团实际控制特征。</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控股型股份公司，下设厨房橱柜、定制家具、内门墙板等业务板块，拥有一条覆盖"设计—研发—生产—销售—安装"的一体化产业链。对外投资企业包括博洛尼智能科技（青岛）有限公司（持股约99.41%）、济南虫洞智能家居设施有限公司等；并通过少海汇生态圈参股青岛汉德密智能家居、青岛有住万得创意家具、上海海米家居科技、苏州博可居新材料等产业链伙伴。截至2023年末，公司拥有境内经销商833家、门店1,274家（其中"博洛尼"品牌门店780家、"海尔/有屋"品牌门店494家），并在北京设有25家品牌直营店。</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前身可追溯至青岛海尔厨房设施有限公司，是国内较早进入定制家居行业的企业之一。2015年起，在海尔集团主导下通过并购整合海尔全屋、科宝·博洛尼（以约12亿元估值纳入），由橱柜衣柜扩张至全屋定制，并引入中金领投的12亿元A轮融资，营收体量快速做大。2020年7月接受上市辅导，2021年5月创业板IPO申请获受理，2022年8月在上会前夕主动撤回；随后于2024年6月转申报新三板并获受理，2024年9月20日正式挂牌。公司曾冲击深交所创业板、后"曲线"登陆新三板，资本运作路径清晰。</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国内领先的智能化定制家居产品及整体解决方案提供商，是最早将物联网与人工智能技术与家居融合的科技企业之一。主营业务为定制化整体家居产品的个性化设计、研发、生产、销售和安装服务，以及物联网、人工智能在上述产品中的应用；产品涵盖整体橱柜及配套产品、定制家具及配套产品、内门墙板及配套智能化定制家居产品，覆盖入户、客厅、餐厅、厨房、卧室、书房、儿童房、功能房、阳台等九大空间场景。旗下整合"海尔（Haier）/有屋（EOROOM）"与"博洛尼（Boloni）"等知名品牌，分别锚定中高端时尚消费、智能轻奢与高端定制三大客群。</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按产品分为三大模块：橱柜及配套产品、定制家具及配套产品、内门墙板及配套智能化产品。公开转让说明书显示，2023年度橱柜及配套产品线销售金额达21.69亿元、占总营收近五成；定制家具及配套产品贡献次之，占比约37.44%。按销售模式分为直营、经销、大宗及其他业务四类，其中大宗业务（面向房地产开发商、装饰装修公司等）占比较高，2023年大宗业务收入22.34亿元、占主营业务收入51.36%，对公司收入规模贡献突出但亦带来回款与坏账风险。</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包括智能升降拉篮、智能衣柜（杀菌除湿净味）、智能鞋柜、智能梳妆台、智能内门、模块化智能单品及E7系列智慧场景方案（涵盖智慧入户、智慧客厅、智慧无人厨房、智慧衣帽间等）；融合消毒杀菌除味、石墨烯加热、智能收纳、柜体隐蔽式导电、化妆镜防雾等智能技术。公司坚持原创设计，整合意大利及清华美院等设计师资源，形成简约、欧式、轻奢、新中式、田园、古典等多元风格。</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结构随销售模式分化：直营面向零售客户、经销面向经销商、大宗面向地产开发商与装饰公司。受地产周期影响，公司近年主动优化客户结构，重点发展与中海地产、保利集团、华润集团、中国铁建等央企核心客户的合作，减少与信用风险较高民企的合作，并强化财务管控。零售端通过1,274家门店及京东、天猫、抖音等线上渠道触达终端消费者。</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主要原材料为人造板、五金配件、石英石台面、家电配套件及电子智能模块等，原料价格受大宗商品与电子元器件行情影响；公司通过规模化采购与集采管理控制成本。大宗业务模式下对上游配套供应商形成一定账期，构成供应链金融切入点。</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拥有山东济南、河北深州、湖北咸宁、江苏吴江四大生产基地，年产量可达84.6万套（较2022年增长25.6万套），并持续推进扩产项目。截至2023年末，公司取得发明专利37项、实用新型专利453项、外观设计专利187项；2024年品牌价值达193.51亿元（世界品牌实验室《中国500最具价值品牌》，为智能家居行业唯一上榜品牌），并以60亿元估值登榜2024中国隐形独角兽企业500强。持有相关质量管理体系及环保认证。</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直营+经销+大宗+其他"多渠道模式，以经销网络（833家经销商、1,274家门店）为底盘，大宗业务对接央企地产客户，线上布局京东/天猫/抖音旗舰店并实现线下定制套餐预订；同时与兄弟公司海尔智家"三翼鸟""卡萨帝"协同，发布"智慧厨房·智界系列"等联合新品，构建场景化全屋智能生态。</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公开转让说明书及年报披露：2021年营业收入42.93亿元、归母净利润0.91亿元；2022年营业收入37.91亿元、归母净利润-732.52万元（因主要地产客户相继发生信用风险、计提应收款项坏账致亏）；2023年营业收入44.22亿元、归母净利润2.48亿元、扣非净利润2.19亿元，同比扭亏为盈、营收增长16.6%。公司2023年营收规模在9家已上市定制家居企业中列第5位，处行业第二梯队（约为欧派家居的五分之一）。注：完整三张财务报表自2024年9月新三板挂牌后逐步披露，本表列示公开转让说明书已披露主要利润数据。</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青岛有屋智能于2024年9月登陆新三板（874535.NQ），公开转让说明书披露2021—2023年主要利润数据；以下单位：亿元，毛利率/资产负债率等三表联动指标新三板挂牌前未充分公开，已如实标注。</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268"/>
          </w:tcPr>
          <w:p>
            <w:pPr>
              <w:spacing w:lineRule="exact" w:line="600"/>
              <w:jc w:val="center"/>
            </w:pPr>
            <w:r/>
            <w:r>
              <w:rPr>
                <w:rFonts w:ascii="黑体" w:hAnsi="黑体" w:eastAsia="黑体"/>
                <w:b/>
                <w:color w:val="000000"/>
                <w:sz w:val="32"/>
              </w:rPr>
              <w:t>指标</w:t>
            </w:r>
          </w:p>
        </w:tc>
        <w:tc>
          <w:tcPr>
            <w:tcW w:type="dxa" w:w="2154"/>
          </w:tcPr>
          <w:p>
            <w:pPr>
              <w:spacing w:lineRule="exact" w:line="600"/>
              <w:jc w:val="center"/>
            </w:pPr>
            <w:r/>
            <w:r>
              <w:rPr>
                <w:rFonts w:ascii="黑体" w:hAnsi="黑体" w:eastAsia="黑体"/>
                <w:b/>
                <w:color w:val="000000"/>
                <w:sz w:val="32"/>
              </w:rPr>
              <w:t>2021年</w:t>
            </w:r>
          </w:p>
        </w:tc>
        <w:tc>
          <w:tcPr>
            <w:tcW w:type="dxa" w:w="2154"/>
          </w:tcPr>
          <w:p>
            <w:pPr>
              <w:spacing w:lineRule="exact" w:line="600"/>
              <w:jc w:val="center"/>
            </w:pPr>
            <w:r/>
            <w:r>
              <w:rPr>
                <w:rFonts w:ascii="黑体" w:hAnsi="黑体" w:eastAsia="黑体"/>
                <w:b/>
                <w:color w:val="000000"/>
                <w:sz w:val="32"/>
              </w:rPr>
              <w:t>2022年</w:t>
            </w:r>
          </w:p>
        </w:tc>
        <w:tc>
          <w:tcPr>
            <w:tcW w:type="dxa" w:w="2154"/>
          </w:tcPr>
          <w:p>
            <w:pPr>
              <w:spacing w:lineRule="exact" w:line="600"/>
              <w:jc w:val="center"/>
            </w:pPr>
            <w:r/>
            <w:r>
              <w:rPr>
                <w:rFonts w:ascii="黑体" w:hAnsi="黑体" w:eastAsia="黑体"/>
                <w:b/>
                <w:color w:val="000000"/>
                <w:sz w:val="32"/>
              </w:rPr>
              <w:t>2023年</w:t>
            </w:r>
          </w:p>
        </w:tc>
      </w:tr>
      <w:tr>
        <w:tc>
          <w:tcPr>
            <w:tcW w:type="dxa" w:w="2268"/>
          </w:tcPr>
          <w:p>
            <w:pPr>
              <w:spacing w:lineRule="exact" w:line="600"/>
              <w:jc w:val="center"/>
            </w:pPr>
            <w:r/>
            <w:r>
              <w:rPr>
                <w:rFonts w:ascii="仿宋_GB2312" w:hAnsi="仿宋_GB2312" w:eastAsia="仿宋_GB2312"/>
                <w:b w:val="0"/>
                <w:color w:val="000000"/>
                <w:sz w:val="32"/>
              </w:rPr>
              <w:t>营业收入</w:t>
            </w:r>
          </w:p>
        </w:tc>
        <w:tc>
          <w:tcPr>
            <w:tcW w:type="dxa" w:w="2154"/>
          </w:tcPr>
          <w:p>
            <w:pPr>
              <w:spacing w:lineRule="exact" w:line="600"/>
              <w:jc w:val="center"/>
            </w:pPr>
            <w:r/>
            <w:r>
              <w:rPr>
                <w:rFonts w:ascii="仿宋_GB2312" w:hAnsi="仿宋_GB2312" w:eastAsia="仿宋_GB2312"/>
                <w:b w:val="0"/>
                <w:color w:val="000000"/>
                <w:sz w:val="32"/>
              </w:rPr>
              <w:t>42.93</w:t>
            </w:r>
          </w:p>
        </w:tc>
        <w:tc>
          <w:tcPr>
            <w:tcW w:type="dxa" w:w="2154"/>
          </w:tcPr>
          <w:p>
            <w:pPr>
              <w:spacing w:lineRule="exact" w:line="600"/>
              <w:jc w:val="center"/>
            </w:pPr>
            <w:r/>
            <w:r>
              <w:rPr>
                <w:rFonts w:ascii="仿宋_GB2312" w:hAnsi="仿宋_GB2312" w:eastAsia="仿宋_GB2312"/>
                <w:b w:val="0"/>
                <w:color w:val="000000"/>
                <w:sz w:val="32"/>
              </w:rPr>
              <w:t>37.91</w:t>
            </w:r>
          </w:p>
        </w:tc>
        <w:tc>
          <w:tcPr>
            <w:tcW w:type="dxa" w:w="2154"/>
          </w:tcPr>
          <w:p>
            <w:pPr>
              <w:spacing w:lineRule="exact" w:line="600"/>
              <w:jc w:val="center"/>
            </w:pPr>
            <w:r/>
            <w:r>
              <w:rPr>
                <w:rFonts w:ascii="仿宋_GB2312" w:hAnsi="仿宋_GB2312" w:eastAsia="仿宋_GB2312"/>
                <w:b w:val="0"/>
                <w:color w:val="000000"/>
                <w:sz w:val="32"/>
              </w:rPr>
              <w:t>44.22</w:t>
            </w:r>
          </w:p>
        </w:tc>
      </w:tr>
      <w:tr>
        <w:tc>
          <w:tcPr>
            <w:tcW w:type="dxa" w:w="2268"/>
          </w:tcPr>
          <w:p>
            <w:pPr>
              <w:spacing w:lineRule="exact" w:line="600"/>
              <w:jc w:val="center"/>
            </w:pPr>
            <w:r/>
            <w:r>
              <w:rPr>
                <w:rFonts w:ascii="仿宋_GB2312" w:hAnsi="仿宋_GB2312" w:eastAsia="仿宋_GB2312"/>
                <w:b w:val="0"/>
                <w:color w:val="000000"/>
                <w:sz w:val="32"/>
              </w:rPr>
              <w:t>归母净利润</w:t>
            </w:r>
          </w:p>
        </w:tc>
        <w:tc>
          <w:tcPr>
            <w:tcW w:type="dxa" w:w="2154"/>
          </w:tcPr>
          <w:p>
            <w:pPr>
              <w:spacing w:lineRule="exact" w:line="600"/>
              <w:jc w:val="center"/>
            </w:pPr>
            <w:r/>
            <w:r>
              <w:rPr>
                <w:rFonts w:ascii="仿宋_GB2312" w:hAnsi="仿宋_GB2312" w:eastAsia="仿宋_GB2312"/>
                <w:b w:val="0"/>
                <w:color w:val="000000"/>
                <w:sz w:val="32"/>
              </w:rPr>
              <w:t>0.91</w:t>
            </w:r>
          </w:p>
        </w:tc>
        <w:tc>
          <w:tcPr>
            <w:tcW w:type="dxa" w:w="2154"/>
          </w:tcPr>
          <w:p>
            <w:pPr>
              <w:spacing w:lineRule="exact" w:line="600"/>
              <w:jc w:val="center"/>
            </w:pPr>
            <w:r/>
            <w:r>
              <w:rPr>
                <w:rFonts w:ascii="仿宋_GB2312" w:hAnsi="仿宋_GB2312" w:eastAsia="仿宋_GB2312"/>
                <w:b w:val="0"/>
                <w:color w:val="000000"/>
                <w:sz w:val="32"/>
              </w:rPr>
              <w:t>-0.07</w:t>
            </w:r>
          </w:p>
        </w:tc>
        <w:tc>
          <w:tcPr>
            <w:tcW w:type="dxa" w:w="2154"/>
          </w:tcPr>
          <w:p>
            <w:pPr>
              <w:spacing w:lineRule="exact" w:line="600"/>
              <w:jc w:val="center"/>
            </w:pPr>
            <w:r/>
            <w:r>
              <w:rPr>
                <w:rFonts w:ascii="仿宋_GB2312" w:hAnsi="仿宋_GB2312" w:eastAsia="仿宋_GB2312"/>
                <w:b w:val="0"/>
                <w:color w:val="000000"/>
                <w:sz w:val="32"/>
              </w:rPr>
              <w:t>2.48</w:t>
            </w:r>
          </w:p>
        </w:tc>
      </w:tr>
      <w:tr>
        <w:tc>
          <w:tcPr>
            <w:tcW w:type="dxa" w:w="2268"/>
          </w:tcPr>
          <w:p>
            <w:pPr>
              <w:spacing w:lineRule="exact" w:line="600"/>
              <w:jc w:val="center"/>
            </w:pPr>
            <w:r/>
            <w:r>
              <w:rPr>
                <w:rFonts w:ascii="仿宋_GB2312" w:hAnsi="仿宋_GB2312" w:eastAsia="仿宋_GB2312"/>
                <w:b w:val="0"/>
                <w:color w:val="000000"/>
                <w:sz w:val="32"/>
              </w:rPr>
              <w:t>扣非净利润</w:t>
            </w:r>
          </w:p>
        </w:tc>
        <w:tc>
          <w:tcPr>
            <w:tcW w:type="dxa" w:w="2154"/>
          </w:tcPr>
          <w:p>
            <w:pPr>
              <w:spacing w:lineRule="exact" w:line="600"/>
              <w:jc w:val="center"/>
            </w:pPr>
            <w:r/>
            <w:r>
              <w:rPr>
                <w:rFonts w:ascii="仿宋_GB2312" w:hAnsi="仿宋_GB2312" w:eastAsia="仿宋_GB2312"/>
                <w:b w:val="0"/>
                <w:color w:val="000000"/>
                <w:sz w:val="32"/>
              </w:rPr>
              <w:t>未披露</w:t>
            </w:r>
          </w:p>
        </w:tc>
        <w:tc>
          <w:tcPr>
            <w:tcW w:type="dxa" w:w="2154"/>
          </w:tcPr>
          <w:p>
            <w:pPr>
              <w:spacing w:lineRule="exact" w:line="600"/>
              <w:jc w:val="center"/>
            </w:pPr>
            <w:r/>
            <w:r>
              <w:rPr>
                <w:rFonts w:ascii="仿宋_GB2312" w:hAnsi="仿宋_GB2312" w:eastAsia="仿宋_GB2312"/>
                <w:b w:val="0"/>
                <w:color w:val="000000"/>
                <w:sz w:val="32"/>
              </w:rPr>
              <w:t>未披露</w:t>
            </w:r>
          </w:p>
        </w:tc>
        <w:tc>
          <w:tcPr>
            <w:tcW w:type="dxa" w:w="2154"/>
          </w:tcPr>
          <w:p>
            <w:pPr>
              <w:spacing w:lineRule="exact" w:line="600"/>
              <w:jc w:val="center"/>
            </w:pPr>
            <w:r/>
            <w:r>
              <w:rPr>
                <w:rFonts w:ascii="仿宋_GB2312" w:hAnsi="仿宋_GB2312" w:eastAsia="仿宋_GB2312"/>
                <w:b w:val="0"/>
                <w:color w:val="000000"/>
                <w:sz w:val="32"/>
              </w:rPr>
              <w:t>2.19</w:t>
            </w:r>
          </w:p>
        </w:tc>
      </w:tr>
      <w:tr>
        <w:tc>
          <w:tcPr>
            <w:tcW w:type="dxa" w:w="2268"/>
          </w:tcPr>
          <w:p>
            <w:pPr>
              <w:spacing w:lineRule="exact" w:line="600"/>
              <w:jc w:val="center"/>
            </w:pPr>
            <w:r/>
            <w:r>
              <w:rPr>
                <w:rFonts w:ascii="仿宋_GB2312" w:hAnsi="仿宋_GB2312" w:eastAsia="仿宋_GB2312"/>
                <w:b w:val="0"/>
                <w:color w:val="000000"/>
                <w:sz w:val="32"/>
              </w:rPr>
              <w:t>毛利率</w:t>
            </w:r>
          </w:p>
        </w:tc>
        <w:tc>
          <w:tcPr>
            <w:tcW w:type="dxa" w:w="2154"/>
          </w:tcPr>
          <w:p>
            <w:pPr>
              <w:spacing w:lineRule="exact" w:line="600"/>
              <w:jc w:val="center"/>
            </w:pPr>
            <w:r/>
            <w:r>
              <w:rPr>
                <w:rFonts w:ascii="仿宋_GB2312" w:hAnsi="仿宋_GB2312" w:eastAsia="仿宋_GB2312"/>
                <w:b w:val="0"/>
                <w:color w:val="000000"/>
                <w:sz w:val="32"/>
              </w:rPr>
              <w:t>未披露</w:t>
            </w:r>
          </w:p>
        </w:tc>
        <w:tc>
          <w:tcPr>
            <w:tcW w:type="dxa" w:w="2154"/>
          </w:tcPr>
          <w:p>
            <w:pPr>
              <w:spacing w:lineRule="exact" w:line="600"/>
              <w:jc w:val="center"/>
            </w:pPr>
            <w:r/>
            <w:r>
              <w:rPr>
                <w:rFonts w:ascii="仿宋_GB2312" w:hAnsi="仿宋_GB2312" w:eastAsia="仿宋_GB2312"/>
                <w:b w:val="0"/>
                <w:color w:val="000000"/>
                <w:sz w:val="32"/>
              </w:rPr>
              <w:t>未披露</w:t>
            </w:r>
          </w:p>
        </w:tc>
        <w:tc>
          <w:tcPr>
            <w:tcW w:type="dxa" w:w="2154"/>
          </w:tcPr>
          <w:p>
            <w:pPr>
              <w:spacing w:lineRule="exact" w:line="600"/>
              <w:jc w:val="center"/>
            </w:pPr>
            <w:r/>
            <w:r>
              <w:rPr>
                <w:rFonts w:ascii="仿宋_GB2312" w:hAnsi="仿宋_GB2312" w:eastAsia="仿宋_GB2312"/>
                <w:b w:val="0"/>
                <w:color w:val="000000"/>
                <w:sz w:val="32"/>
              </w:rPr>
              <w:t>未披露</w:t>
            </w:r>
          </w:p>
        </w:tc>
      </w:tr>
      <w:tr>
        <w:tc>
          <w:tcPr>
            <w:tcW w:type="dxa" w:w="2268"/>
          </w:tcPr>
          <w:p>
            <w:pPr>
              <w:spacing w:lineRule="exact" w:line="600"/>
              <w:jc w:val="center"/>
            </w:pPr>
            <w:r/>
            <w:r>
              <w:rPr>
                <w:rFonts w:ascii="仿宋_GB2312" w:hAnsi="仿宋_GB2312" w:eastAsia="仿宋_GB2312"/>
                <w:b w:val="0"/>
                <w:color w:val="000000"/>
                <w:sz w:val="32"/>
              </w:rPr>
              <w:t>资产负债率</w:t>
            </w:r>
          </w:p>
        </w:tc>
        <w:tc>
          <w:tcPr>
            <w:tcW w:type="dxa" w:w="2154"/>
          </w:tcPr>
          <w:p>
            <w:pPr>
              <w:spacing w:lineRule="exact" w:line="600"/>
              <w:jc w:val="center"/>
            </w:pPr>
            <w:r/>
            <w:r>
              <w:rPr>
                <w:rFonts w:ascii="仿宋_GB2312" w:hAnsi="仿宋_GB2312" w:eastAsia="仿宋_GB2312"/>
                <w:b w:val="0"/>
                <w:color w:val="000000"/>
                <w:sz w:val="32"/>
              </w:rPr>
              <w:t>未披露</w:t>
            </w:r>
          </w:p>
        </w:tc>
        <w:tc>
          <w:tcPr>
            <w:tcW w:type="dxa" w:w="2154"/>
          </w:tcPr>
          <w:p>
            <w:pPr>
              <w:spacing w:lineRule="exact" w:line="600"/>
              <w:jc w:val="center"/>
            </w:pPr>
            <w:r/>
            <w:r>
              <w:rPr>
                <w:rFonts w:ascii="仿宋_GB2312" w:hAnsi="仿宋_GB2312" w:eastAsia="仿宋_GB2312"/>
                <w:b w:val="0"/>
                <w:color w:val="000000"/>
                <w:sz w:val="32"/>
              </w:rPr>
              <w:t>未披露</w:t>
            </w:r>
          </w:p>
        </w:tc>
        <w:tc>
          <w:tcPr>
            <w:tcW w:type="dxa" w:w="2154"/>
          </w:tcPr>
          <w:p>
            <w:pPr>
              <w:spacing w:lineRule="exact" w:line="600"/>
              <w:jc w:val="center"/>
            </w:pPr>
            <w:r/>
            <w:r>
              <w:rPr>
                <w:rFonts w:ascii="仿宋_GB2312" w:hAnsi="仿宋_GB2312" w:eastAsia="仿宋_GB2312"/>
                <w:b w:val="0"/>
                <w:color w:val="000000"/>
                <w:sz w:val="32"/>
              </w:rPr>
              <w:t>未披露</w:t>
            </w:r>
          </w:p>
        </w:tc>
      </w:tr>
      <w:tr>
        <w:tc>
          <w:tcPr>
            <w:tcW w:type="dxa" w:w="2268"/>
          </w:tcPr>
          <w:p>
            <w:pPr>
              <w:spacing w:lineRule="exact" w:line="600"/>
              <w:jc w:val="center"/>
            </w:pPr>
            <w:r/>
            <w:r>
              <w:rPr>
                <w:rFonts w:ascii="仿宋_GB2312" w:hAnsi="仿宋_GB2312" w:eastAsia="仿宋_GB2312"/>
                <w:b w:val="0"/>
                <w:color w:val="000000"/>
                <w:sz w:val="32"/>
              </w:rPr>
              <w:t>经营现金流净额</w:t>
            </w:r>
          </w:p>
        </w:tc>
        <w:tc>
          <w:tcPr>
            <w:tcW w:type="dxa" w:w="2154"/>
          </w:tcPr>
          <w:p>
            <w:pPr>
              <w:spacing w:lineRule="exact" w:line="600"/>
              <w:jc w:val="center"/>
            </w:pPr>
            <w:r/>
            <w:r>
              <w:rPr>
                <w:rFonts w:ascii="仿宋_GB2312" w:hAnsi="仿宋_GB2312" w:eastAsia="仿宋_GB2312"/>
                <w:b w:val="0"/>
                <w:color w:val="000000"/>
                <w:sz w:val="32"/>
              </w:rPr>
              <w:t>未披露</w:t>
            </w:r>
          </w:p>
        </w:tc>
        <w:tc>
          <w:tcPr>
            <w:tcW w:type="dxa" w:w="2154"/>
          </w:tcPr>
          <w:p>
            <w:pPr>
              <w:spacing w:lineRule="exact" w:line="600"/>
              <w:jc w:val="center"/>
            </w:pPr>
            <w:r/>
            <w:r>
              <w:rPr>
                <w:rFonts w:ascii="仿宋_GB2312" w:hAnsi="仿宋_GB2312" w:eastAsia="仿宋_GB2312"/>
                <w:b w:val="0"/>
                <w:color w:val="000000"/>
                <w:sz w:val="32"/>
              </w:rPr>
              <w:t>未披露</w:t>
            </w:r>
          </w:p>
        </w:tc>
        <w:tc>
          <w:tcPr>
            <w:tcW w:type="dxa" w:w="2154"/>
          </w:tcPr>
          <w:p>
            <w:pPr>
              <w:spacing w:lineRule="exact" w:line="600"/>
              <w:jc w:val="center"/>
            </w:pPr>
            <w:r/>
            <w:r>
              <w:rPr>
                <w:rFonts w:ascii="仿宋_GB2312" w:hAnsi="仿宋_GB2312" w:eastAsia="仿宋_GB2312"/>
                <w:b w:val="0"/>
                <w:color w:val="000000"/>
                <w:sz w:val="32"/>
              </w:rPr>
              <w:t>未披露</w:t>
            </w:r>
          </w:p>
        </w:tc>
      </w:tr>
      <w:tr>
        <w:tc>
          <w:tcPr>
            <w:tcW w:type="dxa" w:w="2268"/>
          </w:tcPr>
          <w:p>
            <w:pPr>
              <w:spacing w:lineRule="exact" w:line="600"/>
              <w:jc w:val="center"/>
            </w:pPr>
            <w:r/>
            <w:r>
              <w:rPr>
                <w:rFonts w:ascii="仿宋_GB2312" w:hAnsi="仿宋_GB2312" w:eastAsia="仿宋_GB2312"/>
                <w:b w:val="0"/>
                <w:color w:val="000000"/>
                <w:sz w:val="32"/>
              </w:rPr>
              <w:t>产能(万套/年)</w:t>
            </w:r>
          </w:p>
        </w:tc>
        <w:tc>
          <w:tcPr>
            <w:tcW w:type="dxa" w:w="2154"/>
          </w:tcPr>
          <w:p>
            <w:pPr>
              <w:spacing w:lineRule="exact" w:line="600"/>
              <w:jc w:val="center"/>
            </w:pPr>
            <w:r/>
            <w:r>
              <w:rPr>
                <w:rFonts w:ascii="仿宋_GB2312" w:hAnsi="仿宋_GB2312" w:eastAsia="仿宋_GB2312"/>
                <w:b w:val="0"/>
                <w:color w:val="000000"/>
                <w:sz w:val="32"/>
              </w:rPr>
              <w:t>—</w:t>
            </w:r>
          </w:p>
        </w:tc>
        <w:tc>
          <w:tcPr>
            <w:tcW w:type="dxa" w:w="2154"/>
          </w:tcPr>
          <w:p>
            <w:pPr>
              <w:spacing w:lineRule="exact" w:line="600"/>
              <w:jc w:val="center"/>
            </w:pPr>
            <w:r/>
            <w:r>
              <w:rPr>
                <w:rFonts w:ascii="仿宋_GB2312" w:hAnsi="仿宋_GB2312" w:eastAsia="仿宋_GB2312"/>
                <w:b w:val="0"/>
                <w:color w:val="000000"/>
                <w:sz w:val="32"/>
              </w:rPr>
              <w:t>约59.0</w:t>
            </w:r>
          </w:p>
        </w:tc>
        <w:tc>
          <w:tcPr>
            <w:tcW w:type="dxa" w:w="2154"/>
          </w:tcPr>
          <w:p>
            <w:pPr>
              <w:spacing w:lineRule="exact" w:line="600"/>
              <w:jc w:val="center"/>
            </w:pPr>
            <w:r/>
            <w:r>
              <w:rPr>
                <w:rFonts w:ascii="仿宋_GB2312" w:hAnsi="仿宋_GB2312" w:eastAsia="仿宋_GB2312"/>
                <w:b w:val="0"/>
                <w:color w:val="000000"/>
                <w:sz w:val="32"/>
              </w:rPr>
              <w:t>84.6</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司营收由2022年37.91亿元回升至2023年44.22亿元（+16.6%），归母净利润由-732.52万元扭亏至2.48亿元，盈利修复明显，主要得益于大宗客户结构优化（转向央企地产）、减值计提出清及成本费用管控。但定制家居行业整体毛利率受大宗业务占比高、竞争加剧影响处于中等水平，需关注后续盈利稳定性。</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公司未公开披露挂牌前完整资产结构。作为制造+零售型企业，资产以存货、应收款项（大宗业务形成）、固定资产（四大基地厂房设备）为主；大宗业务占比高使应收款项规模较大，是资产质量关注重点。</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完整负债数据未公开披露。大宗业务形成的应付账款及合同负债、银行借款为主要负债来源；公司2022年因地产客户信用风险计提大额坏账，提示需强化应收与流动性管理。挂牌新三板后融资渠道拓宽，有助于优化资本结构。</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经营现金流数据挂牌前未充分披露。大宗业务回款周期长、占用营运资金，是公司现金流的主要波动源；2023年扭亏为盈后经营质量改善，但需持续跟踪应收回款节奏。</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欧派家居、索菲亚、志邦家居等已上市公司相比，有屋智能营收规模（44亿元）处第二梯队，品牌（博洛尼+海尔/有屋）与生态（少海汇、海尔智家协同）构成差异化优势；但大宗业务占比偏高、盈利受地产周期掣肘，需提升直营与经销比重以改善盈利质量与现金流。</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新三板挂牌公众公司，设立股东会、董事会、监事会及经营管理层，治理规范并接受全国股转公司监管；作为海尔集团实际控制企业，重大决策体现产业集团战略意图。曾冲击创业板IPO并形成较规范的内控与信息披露体系。</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法定代表人刘斥（公司创始人式股东代表），总经理廉景进（公开采访中主导智能产品战略）；核心管理团队具备家电与家居跨界背景，深度绑定海尔集团资源。</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建立了覆盖研发、采购、生产、销售、安装及售后的全流程管控体系，通过ISO等质量与环保管理体系认证；大宗业务风控与应收账款管理为内控重点。</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股份公司口径2025年年报参保约44人（大量生产与销售人员分布于子公司及基地）；公司重视研发与设计人才，整合外部设计师资源，研发与原创设计能力构成产品差异化基础。</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产业集团背书与生态协同：海尔集团（实控人）在品牌、渠道、供应链与资本上给予强力支持，并与海尔智家"三翼鸟""卡萨帝"深度协同，形成"家电+家居"一站式解决方案壁垒。二是品牌矩阵：整合博洛尼（高端）、海尔/有屋（中高端时尚）双品牌，覆盖多层客群，2024年品牌价值193.51亿元。三是技术与专利：累计专利逾670项（发明37、实用新型453、外观187），智能物联技术行业领先。四是规模与产能：四大基地、84.6万套/年产能，居定制家居第二梯队。五是渠道网络：833家经销商、1,274家门店及线上渠道，触达广泛。</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地产周期风险（重点）：公司大宗业务占比超五成，与房地产竣工及开发商流动性高度相关，2022年即因客户信用风险计提坏账致亏；应对为优化客户结构、转向央企地产并强化信用管理。二是盈利与毛利风险：行业竞争加剧、大宗占比高挤压毛利，需提升直营经销与高毛利智能产品比重。三是应收账款与现金流风险：公开信息显示公司涉诉较多（开庭公告、买卖合同纠纷等），需加强回款与合同管理。四是客户集中度风险：大宗客户相对集中，单客户风险需分散。五是股权与资本运作风险：曾撤单创业板，现挂牌新三板，后续北交所预期存在不确定性。</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大宗业务形成的大规模应收账款（尤其央企地产客户应收）适合开展有追索/无追索保理，盘活资金、改善现金流，是切入首选。供应链金融：围绕核心企业为其上游板材、五金、台面等供应商提供订单融资、票据贴现，服务链条中小配套企业。融资租赁：四大基地扩产及智能生产线设备投资适合以新购设备直租/回租。小贷：面向经销商与临时周转提供短贷。鉴于公司背靠海尔、资质优良、处扩张期，可作为重点客户，但须以完整财报披露与应收质量核查为前提，绑定优质央企应收开展保理。</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有屋智能是胶州智慧家居制造产业集群的链主级企业、国内智能化定制家居领军者，背靠海尔集团、品牌与生态优势突出、产能与专利扎实，但大宗业务占比高、盈利受地产周期影响、2022年曾亏损、涉诉较多。发展展望：据公司规划与行业趋势（2025年智能家居市场规模有望破8,000亿元），公司将继续扩产、提升直营经销比重、深化智能场景方案，并有望依托新三板谋求北交所上市。建议：一是对接央企地产应收账款保理与设备融资租赁；二是授信前补充规范财务资料并评估应收质量；三是关注地产周期与回款风险，设置动态信用监测；四是探索与山东投资在家居产业链供应链金融的合作。</w:t>
      </w:r>
    </w:p>
    <w:p>
      <w:pPr>
        <w:spacing w:lineRule="exact" w:line="600" w:before="0" w:after="0"/>
        <w:jc w:val="left"/>
      </w:pPr>
      <w:r>
        <w:rPr>
          <w:rFonts w:ascii="仿宋_GB2312" w:hAnsi="仿宋_GB2312" w:eastAsia="仿宋_GB2312"/>
          <w:b w:val="0"/>
          <w:color w:val="000000"/>
          <w:sz w:val="28"/>
        </w:rPr>
        <w:t>数据来源说明：全国中小企业股份转让系统（有屋智能874535.NQ公开转让说明书及挂牌公告）、经济导报/山东国资报道、21世纪经济报道、凤凰网、腾讯新闻、天眼查/爱企查（工商股权）、公司官网。财务数据以公开转让说明书披露口径为准，完整三表未充分公开部分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