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青岛市胶州市智能控制元器件产业集群</w:t>
      </w:r>
    </w:p>
    <w:p>
      <w:pPr>
        <w:spacing w:lineRule="exact" w:line="600" w:before="240" w:after="240"/>
        <w:ind w:firstLine="0"/>
        <w:jc w:val="center"/>
      </w:pPr>
      <w:r>
        <w:rPr>
          <w:rFonts w:ascii="方正小标宋简体" w:hAnsi="方正小标宋简体" w:eastAsia="方正小标宋简体"/>
          <w:b w:val="0"/>
          <w:color w:val="000000"/>
          <w:sz w:val="44"/>
        </w:rPr>
        <w:t>青岛丰光精密机械股份有限公司企业分析报告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启信宝、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丰光精密机械股份有限公司成立于2001年7月19日，法定代表人李军，统一社会信用代码91370200727827228T，企业类型为股份有限公司（外商投资、上市），注册资本18,400.5129万元（实缴18,400.5129万元），注册地址位于青岛市胶州市上合示范区湘江路78号（一照多址），登记机关为青岛市市场监督管理局，经营状态为存续，股票代码920510.BJ（原新三板430510，2021年平移至北交所）。</w:t>
      </w:r>
    </w:p>
    <w:p>
      <w:pPr>
        <w:spacing w:lineRule="exact" w:line="600" w:before="0" w:after="0"/>
        <w:ind w:firstLine="420"/>
        <w:jc w:val="both"/>
      </w:pPr>
      <w:r>
        <w:rPr>
          <w:rFonts w:ascii="仿宋_GB2312" w:hAnsi="仿宋_GB2312" w:eastAsia="仿宋_GB2312"/>
          <w:b w:val="0"/>
          <w:color w:val="000000"/>
          <w:sz w:val="32"/>
        </w:rPr>
        <w:t>股权结构：控股股东为青岛丰光投资管理有限公司，持股55.70%；穿透后实际控制人为自然人李军，合计持股约60.16%（李军持有青岛丰光投资100%股权，并通过鼎盛全投资平台持股）。其他重要股东包括青岛鼎盛全投资企业（有限合伙，8.91%）、光洋技研株式会社（日本，3.58%）等。公司为民营控股的上市公众公司，无国有出资人。2025年合并报表员工533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会（董事长李军、总经理李伟、董事王学良等）、监事会及经营管理层；业务涵盖精密机械加工件、压铸件及谐波减速器的研发、生产与销售，下设精密加工、压铸、谐波减速器等业务单元，并在美国设有控股子公司FGA Technologies, Inc.作为海外业务平台。2026年6月公司拟以1.122亿元收购北京唯实深蓝科技有限公司51%股权，延伸惯性导航产业链。</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2001年7月公司成立（曾用名青岛丰光精密机械有限公司）；2014年完成股份制改造；2015年挂牌新三板（430510），2021年平移至北交所（920510）；长期深耕精密机械加工与压铸制造，多次获评国家级高新技术企业、国家级专精特新“小巨人”企业、山东省企业技术中心、第七批山东省制造业单项冠军企业、青岛市制造业中小企业“隐形冠军”等。2024年上合工厂主体竣工验收并逐步投产，谐波减速器完成全系列齿形设计、具备量产条件。</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以精密机械加工和压铸制造为核心的精密零部件“专精特新”企业，并战略布局谐波减速器这一机器人核心零部件。主营业务为精密机械加工件、压铸件等金属零部件的研发、生产与销售，并为客户提供精密机械零部件定制加工服务；产品广泛应用于半导体、工业自动化、汽车零部件、轨道交通等领域。谐波减速器主要用于工业机器人、数控机床、半导体设备、人形机器人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业务由精密机械加工件、压铸件两大传统板块，以及谐波减速器新兴板块构成。传统精密零部件为收入基本盘，谐波减速器尚处于小批量量产导入期、暂未形成规模化收入。公司未公开披露分产品收入占比。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要产品包括精密轴承及电机轴、各类精密机械零部件、铝合金及锌合金压铸件，以及自主研发的谐波减速器。谐波减速器已完成全系列齿形设计并通过内部技术验证，具备量产条件，应用于工业机器人、数控机床、半导体设备、人形机器人等，是公司规划的第二增长曲线。</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均为细分行业知名制造商，合作关系长期稳定，包括蒂业技凯（THK）、安川电机（YASKAWA）、埃地沃兹（Edwards）、山洋电机（SANYO）、盖茨集团（Gates）、中国中车、阿尔斯通（ALSTOM）、费斯托（Festo）、依诺信（item）、毕勤（BITRON）、均胜电子（Joyson）、尼得科（Nidec）、岱高（DAYCO）、凯斯纽荷兰（CNH）、富士电机、阿特拉斯（Atlas）等，客户质地优良、绑定较深。</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生产所需铝/锌合金材料及精密刀具、设备备件为主要采购对象，原料价格随有色金属行情波动；公司通过长期合作供应体系稳定采购成本。</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位于胶州上合示范区，2024年上合工厂主体竣工验收并逐步投产，显著扩充精密产品产能；持有国家级高新技术企业、国家级专精特新“小巨人”、山东省企业技术中心、山东省制造业单项冠军、青岛市工程研究中心等资质；截至2024年末有效专利168项（其中发明专利11项、实用新型157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以直销对接下游知名制造商为主，提供定制加工与同步开发服务；通过美国子公司FGA Technologies拓展海外业务；谐波减速器目前以送样、小批量订单方式对接潜在客户。</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2024年营业收入2.32亿元（同比+10.09%）；2025年营业收入约2.10亿元。公司未公开披露细分产品市场占有率。谐波减速器完成全系列设计、获部分小批量订单，产业化尚处早期；在精密零部件加工领域凭借优质客户群与“小巨人”资质占据稳定细分地位。</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青岛丰光精密为北交所上市公司（920510.BJ），财务数据来自2023、2024年年度报告及2025年年度业绩摘要，单位：万元（营业总收入/净利润为合并口径）。</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154"/>
          </w:tcPr>
          <w:p>
            <w:pPr>
              <w:spacing w:lineRule="exact" w:line="600"/>
              <w:jc w:val="center"/>
            </w:pPr>
            <w:r/>
            <w:r>
              <w:rPr>
                <w:rFonts w:ascii="黑体" w:hAnsi="黑体" w:eastAsia="黑体"/>
                <w:b/>
                <w:color w:val="000000"/>
                <w:sz w:val="32"/>
              </w:rPr>
              <w:t>指标</w:t>
            </w:r>
          </w:p>
        </w:tc>
        <w:tc>
          <w:tcPr>
            <w:tcW w:type="dxa" w:w="2211"/>
          </w:tcPr>
          <w:p>
            <w:pPr>
              <w:spacing w:lineRule="exact" w:line="600"/>
              <w:jc w:val="center"/>
            </w:pPr>
            <w:r/>
            <w:r>
              <w:rPr>
                <w:rFonts w:ascii="黑体" w:hAnsi="黑体" w:eastAsia="黑体"/>
                <w:b/>
                <w:color w:val="000000"/>
                <w:sz w:val="32"/>
              </w:rPr>
              <w:t>2023年</w:t>
            </w:r>
          </w:p>
        </w:tc>
        <w:tc>
          <w:tcPr>
            <w:tcW w:type="dxa" w:w="2211"/>
          </w:tcPr>
          <w:p>
            <w:pPr>
              <w:spacing w:lineRule="exact" w:line="600"/>
              <w:jc w:val="center"/>
            </w:pPr>
            <w:r/>
            <w:r>
              <w:rPr>
                <w:rFonts w:ascii="黑体" w:hAnsi="黑体" w:eastAsia="黑体"/>
                <w:b/>
                <w:color w:val="000000"/>
                <w:sz w:val="32"/>
              </w:rPr>
              <w:t>2024年</w:t>
            </w:r>
          </w:p>
        </w:tc>
        <w:tc>
          <w:tcPr>
            <w:tcW w:type="dxa" w:w="2211"/>
          </w:tcPr>
          <w:p>
            <w:pPr>
              <w:spacing w:lineRule="exact" w:line="600"/>
              <w:jc w:val="center"/>
            </w:pPr>
            <w:r/>
            <w:r>
              <w:rPr>
                <w:rFonts w:ascii="黑体" w:hAnsi="黑体" w:eastAsia="黑体"/>
                <w:b/>
                <w:color w:val="000000"/>
                <w:sz w:val="32"/>
              </w:rPr>
              <w:t>2025年</w:t>
            </w:r>
          </w:p>
        </w:tc>
      </w:tr>
      <w:tr>
        <w:tc>
          <w:tcPr>
            <w:tcW w:type="dxa" w:w="2154"/>
          </w:tcPr>
          <w:p>
            <w:pPr>
              <w:spacing w:lineRule="exact" w:line="600"/>
              <w:jc w:val="center"/>
            </w:pPr>
            <w:r/>
            <w:r>
              <w:rPr>
                <w:rFonts w:ascii="仿宋_GB2312" w:hAnsi="仿宋_GB2312" w:eastAsia="仿宋_GB2312"/>
                <w:b w:val="0"/>
                <w:color w:val="000000"/>
                <w:sz w:val="32"/>
              </w:rPr>
              <w:t>营业收入</w:t>
            </w:r>
          </w:p>
        </w:tc>
        <w:tc>
          <w:tcPr>
            <w:tcW w:type="dxa" w:w="2211"/>
          </w:tcPr>
          <w:p>
            <w:pPr>
              <w:spacing w:lineRule="exact" w:line="600"/>
              <w:jc w:val="center"/>
            </w:pPr>
            <w:r/>
            <w:r>
              <w:rPr>
                <w:rFonts w:ascii="仿宋_GB2312" w:hAnsi="仿宋_GB2312" w:eastAsia="仿宋_GB2312"/>
                <w:b w:val="0"/>
                <w:color w:val="000000"/>
                <w:sz w:val="32"/>
              </w:rPr>
              <w:t>约21,100</w:t>
            </w:r>
          </w:p>
        </w:tc>
        <w:tc>
          <w:tcPr>
            <w:tcW w:type="dxa" w:w="2211"/>
          </w:tcPr>
          <w:p>
            <w:pPr>
              <w:spacing w:lineRule="exact" w:line="600"/>
              <w:jc w:val="center"/>
            </w:pPr>
            <w:r/>
            <w:r>
              <w:rPr>
                <w:rFonts w:ascii="仿宋_GB2312" w:hAnsi="仿宋_GB2312" w:eastAsia="仿宋_GB2312"/>
                <w:b w:val="0"/>
                <w:color w:val="000000"/>
                <w:sz w:val="32"/>
              </w:rPr>
              <w:t>23,238.94</w:t>
            </w:r>
          </w:p>
        </w:tc>
        <w:tc>
          <w:tcPr>
            <w:tcW w:type="dxa" w:w="2211"/>
          </w:tcPr>
          <w:p>
            <w:pPr>
              <w:spacing w:lineRule="exact" w:line="600"/>
              <w:jc w:val="center"/>
            </w:pPr>
            <w:r/>
            <w:r>
              <w:rPr>
                <w:rFonts w:ascii="仿宋_GB2312" w:hAnsi="仿宋_GB2312" w:eastAsia="仿宋_GB2312"/>
                <w:b w:val="0"/>
                <w:color w:val="000000"/>
                <w:sz w:val="32"/>
              </w:rPr>
              <w:t>约21,000</w:t>
            </w:r>
          </w:p>
        </w:tc>
      </w:tr>
      <w:tr>
        <w:tc>
          <w:tcPr>
            <w:tcW w:type="dxa" w:w="2154"/>
          </w:tcPr>
          <w:p>
            <w:pPr>
              <w:spacing w:lineRule="exact" w:line="600"/>
              <w:jc w:val="center"/>
            </w:pPr>
            <w:r/>
            <w:r>
              <w:rPr>
                <w:rFonts w:ascii="仿宋_GB2312" w:hAnsi="仿宋_GB2312" w:eastAsia="仿宋_GB2312"/>
                <w:b w:val="0"/>
                <w:color w:val="000000"/>
                <w:sz w:val="32"/>
              </w:rPr>
              <w:t>归母净利润</w:t>
            </w:r>
          </w:p>
        </w:tc>
        <w:tc>
          <w:tcPr>
            <w:tcW w:type="dxa" w:w="2211"/>
          </w:tcPr>
          <w:p>
            <w:pPr>
              <w:spacing w:lineRule="exact" w:line="600"/>
              <w:jc w:val="center"/>
            </w:pPr>
            <w:r/>
            <w:r>
              <w:rPr>
                <w:rFonts w:ascii="仿宋_GB2312" w:hAnsi="仿宋_GB2312" w:eastAsia="仿宋_GB2312"/>
                <w:b w:val="0"/>
                <w:color w:val="000000"/>
                <w:sz w:val="32"/>
              </w:rPr>
              <w:t>3,557.57</w:t>
            </w:r>
          </w:p>
        </w:tc>
        <w:tc>
          <w:tcPr>
            <w:tcW w:type="dxa" w:w="2211"/>
          </w:tcPr>
          <w:p>
            <w:pPr>
              <w:spacing w:lineRule="exact" w:line="600"/>
              <w:jc w:val="center"/>
            </w:pPr>
            <w:r/>
            <w:r>
              <w:rPr>
                <w:rFonts w:ascii="仿宋_GB2312" w:hAnsi="仿宋_GB2312" w:eastAsia="仿宋_GB2312"/>
                <w:b w:val="0"/>
                <w:color w:val="000000"/>
                <w:sz w:val="32"/>
              </w:rPr>
              <w:t>2,105.68</w:t>
            </w:r>
          </w:p>
        </w:tc>
        <w:tc>
          <w:tcPr>
            <w:tcW w:type="dxa" w:w="2211"/>
          </w:tcPr>
          <w:p>
            <w:pPr>
              <w:spacing w:lineRule="exact" w:line="600"/>
              <w:jc w:val="center"/>
            </w:pPr>
            <w:r/>
            <w:r>
              <w:rPr>
                <w:rFonts w:ascii="仿宋_GB2312" w:hAnsi="仿宋_GB2312" w:eastAsia="仿宋_GB2312"/>
                <w:b w:val="0"/>
                <w:color w:val="000000"/>
                <w:sz w:val="32"/>
              </w:rPr>
              <w:t>-1,554.92</w:t>
            </w:r>
          </w:p>
        </w:tc>
      </w:tr>
      <w:tr>
        <w:tc>
          <w:tcPr>
            <w:tcW w:type="dxa" w:w="2154"/>
          </w:tcPr>
          <w:p>
            <w:pPr>
              <w:spacing w:lineRule="exact" w:line="600"/>
              <w:jc w:val="center"/>
            </w:pPr>
            <w:r/>
            <w:r>
              <w:rPr>
                <w:rFonts w:ascii="仿宋_GB2312" w:hAnsi="仿宋_GB2312" w:eastAsia="仿宋_GB2312"/>
                <w:b w:val="0"/>
                <w:color w:val="000000"/>
                <w:sz w:val="32"/>
              </w:rPr>
              <w:t>扣非归母净利润</w:t>
            </w:r>
          </w:p>
        </w:tc>
        <w:tc>
          <w:tcPr>
            <w:tcW w:type="dxa" w:w="2211"/>
          </w:tcPr>
          <w:p>
            <w:pPr>
              <w:spacing w:lineRule="exact" w:line="600"/>
              <w:jc w:val="center"/>
            </w:pPr>
            <w:r/>
            <w:r>
              <w:rPr>
                <w:rFonts w:ascii="仿宋_GB2312" w:hAnsi="仿宋_GB2312" w:eastAsia="仿宋_GB2312"/>
                <w:b w:val="0"/>
                <w:color w:val="000000"/>
                <w:sz w:val="32"/>
              </w:rPr>
              <w:t>—</w:t>
            </w:r>
          </w:p>
        </w:tc>
        <w:tc>
          <w:tcPr>
            <w:tcW w:type="dxa" w:w="2211"/>
          </w:tcPr>
          <w:p>
            <w:pPr>
              <w:spacing w:lineRule="exact" w:line="600"/>
              <w:jc w:val="center"/>
            </w:pPr>
            <w:r/>
            <w:r>
              <w:rPr>
                <w:rFonts w:ascii="仿宋_GB2312" w:hAnsi="仿宋_GB2312" w:eastAsia="仿宋_GB2312"/>
                <w:b w:val="0"/>
                <w:color w:val="000000"/>
                <w:sz w:val="32"/>
              </w:rPr>
              <w:t>1,984.41</w:t>
            </w:r>
          </w:p>
        </w:tc>
        <w:tc>
          <w:tcPr>
            <w:tcW w:type="dxa" w:w="2211"/>
          </w:tcPr>
          <w:p>
            <w:pPr>
              <w:spacing w:lineRule="exact" w:line="600"/>
              <w:jc w:val="center"/>
            </w:pPr>
            <w:r/>
            <w:r>
              <w:rPr>
                <w:rFonts w:ascii="仿宋_GB2312" w:hAnsi="仿宋_GB2312" w:eastAsia="仿宋_GB2312"/>
                <w:b w:val="0"/>
                <w:color w:val="000000"/>
                <w:sz w:val="32"/>
              </w:rPr>
              <w:t>—</w:t>
            </w:r>
          </w:p>
        </w:tc>
      </w:tr>
      <w:tr>
        <w:tc>
          <w:tcPr>
            <w:tcW w:type="dxa" w:w="2154"/>
          </w:tcPr>
          <w:p>
            <w:pPr>
              <w:spacing w:lineRule="exact" w:line="600"/>
              <w:jc w:val="center"/>
            </w:pPr>
            <w:r/>
            <w:r>
              <w:rPr>
                <w:rFonts w:ascii="仿宋_GB2312" w:hAnsi="仿宋_GB2312" w:eastAsia="仿宋_GB2312"/>
                <w:b w:val="0"/>
                <w:color w:val="000000"/>
                <w:sz w:val="32"/>
              </w:rPr>
              <w:t>销售毛利率</w:t>
            </w:r>
          </w:p>
        </w:tc>
        <w:tc>
          <w:tcPr>
            <w:tcW w:type="dxa" w:w="2211"/>
          </w:tcPr>
          <w:p>
            <w:pPr>
              <w:spacing w:lineRule="exact" w:line="600"/>
              <w:jc w:val="center"/>
            </w:pPr>
            <w:r/>
            <w:r>
              <w:rPr>
                <w:rFonts w:ascii="仿宋_GB2312" w:hAnsi="仿宋_GB2312" w:eastAsia="仿宋_GB2312"/>
                <w:b w:val="0"/>
                <w:color w:val="000000"/>
                <w:sz w:val="32"/>
              </w:rPr>
              <w:t>未单列</w:t>
            </w:r>
          </w:p>
        </w:tc>
        <w:tc>
          <w:tcPr>
            <w:tcW w:type="dxa" w:w="2211"/>
          </w:tcPr>
          <w:p>
            <w:pPr>
              <w:spacing w:lineRule="exact" w:line="600"/>
              <w:jc w:val="center"/>
            </w:pPr>
            <w:r/>
            <w:r>
              <w:rPr>
                <w:rFonts w:ascii="仿宋_GB2312" w:hAnsi="仿宋_GB2312" w:eastAsia="仿宋_GB2312"/>
                <w:b w:val="0"/>
                <w:color w:val="000000"/>
                <w:sz w:val="32"/>
              </w:rPr>
              <w:t>36.31%</w:t>
            </w:r>
          </w:p>
        </w:tc>
        <w:tc>
          <w:tcPr>
            <w:tcW w:type="dxa" w:w="2211"/>
          </w:tcPr>
          <w:p>
            <w:pPr>
              <w:spacing w:lineRule="exact" w:line="600"/>
              <w:jc w:val="center"/>
            </w:pPr>
            <w:r/>
            <w:r>
              <w:rPr>
                <w:rFonts w:ascii="仿宋_GB2312" w:hAnsi="仿宋_GB2312" w:eastAsia="仿宋_GB2312"/>
                <w:b w:val="0"/>
                <w:color w:val="000000"/>
                <w:sz w:val="32"/>
              </w:rPr>
              <w:t>未单列</w:t>
            </w:r>
          </w:p>
        </w:tc>
      </w:tr>
      <w:tr>
        <w:tc>
          <w:tcPr>
            <w:tcW w:type="dxa" w:w="2154"/>
          </w:tcPr>
          <w:p>
            <w:pPr>
              <w:spacing w:lineRule="exact" w:line="600"/>
              <w:jc w:val="center"/>
            </w:pPr>
            <w:r/>
            <w:r>
              <w:rPr>
                <w:rFonts w:ascii="仿宋_GB2312" w:hAnsi="仿宋_GB2312" w:eastAsia="仿宋_GB2312"/>
                <w:b w:val="0"/>
                <w:color w:val="000000"/>
                <w:sz w:val="32"/>
              </w:rPr>
              <w:t>资产负债率</w:t>
            </w:r>
          </w:p>
        </w:tc>
        <w:tc>
          <w:tcPr>
            <w:tcW w:type="dxa" w:w="2211"/>
          </w:tcPr>
          <w:p>
            <w:pPr>
              <w:spacing w:lineRule="exact" w:line="600"/>
              <w:jc w:val="center"/>
            </w:pPr>
            <w:r/>
            <w:r>
              <w:rPr>
                <w:rFonts w:ascii="仿宋_GB2312" w:hAnsi="仿宋_GB2312" w:eastAsia="仿宋_GB2312"/>
                <w:b w:val="0"/>
                <w:color w:val="000000"/>
                <w:sz w:val="32"/>
              </w:rPr>
              <w:t>22.25%</w:t>
            </w:r>
          </w:p>
        </w:tc>
        <w:tc>
          <w:tcPr>
            <w:tcW w:type="dxa" w:w="2211"/>
          </w:tcPr>
          <w:p>
            <w:pPr>
              <w:spacing w:lineRule="exact" w:line="600"/>
              <w:jc w:val="center"/>
            </w:pPr>
            <w:r/>
            <w:r>
              <w:rPr>
                <w:rFonts w:ascii="仿宋_GB2312" w:hAnsi="仿宋_GB2312" w:eastAsia="仿宋_GB2312"/>
                <w:b w:val="0"/>
                <w:color w:val="000000"/>
                <w:sz w:val="32"/>
              </w:rPr>
              <w:t>31.39%</w:t>
            </w:r>
          </w:p>
        </w:tc>
        <w:tc>
          <w:tcPr>
            <w:tcW w:type="dxa" w:w="2211"/>
          </w:tcPr>
          <w:p>
            <w:pPr>
              <w:spacing w:lineRule="exact" w:line="600"/>
              <w:jc w:val="center"/>
            </w:pPr>
            <w:r/>
            <w:r>
              <w:rPr>
                <w:rFonts w:ascii="仿宋_GB2312" w:hAnsi="仿宋_GB2312" w:eastAsia="仿宋_GB2312"/>
                <w:b w:val="0"/>
                <w:color w:val="000000"/>
                <w:sz w:val="32"/>
              </w:rPr>
              <w:t>27.85%</w:t>
            </w:r>
          </w:p>
        </w:tc>
      </w:tr>
      <w:tr>
        <w:tc>
          <w:tcPr>
            <w:tcW w:type="dxa" w:w="2154"/>
          </w:tcPr>
          <w:p>
            <w:pPr>
              <w:spacing w:lineRule="exact" w:line="600"/>
              <w:jc w:val="center"/>
            </w:pPr>
            <w:r/>
            <w:r>
              <w:rPr>
                <w:rFonts w:ascii="仿宋_GB2312" w:hAnsi="仿宋_GB2312" w:eastAsia="仿宋_GB2312"/>
                <w:b w:val="0"/>
                <w:color w:val="000000"/>
                <w:sz w:val="32"/>
              </w:rPr>
              <w:t>经营现金流净额</w:t>
            </w:r>
          </w:p>
        </w:tc>
        <w:tc>
          <w:tcPr>
            <w:tcW w:type="dxa" w:w="2211"/>
          </w:tcPr>
          <w:p>
            <w:pPr>
              <w:spacing w:lineRule="exact" w:line="600"/>
              <w:jc w:val="center"/>
            </w:pPr>
            <w:r/>
            <w:r>
              <w:rPr>
                <w:rFonts w:ascii="仿宋_GB2312" w:hAnsi="仿宋_GB2312" w:eastAsia="仿宋_GB2312"/>
                <w:b w:val="0"/>
                <w:color w:val="000000"/>
                <w:sz w:val="32"/>
              </w:rPr>
              <w:t>未单列</w:t>
            </w:r>
          </w:p>
        </w:tc>
        <w:tc>
          <w:tcPr>
            <w:tcW w:type="dxa" w:w="2211"/>
          </w:tcPr>
          <w:p>
            <w:pPr>
              <w:spacing w:lineRule="exact" w:line="600"/>
              <w:jc w:val="center"/>
            </w:pPr>
            <w:r/>
            <w:r>
              <w:rPr>
                <w:rFonts w:ascii="仿宋_GB2312" w:hAnsi="仿宋_GB2312" w:eastAsia="仿宋_GB2312"/>
                <w:b w:val="0"/>
                <w:color w:val="000000"/>
                <w:sz w:val="32"/>
              </w:rPr>
              <w:t>6,430.84</w:t>
            </w:r>
          </w:p>
        </w:tc>
        <w:tc>
          <w:tcPr>
            <w:tcW w:type="dxa" w:w="2211"/>
          </w:tcPr>
          <w:p>
            <w:pPr>
              <w:spacing w:lineRule="exact" w:line="600"/>
              <w:jc w:val="center"/>
            </w:pPr>
            <w:r/>
            <w:r>
              <w:rPr>
                <w:rFonts w:ascii="仿宋_GB2312" w:hAnsi="仿宋_GB2312" w:eastAsia="仿宋_GB2312"/>
                <w:b w:val="0"/>
                <w:color w:val="000000"/>
                <w:sz w:val="32"/>
              </w:rPr>
              <w:t>未单列</w:t>
            </w:r>
          </w:p>
        </w:tc>
      </w:tr>
      <w:tr>
        <w:tc>
          <w:tcPr>
            <w:tcW w:type="dxa" w:w="2154"/>
          </w:tcPr>
          <w:p>
            <w:pPr>
              <w:spacing w:lineRule="exact" w:line="600"/>
              <w:jc w:val="center"/>
            </w:pPr>
            <w:r/>
            <w:r>
              <w:rPr>
                <w:rFonts w:ascii="仿宋_GB2312" w:hAnsi="仿宋_GB2312" w:eastAsia="仿宋_GB2312"/>
                <w:b w:val="0"/>
                <w:color w:val="000000"/>
                <w:sz w:val="32"/>
              </w:rPr>
              <w:t>总资产</w:t>
            </w:r>
          </w:p>
        </w:tc>
        <w:tc>
          <w:tcPr>
            <w:tcW w:type="dxa" w:w="2211"/>
          </w:tcPr>
          <w:p>
            <w:pPr>
              <w:spacing w:lineRule="exact" w:line="600"/>
              <w:jc w:val="center"/>
            </w:pPr>
            <w:r/>
            <w:r>
              <w:rPr>
                <w:rFonts w:ascii="仿宋_GB2312" w:hAnsi="仿宋_GB2312" w:eastAsia="仿宋_GB2312"/>
                <w:b w:val="0"/>
                <w:color w:val="000000"/>
                <w:sz w:val="32"/>
              </w:rPr>
              <w:t>—</w:t>
            </w:r>
          </w:p>
        </w:tc>
        <w:tc>
          <w:tcPr>
            <w:tcW w:type="dxa" w:w="2211"/>
          </w:tcPr>
          <w:p>
            <w:pPr>
              <w:spacing w:lineRule="exact" w:line="600"/>
              <w:jc w:val="center"/>
            </w:pPr>
            <w:r/>
            <w:r>
              <w:rPr>
                <w:rFonts w:ascii="仿宋_GB2312" w:hAnsi="仿宋_GB2312" w:eastAsia="仿宋_GB2312"/>
                <w:b w:val="0"/>
                <w:color w:val="000000"/>
                <w:sz w:val="32"/>
              </w:rPr>
              <w:t>58,309.63</w:t>
            </w:r>
          </w:p>
        </w:tc>
        <w:tc>
          <w:tcPr>
            <w:tcW w:type="dxa" w:w="2211"/>
          </w:tcPr>
          <w:p>
            <w:pPr>
              <w:spacing w:lineRule="exact" w:line="600"/>
              <w:jc w:val="center"/>
            </w:pPr>
            <w:r/>
            <w:r>
              <w:rPr>
                <w:rFonts w:ascii="仿宋_GB2312" w:hAnsi="仿宋_GB2312" w:eastAsia="仿宋_GB2312"/>
                <w:b w:val="0"/>
                <w:color w:val="000000"/>
                <w:sz w:val="32"/>
              </w:rPr>
              <w:t>—</w:t>
            </w:r>
          </w:p>
        </w:tc>
      </w:tr>
      <w:tr>
        <w:tc>
          <w:tcPr>
            <w:tcW w:type="dxa" w:w="2154"/>
          </w:tcPr>
          <w:p>
            <w:pPr>
              <w:spacing w:lineRule="exact" w:line="600"/>
              <w:jc w:val="center"/>
            </w:pPr>
            <w:r/>
            <w:r>
              <w:rPr>
                <w:rFonts w:ascii="仿宋_GB2312" w:hAnsi="仿宋_GB2312" w:eastAsia="仿宋_GB2312"/>
                <w:b w:val="0"/>
                <w:color w:val="000000"/>
                <w:sz w:val="32"/>
              </w:rPr>
              <w:t>基本每股收益(元)</w:t>
            </w:r>
          </w:p>
        </w:tc>
        <w:tc>
          <w:tcPr>
            <w:tcW w:type="dxa" w:w="2211"/>
          </w:tcPr>
          <w:p>
            <w:pPr>
              <w:spacing w:lineRule="exact" w:line="600"/>
              <w:jc w:val="center"/>
            </w:pPr>
            <w:r/>
            <w:r>
              <w:rPr>
                <w:rFonts w:ascii="仿宋_GB2312" w:hAnsi="仿宋_GB2312" w:eastAsia="仿宋_GB2312"/>
                <w:b w:val="0"/>
                <w:color w:val="000000"/>
                <w:sz w:val="32"/>
              </w:rPr>
              <w:t>—</w:t>
            </w:r>
          </w:p>
        </w:tc>
        <w:tc>
          <w:tcPr>
            <w:tcW w:type="dxa" w:w="2211"/>
          </w:tcPr>
          <w:p>
            <w:pPr>
              <w:spacing w:lineRule="exact" w:line="600"/>
              <w:jc w:val="center"/>
            </w:pPr>
            <w:r/>
            <w:r>
              <w:rPr>
                <w:rFonts w:ascii="仿宋_GB2312" w:hAnsi="仿宋_GB2312" w:eastAsia="仿宋_GB2312"/>
                <w:b w:val="0"/>
                <w:color w:val="000000"/>
                <w:sz w:val="32"/>
              </w:rPr>
              <w:t>0.1143</w:t>
            </w:r>
          </w:p>
        </w:tc>
        <w:tc>
          <w:tcPr>
            <w:tcW w:type="dxa" w:w="2211"/>
          </w:tcPr>
          <w:p>
            <w:pPr>
              <w:spacing w:lineRule="exact" w:line="600"/>
              <w:jc w:val="center"/>
            </w:pPr>
            <w:r/>
            <w:r>
              <w:rPr>
                <w:rFonts w:ascii="仿宋_GB2312" w:hAnsi="仿宋_GB2312" w:eastAsia="仿宋_GB2312"/>
                <w:b w:val="0"/>
                <w:color w:val="000000"/>
                <w:sz w:val="32"/>
              </w:rPr>
              <w:t>—</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营业收入2024年2.32亿元（同比+10.09%），但归母净利润2,105.68万元（同比-40.81%），盈利下滑主因：上合工厂竣工后新增厂房折旧、项目贷款利息由资本化转费用化、政府补助同比减少619.16万元；2025年营收约2.10亿元、归母净利润转亏至-1,554.92万元。整体毛利率维持在约36%的较高水平，体现精密加工附加值；但费用端压力与补助波动使净利承压。</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2024年末总资产5.83亿元，固定资产（上合工厂）占比提升；资产结构以固定资产与营运资本为主，与精密制造重资产属性匹配。有息负债率73.84%（2024年末），债务以项目贷款为主。</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2024年末资产负债率31.39%（2023年22.25%、2025年27.85%），处制造业合理区间；速动比率0.93、流动比率1.31，短期偿债能力尚可；但上合工厂转固后折旧与利息费用化对利润形成压制，需关注后续产能消化与现金流。</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2024年经营活动现金流净额6,430.84万元（同比+39.25%），销售现金比率27.67%、净利润现金含量305.40%，主营现金流质量稳健；但2025年净利转亏，需持续跟踪回款与资本开支节奏。</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属精密零部件/谐波减速器领域的企业相比，丰光精密营收规模偏小（2亿元级），但毛利率（约36%）显著优于普通机加工企业，客户结构（THK、安川、中车等）优质；谐波减速器布局若顺利量产，有望打开第二曲线，但当前仍处投入期。</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北交所上市公众公司，设董事会、监事会，治理规范，定期披露年报与权益分派；2024年基本每股收益0.1143元。公司建立了较完善的内控与信息披露体系。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董事长李军（实际控制人）；总经理李伟；董事会秘书曲贵斌；董事王学良（兼财务负责人）等。管理层技术与管理背景深厚，主导精密制造与谐波减速器战略。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按上市公众公司要求建立内控与信息披露体系；通过高新技术企业等资质认定，研发与质量管控较规范；2024年研发投入1,462.94万元（占营收6.30%），获青岛市工程研究中心认定。</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2025年合并报表员工533人；拥有专利168项体现较强研发密度，技术人员占比与精密制造匹配。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客户壁垒：绑定THK、安川、中车、阿尔斯通等全球知名制造商，客户认证壁垒高、合作稳定。二是技术与资质：国家级专精特新“小巨人”、山东省制造业单项冠军、省级企业技术中心，168项专利，精密加工工艺领先。三是谐波减速器先发：全系列齿形设计完成、具备量产条件，切入机器人核心零部件国产替代赛道。四是产能与区位：上合工厂投产扩充产能，胶州区位毗邻海尔/尼得科等产业链客户。五是上市平台：北交所融资渠道通畅，利于扩产与并购（如收购唯实深蓝）。</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盈利波动风险：2024年净利下滑40.81%、2025年转亏，受折旧、利息费用化及补助减少拖累；应对为加快上合工厂产能消化、稳定政府补助争取。二是谐波减速器产业化风险：量产良率、客户导入与价格竞争存在不确定性；应对为持续送样验证、小批量迭代。三是客户集中风险：依赖少数知名制造商，订单波动影响大。四是原料与汇率风险：有色金属价格与出口汇率波动影响成本与利润。五是并购整合风险：收购唯实深蓝涉及跨领域整合与业绩对赌，存在不达预期可能。</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THK、安川、中车等客户的应收账款账期较长，可开展保理融资盘活资金。供应链金融：围绕核心客户为其上游原料供应商提供订单融资。融资租赁：上合工厂新增精密加工/压铸设备适合直租/回租，支撑产能爬坡；谐波减速器产线亦可设备融资。小贷：面向临时周转。公司作为北交所“小巨人”、客户优质，尽调成本低，建议以“核心客户应收保理+设备融资租赁”组合切入；收购唯实深蓝带来的资金安排亦可对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丰光精密是胶州智能控制元器件集群的北交所上市“小巨人”，客户优质、技术工艺领先、谐波减速器布局前瞻，但近年盈利承压、处产能与品类扩张投入期。发展展望：据行业趋势与公司规划，工业自动化、半导体及人形机器人商业化加速将拉动精密零部件与谐波减速器需求，上合工厂达产与唯实深蓝并表后成长空间明确。建议：一是对接核心客户应收保理与上合工厂设备融资租赁；二是关注盈利转亏的可持续性，设置动态信用监测；三是跟踪谐波减速器量产进度与收购整合成效。</w:t>
      </w:r>
    </w:p>
    <w:p>
      <w:pPr>
        <w:spacing w:lineRule="exact" w:line="600" w:before="0" w:after="0"/>
        <w:jc w:val="left"/>
      </w:pPr>
      <w:r>
        <w:rPr>
          <w:rFonts w:ascii="仿宋_GB2312" w:hAnsi="仿宋_GB2312" w:eastAsia="仿宋_GB2312"/>
          <w:b w:val="0"/>
          <w:color w:val="000000"/>
          <w:sz w:val="28"/>
        </w:rPr>
        <w:t>数据来源说明：北交所丰光精密（920510）2023/2024年年度报告及2025年业绩摘要、东方财富/同花顺F10、天眼查/爱企查（工商、股权、专利）、上海证券报/中国证券网/格隆汇等公开报道、公司官网 qdfg.cn。</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