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青岛市胶州市电力钢结构产业集群</w:t>
      </w:r>
    </w:p>
    <w:p>
      <w:pPr>
        <w:spacing w:lineRule="exact" w:line="600" w:before="240" w:after="240"/>
        <w:ind w:firstLine="0"/>
        <w:jc w:val="center"/>
      </w:pPr>
      <w:r>
        <w:rPr>
          <w:rFonts w:ascii="方正小标宋简体" w:hAnsi="方正小标宋简体" w:eastAsia="方正小标宋简体"/>
          <w:b w:val="0"/>
          <w:color w:val="000000"/>
          <w:sz w:val="44"/>
        </w:rPr>
        <w:t>青岛东方铁塔股份有限公司企业分析报告</w:t>
      </w:r>
    </w:p>
    <w:p>
      <w:pPr>
        <w:spacing w:lineRule="exact" w:line="600" w:before="0" w:after="0"/>
        <w:jc w:val="left"/>
      </w:pPr>
      <w:r>
        <w:rPr>
          <w:rFonts w:ascii="仿宋_GB2312" w:hAnsi="仿宋_GB2312" w:eastAsia="仿宋_GB2312"/>
          <w:b w:val="0"/>
          <w:color w:val="000000"/>
          <w:sz w:val="28"/>
        </w:rPr>
        <w:t>（本报告数据来源于公司年报/半年报、交易所及港交所公告、巨潮资讯网、东方财富、天眼查/爱企查/企查查、公司官网及权威媒体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青岛东方铁塔股份有限公司前身青岛东方铁塔公司始建于1982年，1996年组建青岛东方铁塔集团有限公司，2000年改制为股份有限公司，2011年2月11日在深圳证券交易所挂牌上市（股票代码002545，股票简称东方铁塔），法定代表人与董事长为韩方如，总经理韩真如，统一社会信用代码91370200169675791C，企业类型为股份有限公司（上市、自然人投资或控股），注册资本124,406.2083万元（实缴同额，总股本1,244,062,083股、每股面值1元），注册地址位于山东省青岛市胶州市广州北路318号，登记机关为青岛市市场监督管理局，经营状态为存续。</w:t>
      </w:r>
    </w:p>
    <w:p>
      <w:pPr>
        <w:spacing w:lineRule="exact" w:line="600" w:before="0" w:after="0"/>
        <w:ind w:firstLine="420"/>
        <w:jc w:val="both"/>
      </w:pPr>
      <w:r>
        <w:rPr>
          <w:rFonts w:ascii="仿宋_GB2312" w:hAnsi="仿宋_GB2312" w:eastAsia="仿宋_GB2312"/>
          <w:b w:val="0"/>
          <w:color w:val="000000"/>
          <w:sz w:val="32"/>
        </w:rPr>
        <w:t>股权结构：公司为自然人投资或控股的民营上市公司，韩方如家族为实际控制人（公开信息显示韩方如、韩真如等家族成员为前十大股东），无国有出资人。公司由单一钢结构制造企业经2016年10月重组四川省汇元达钾肥有限责任公司后，转型为“钢结构+钾肥”双主业上市公司。</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总部位于胶州，在山东青岛和江苏苏州拥有两个大型钢结构生产基地，在北京、上海、广州等地设分支机构，国内主要省份设办事处；钾肥业务通过全资子公司四川省汇元达钾肥有限责任公司之全资子公司老挝开元矿业有限公司运营。设有董事会、管理层及钢结构、钾肥两大业务板块管理体系。</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1982年创立；1996年组建集团；2000年股改；2011年深交所上市；2016年10月完成汇元达钾肥重组，新增氯化钾开采、生产与销售业务，形成双主业；2016年起老挝开元钾肥产能持续扩张，2023年4月150万吨氯化钾项目一期工程（50万吨）达产达标，迈入年产氯化钾100万吨新征程；近年向光伏能源钢结构、工业仓储钢结构、烟气净化钢结构等新市场拓展。</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钢结构制造与钾肥产业并行的双主业上市公司，胶州市电力钢结构产业集群龙头。主营业务：钢结构（电厂钢结构、石化钢结构、民用建筑钢结构）和铁塔类产品（输电线路铁塔、广播电视塔、通信塔）研发、设计、生产、销售和安装；氯化钾的开采、生产和销售（老挝开元矿业）。</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双主业结构：2024年氯化钾收入23.64亿元（占56.33%）、角钢塔8.38亿元（19.97%）、钢结构6.59亿元（15.7%）、钢管塔2.83亿元（6.76%）、溴化钠等其他0.67%；钾肥已成为第一大收入来源，钢结构与铁塔构成传统基本盘。2025年化工收入32.34亿元（66.28%）、制造业16.00亿元（32.79%）。</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要产品：氯化钾（粉状及颗粒）、溴化钠（钾肥板块）；角钢塔、钢管塔、钢管杆、变电架构等输电线路铁塔，广播电视塔、通信塔，电厂/石化/民用建筑钢结构，热浸镀锌防腐业务；并拓展光伏能源钢结构、工业仓储钢结构、烟气净化钢结构。是国内能生产最高电压等级1,000kV输电线路铁塔的企业之一。</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钢结构与铁塔客户以国家电网、南方电网及大型电力、广电、石化、通信企业为主，在国家电网、南方电网总部输电线路铁塔招标采购中市场份额居前列；钾肥客户为化肥经销商与农资企业，产品销往中国及印度、越南、泰国、马来西亚、新加坡等东南亚国家。</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钢结构业务所需钢材为主要采购对象，钢材成本占铁塔制造成本大头，受钢价波动影响；钾肥业务以老挝钾盐矿自采为主，成本主要为开采与运输。</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钢结构：青岛基地占地900余亩、厂房50多万平米，总资产近80亿元，年产能可达60万吨；资质含房屋建筑工程施工总承包壹级、钢结构工程专业承包壹级、中国钢结构协会钢结构制造企业特级资质、特种设备制造许可证、输电线路750kV/1,000kV生产许可证。钾肥：老挝开元拥有141平方公里钾盐矿开采权，西段41.69平方公里矿区氯化钾资源储量21,763.10万吨；2023年4月迈上年产100万吨氯化钾。</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以国网/南网集中招标直销为主，辅以电厂、石化、广电等工程直销；钾肥通过经销商网络销往国内外，并依托老挝地缘优势辐射东南亚。</w:t>
      </w:r>
    </w:p>
    <w:p>
      <w:pPr>
        <w:spacing w:lineRule="exact" w:line="600" w:before="120" w:after="120"/>
        <w:ind w:firstLine="420"/>
        <w:jc w:val="left"/>
      </w:pPr>
      <w:r>
        <w:rPr>
          <w:rFonts w:ascii="楷体_GB2312" w:hAnsi="楷体_GB2312" w:eastAsia="楷体_GB2312"/>
          <w:b w:val="0"/>
          <w:color w:val="000000"/>
          <w:sz w:val="32"/>
        </w:rPr>
        <w:t>（七）经营数据和市场占有率</w:t>
      </w:r>
    </w:p>
    <w:p>
      <w:pPr>
        <w:spacing w:lineRule="exact" w:line="600" w:before="0" w:after="0"/>
        <w:ind w:firstLine="420"/>
        <w:jc w:val="both"/>
      </w:pPr>
      <w:r>
        <w:rPr>
          <w:rFonts w:ascii="仿宋_GB2312" w:hAnsi="仿宋_GB2312" w:eastAsia="仿宋_GB2312"/>
          <w:b w:val="0"/>
          <w:color w:val="000000"/>
          <w:sz w:val="32"/>
        </w:rPr>
        <w:t>据年报：2024年氯化钾产量120.22万吨（同比+35%）、销量121.30万吨（同比+39%），市场占有率、毛利水平稳步上升；溴化钠在国内市场打开新局面。钢结构业务在电厂厂房钢结构及空冷平台、广播电视通讯塔及微波塔市场居行业龙头，输电线路铁塔及变电站架构居行业前列。2024年员工1,945人。</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东方铁塔为A股上市公司（002545），财务数据来自2023、2024年年报及2025年年报，单位：亿元。</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154"/>
          </w:tcPr>
          <w:p>
            <w:pPr>
              <w:spacing w:lineRule="exact" w:line="600"/>
              <w:jc w:val="center"/>
            </w:pPr>
            <w:r/>
            <w:r>
              <w:rPr>
                <w:rFonts w:ascii="黑体" w:hAnsi="黑体" w:eastAsia="黑体"/>
                <w:b/>
                <w:color w:val="000000"/>
                <w:sz w:val="32"/>
              </w:rPr>
              <w:t>指标</w:t>
            </w:r>
          </w:p>
        </w:tc>
        <w:tc>
          <w:tcPr>
            <w:tcW w:type="dxa" w:w="2041"/>
          </w:tcPr>
          <w:p>
            <w:pPr>
              <w:spacing w:lineRule="exact" w:line="600"/>
              <w:jc w:val="center"/>
            </w:pPr>
            <w:r/>
            <w:r>
              <w:rPr>
                <w:rFonts w:ascii="黑体" w:hAnsi="黑体" w:eastAsia="黑体"/>
                <w:b/>
                <w:color w:val="000000"/>
                <w:sz w:val="32"/>
              </w:rPr>
              <w:t>2023年</w:t>
            </w:r>
          </w:p>
        </w:tc>
        <w:tc>
          <w:tcPr>
            <w:tcW w:type="dxa" w:w="2041"/>
          </w:tcPr>
          <w:p>
            <w:pPr>
              <w:spacing w:lineRule="exact" w:line="600"/>
              <w:jc w:val="center"/>
            </w:pPr>
            <w:r/>
            <w:r>
              <w:rPr>
                <w:rFonts w:ascii="黑体" w:hAnsi="黑体" w:eastAsia="黑体"/>
                <w:b/>
                <w:color w:val="000000"/>
                <w:sz w:val="32"/>
              </w:rPr>
              <w:t>2024年</w:t>
            </w:r>
          </w:p>
        </w:tc>
        <w:tc>
          <w:tcPr>
            <w:tcW w:type="dxa" w:w="2041"/>
          </w:tcPr>
          <w:p>
            <w:pPr>
              <w:spacing w:lineRule="exact" w:line="600"/>
              <w:jc w:val="center"/>
            </w:pPr>
            <w:r/>
            <w:r>
              <w:rPr>
                <w:rFonts w:ascii="黑体" w:hAnsi="黑体" w:eastAsia="黑体"/>
                <w:b/>
                <w:color w:val="000000"/>
                <w:sz w:val="32"/>
              </w:rPr>
              <w:t>2025年</w:t>
            </w:r>
          </w:p>
        </w:tc>
      </w:tr>
      <w:tr>
        <w:tc>
          <w:tcPr>
            <w:tcW w:type="dxa" w:w="2154"/>
          </w:tcPr>
          <w:p>
            <w:pPr>
              <w:spacing w:lineRule="exact" w:line="600"/>
              <w:jc w:val="center"/>
            </w:pPr>
            <w:r/>
            <w:r>
              <w:rPr>
                <w:rFonts w:ascii="仿宋_GB2312" w:hAnsi="仿宋_GB2312" w:eastAsia="仿宋_GB2312"/>
                <w:b w:val="0"/>
                <w:color w:val="000000"/>
                <w:sz w:val="32"/>
              </w:rPr>
              <w:t>营业总收入</w:t>
            </w:r>
          </w:p>
        </w:tc>
        <w:tc>
          <w:tcPr>
            <w:tcW w:type="dxa" w:w="2041"/>
          </w:tcPr>
          <w:p>
            <w:pPr>
              <w:spacing w:lineRule="exact" w:line="600"/>
              <w:jc w:val="center"/>
            </w:pPr>
            <w:r/>
            <w:r>
              <w:rPr>
                <w:rFonts w:ascii="仿宋_GB2312" w:hAnsi="仿宋_GB2312" w:eastAsia="仿宋_GB2312"/>
                <w:b w:val="0"/>
                <w:color w:val="000000"/>
                <w:sz w:val="32"/>
              </w:rPr>
              <w:t>40.04</w:t>
            </w:r>
          </w:p>
        </w:tc>
        <w:tc>
          <w:tcPr>
            <w:tcW w:type="dxa" w:w="2041"/>
          </w:tcPr>
          <w:p>
            <w:pPr>
              <w:spacing w:lineRule="exact" w:line="600"/>
              <w:jc w:val="center"/>
            </w:pPr>
            <w:r/>
            <w:r>
              <w:rPr>
                <w:rFonts w:ascii="仿宋_GB2312" w:hAnsi="仿宋_GB2312" w:eastAsia="仿宋_GB2312"/>
                <w:b w:val="0"/>
                <w:color w:val="000000"/>
                <w:sz w:val="32"/>
              </w:rPr>
              <w:t>41.96</w:t>
            </w:r>
          </w:p>
        </w:tc>
        <w:tc>
          <w:tcPr>
            <w:tcW w:type="dxa" w:w="2041"/>
          </w:tcPr>
          <w:p>
            <w:pPr>
              <w:spacing w:lineRule="exact" w:line="600"/>
              <w:jc w:val="center"/>
            </w:pPr>
            <w:r/>
            <w:r>
              <w:rPr>
                <w:rFonts w:ascii="仿宋_GB2312" w:hAnsi="仿宋_GB2312" w:eastAsia="仿宋_GB2312"/>
                <w:b w:val="0"/>
                <w:color w:val="000000"/>
                <w:sz w:val="32"/>
              </w:rPr>
              <w:t>48.79</w:t>
            </w:r>
          </w:p>
        </w:tc>
      </w:tr>
      <w:tr>
        <w:tc>
          <w:tcPr>
            <w:tcW w:type="dxa" w:w="2154"/>
          </w:tcPr>
          <w:p>
            <w:pPr>
              <w:spacing w:lineRule="exact" w:line="600"/>
              <w:jc w:val="center"/>
            </w:pPr>
            <w:r/>
            <w:r>
              <w:rPr>
                <w:rFonts w:ascii="仿宋_GB2312" w:hAnsi="仿宋_GB2312" w:eastAsia="仿宋_GB2312"/>
                <w:b w:val="0"/>
                <w:color w:val="000000"/>
                <w:sz w:val="32"/>
              </w:rPr>
              <w:t>归母净利润</w:t>
            </w:r>
          </w:p>
        </w:tc>
        <w:tc>
          <w:tcPr>
            <w:tcW w:type="dxa" w:w="2041"/>
          </w:tcPr>
          <w:p>
            <w:pPr>
              <w:spacing w:lineRule="exact" w:line="600"/>
              <w:jc w:val="center"/>
            </w:pPr>
            <w:r/>
            <w:r>
              <w:rPr>
                <w:rFonts w:ascii="仿宋_GB2312" w:hAnsi="仿宋_GB2312" w:eastAsia="仿宋_GB2312"/>
                <w:b w:val="0"/>
                <w:color w:val="000000"/>
                <w:sz w:val="32"/>
              </w:rPr>
              <w:t>6.34</w:t>
            </w:r>
          </w:p>
        </w:tc>
        <w:tc>
          <w:tcPr>
            <w:tcW w:type="dxa" w:w="2041"/>
          </w:tcPr>
          <w:p>
            <w:pPr>
              <w:spacing w:lineRule="exact" w:line="600"/>
              <w:jc w:val="center"/>
            </w:pPr>
            <w:r/>
            <w:r>
              <w:rPr>
                <w:rFonts w:ascii="仿宋_GB2312" w:hAnsi="仿宋_GB2312" w:eastAsia="仿宋_GB2312"/>
                <w:b w:val="0"/>
                <w:color w:val="000000"/>
                <w:sz w:val="32"/>
              </w:rPr>
              <w:t>5.64</w:t>
            </w:r>
          </w:p>
        </w:tc>
        <w:tc>
          <w:tcPr>
            <w:tcW w:type="dxa" w:w="2041"/>
          </w:tcPr>
          <w:p>
            <w:pPr>
              <w:spacing w:lineRule="exact" w:line="600"/>
              <w:jc w:val="center"/>
            </w:pPr>
            <w:r/>
            <w:r>
              <w:rPr>
                <w:rFonts w:ascii="仿宋_GB2312" w:hAnsi="仿宋_GB2312" w:eastAsia="仿宋_GB2312"/>
                <w:b w:val="0"/>
                <w:color w:val="000000"/>
                <w:sz w:val="32"/>
              </w:rPr>
              <w:t>12.06</w:t>
            </w:r>
          </w:p>
        </w:tc>
      </w:tr>
      <w:tr>
        <w:tc>
          <w:tcPr>
            <w:tcW w:type="dxa" w:w="2154"/>
          </w:tcPr>
          <w:p>
            <w:pPr>
              <w:spacing w:lineRule="exact" w:line="600"/>
              <w:jc w:val="center"/>
            </w:pPr>
            <w:r/>
            <w:r>
              <w:rPr>
                <w:rFonts w:ascii="仿宋_GB2312" w:hAnsi="仿宋_GB2312" w:eastAsia="仿宋_GB2312"/>
                <w:b w:val="0"/>
                <w:color w:val="000000"/>
                <w:sz w:val="32"/>
              </w:rPr>
              <w:t>毛利率</w:t>
            </w:r>
          </w:p>
        </w:tc>
        <w:tc>
          <w:tcPr>
            <w:tcW w:type="dxa" w:w="2041"/>
          </w:tcPr>
          <w:p>
            <w:pPr>
              <w:spacing w:lineRule="exact" w:line="600"/>
              <w:jc w:val="center"/>
            </w:pPr>
            <w:r/>
            <w:r>
              <w:rPr>
                <w:rFonts w:ascii="仿宋_GB2312" w:hAnsi="仿宋_GB2312" w:eastAsia="仿宋_GB2312"/>
                <w:b w:val="0"/>
                <w:color w:val="000000"/>
                <w:sz w:val="32"/>
              </w:rPr>
              <w:t>—</w:t>
            </w:r>
          </w:p>
        </w:tc>
        <w:tc>
          <w:tcPr>
            <w:tcW w:type="dxa" w:w="2041"/>
          </w:tcPr>
          <w:p>
            <w:pPr>
              <w:spacing w:lineRule="exact" w:line="600"/>
              <w:jc w:val="center"/>
            </w:pPr>
            <w:r/>
            <w:r>
              <w:rPr>
                <w:rFonts w:ascii="仿宋_GB2312" w:hAnsi="仿宋_GB2312" w:eastAsia="仿宋_GB2312"/>
                <w:b w:val="0"/>
                <w:color w:val="000000"/>
                <w:sz w:val="32"/>
              </w:rPr>
              <w:t>27.38%</w:t>
            </w:r>
          </w:p>
        </w:tc>
        <w:tc>
          <w:tcPr>
            <w:tcW w:type="dxa" w:w="2041"/>
          </w:tcPr>
          <w:p>
            <w:pPr>
              <w:spacing w:lineRule="exact" w:line="600"/>
              <w:jc w:val="center"/>
            </w:pPr>
            <w:r/>
            <w:r>
              <w:rPr>
                <w:rFonts w:ascii="仿宋_GB2312" w:hAnsi="仿宋_GB2312" w:eastAsia="仿宋_GB2312"/>
                <w:b w:val="0"/>
                <w:color w:val="000000"/>
                <w:sz w:val="32"/>
              </w:rPr>
              <w:t>—</w:t>
            </w:r>
          </w:p>
        </w:tc>
      </w:tr>
      <w:tr>
        <w:tc>
          <w:tcPr>
            <w:tcW w:type="dxa" w:w="2154"/>
          </w:tcPr>
          <w:p>
            <w:pPr>
              <w:spacing w:lineRule="exact" w:line="600"/>
              <w:jc w:val="center"/>
            </w:pPr>
            <w:r/>
            <w:r>
              <w:rPr>
                <w:rFonts w:ascii="仿宋_GB2312" w:hAnsi="仿宋_GB2312" w:eastAsia="仿宋_GB2312"/>
                <w:b w:val="0"/>
                <w:color w:val="000000"/>
                <w:sz w:val="32"/>
              </w:rPr>
              <w:t>净利率</w:t>
            </w:r>
          </w:p>
        </w:tc>
        <w:tc>
          <w:tcPr>
            <w:tcW w:type="dxa" w:w="2041"/>
          </w:tcPr>
          <w:p>
            <w:pPr>
              <w:spacing w:lineRule="exact" w:line="600"/>
              <w:jc w:val="center"/>
            </w:pPr>
            <w:r/>
            <w:r>
              <w:rPr>
                <w:rFonts w:ascii="仿宋_GB2312" w:hAnsi="仿宋_GB2312" w:eastAsia="仿宋_GB2312"/>
                <w:b w:val="0"/>
                <w:color w:val="000000"/>
                <w:sz w:val="32"/>
              </w:rPr>
              <w:t>—</w:t>
            </w:r>
          </w:p>
        </w:tc>
        <w:tc>
          <w:tcPr>
            <w:tcW w:type="dxa" w:w="2041"/>
          </w:tcPr>
          <w:p>
            <w:pPr>
              <w:spacing w:lineRule="exact" w:line="600"/>
              <w:jc w:val="center"/>
            </w:pPr>
            <w:r/>
            <w:r>
              <w:rPr>
                <w:rFonts w:ascii="仿宋_GB2312" w:hAnsi="仿宋_GB2312" w:eastAsia="仿宋_GB2312"/>
                <w:b w:val="0"/>
                <w:color w:val="000000"/>
                <w:sz w:val="32"/>
              </w:rPr>
              <w:t>13.43%</w:t>
            </w:r>
          </w:p>
        </w:tc>
        <w:tc>
          <w:tcPr>
            <w:tcW w:type="dxa" w:w="2041"/>
          </w:tcPr>
          <w:p>
            <w:pPr>
              <w:spacing w:lineRule="exact" w:line="600"/>
              <w:jc w:val="center"/>
            </w:pPr>
            <w:r/>
            <w:r>
              <w:rPr>
                <w:rFonts w:ascii="仿宋_GB2312" w:hAnsi="仿宋_GB2312" w:eastAsia="仿宋_GB2312"/>
                <w:b w:val="0"/>
                <w:color w:val="000000"/>
                <w:sz w:val="32"/>
              </w:rPr>
              <w:t>—</w:t>
            </w:r>
          </w:p>
        </w:tc>
      </w:tr>
      <w:tr>
        <w:tc>
          <w:tcPr>
            <w:tcW w:type="dxa" w:w="2154"/>
          </w:tcPr>
          <w:p>
            <w:pPr>
              <w:spacing w:lineRule="exact" w:line="600"/>
              <w:jc w:val="center"/>
            </w:pPr>
            <w:r/>
            <w:r>
              <w:rPr>
                <w:rFonts w:ascii="仿宋_GB2312" w:hAnsi="仿宋_GB2312" w:eastAsia="仿宋_GB2312"/>
                <w:b w:val="0"/>
                <w:color w:val="000000"/>
                <w:sz w:val="32"/>
              </w:rPr>
              <w:t>总资产</w:t>
            </w:r>
          </w:p>
        </w:tc>
        <w:tc>
          <w:tcPr>
            <w:tcW w:type="dxa" w:w="2041"/>
          </w:tcPr>
          <w:p>
            <w:pPr>
              <w:spacing w:lineRule="exact" w:line="600"/>
              <w:jc w:val="center"/>
            </w:pPr>
            <w:r/>
            <w:r>
              <w:rPr>
                <w:rFonts w:ascii="仿宋_GB2312" w:hAnsi="仿宋_GB2312" w:eastAsia="仿宋_GB2312"/>
                <w:b w:val="0"/>
                <w:color w:val="000000"/>
                <w:sz w:val="32"/>
              </w:rPr>
              <w:t>—</w:t>
            </w:r>
          </w:p>
        </w:tc>
        <w:tc>
          <w:tcPr>
            <w:tcW w:type="dxa" w:w="2041"/>
          </w:tcPr>
          <w:p>
            <w:pPr>
              <w:spacing w:lineRule="exact" w:line="600"/>
              <w:jc w:val="center"/>
            </w:pPr>
            <w:r/>
            <w:r>
              <w:rPr>
                <w:rFonts w:ascii="仿宋_GB2312" w:hAnsi="仿宋_GB2312" w:eastAsia="仿宋_GB2312"/>
                <w:b w:val="0"/>
                <w:color w:val="000000"/>
                <w:sz w:val="32"/>
              </w:rPr>
              <w:t>135.74</w:t>
            </w:r>
          </w:p>
        </w:tc>
        <w:tc>
          <w:tcPr>
            <w:tcW w:type="dxa" w:w="2041"/>
          </w:tcPr>
          <w:p>
            <w:pPr>
              <w:spacing w:lineRule="exact" w:line="600"/>
              <w:jc w:val="center"/>
            </w:pPr>
            <w:r/>
            <w:r>
              <w:rPr>
                <w:rFonts w:ascii="仿宋_GB2312" w:hAnsi="仿宋_GB2312" w:eastAsia="仿宋_GB2312"/>
                <w:b w:val="0"/>
                <w:color w:val="000000"/>
                <w:sz w:val="32"/>
              </w:rPr>
              <w:t>—</w:t>
            </w:r>
          </w:p>
        </w:tc>
      </w:tr>
      <w:tr>
        <w:tc>
          <w:tcPr>
            <w:tcW w:type="dxa" w:w="2154"/>
          </w:tcPr>
          <w:p>
            <w:pPr>
              <w:spacing w:lineRule="exact" w:line="600"/>
              <w:jc w:val="center"/>
            </w:pPr>
            <w:r/>
            <w:r>
              <w:rPr>
                <w:rFonts w:ascii="仿宋_GB2312" w:hAnsi="仿宋_GB2312" w:eastAsia="仿宋_GB2312"/>
                <w:b w:val="0"/>
                <w:color w:val="000000"/>
                <w:sz w:val="32"/>
              </w:rPr>
              <w:t>资产负债率</w:t>
            </w:r>
          </w:p>
        </w:tc>
        <w:tc>
          <w:tcPr>
            <w:tcW w:type="dxa" w:w="2041"/>
          </w:tcPr>
          <w:p>
            <w:pPr>
              <w:spacing w:lineRule="exact" w:line="600"/>
              <w:jc w:val="center"/>
            </w:pPr>
            <w:r/>
            <w:r>
              <w:rPr>
                <w:rFonts w:ascii="仿宋_GB2312" w:hAnsi="仿宋_GB2312" w:eastAsia="仿宋_GB2312"/>
                <w:b w:val="0"/>
                <w:color w:val="000000"/>
                <w:sz w:val="32"/>
              </w:rPr>
              <w:t>—</w:t>
            </w:r>
          </w:p>
        </w:tc>
        <w:tc>
          <w:tcPr>
            <w:tcW w:type="dxa" w:w="2041"/>
          </w:tcPr>
          <w:p>
            <w:pPr>
              <w:spacing w:lineRule="exact" w:line="600"/>
              <w:jc w:val="center"/>
            </w:pPr>
            <w:r/>
            <w:r>
              <w:rPr>
                <w:rFonts w:ascii="仿宋_GB2312" w:hAnsi="仿宋_GB2312" w:eastAsia="仿宋_GB2312"/>
                <w:b w:val="0"/>
                <w:color w:val="000000"/>
                <w:sz w:val="32"/>
              </w:rPr>
              <w:t>34.36%</w:t>
            </w:r>
          </w:p>
        </w:tc>
        <w:tc>
          <w:tcPr>
            <w:tcW w:type="dxa" w:w="2041"/>
          </w:tcPr>
          <w:p>
            <w:pPr>
              <w:spacing w:lineRule="exact" w:line="600"/>
              <w:jc w:val="center"/>
            </w:pPr>
            <w:r/>
            <w:r>
              <w:rPr>
                <w:rFonts w:ascii="仿宋_GB2312" w:hAnsi="仿宋_GB2312" w:eastAsia="仿宋_GB2312"/>
                <w:b w:val="0"/>
                <w:color w:val="000000"/>
                <w:sz w:val="32"/>
              </w:rPr>
              <w:t>—</w:t>
            </w:r>
          </w:p>
        </w:tc>
      </w:tr>
      <w:tr>
        <w:tc>
          <w:tcPr>
            <w:tcW w:type="dxa" w:w="2154"/>
          </w:tcPr>
          <w:p>
            <w:pPr>
              <w:spacing w:lineRule="exact" w:line="600"/>
              <w:jc w:val="center"/>
            </w:pPr>
            <w:r/>
            <w:r>
              <w:rPr>
                <w:rFonts w:ascii="仿宋_GB2312" w:hAnsi="仿宋_GB2312" w:eastAsia="仿宋_GB2312"/>
                <w:b w:val="0"/>
                <w:color w:val="000000"/>
                <w:sz w:val="32"/>
              </w:rPr>
              <w:t>经营现金流净额</w:t>
            </w:r>
          </w:p>
        </w:tc>
        <w:tc>
          <w:tcPr>
            <w:tcW w:type="dxa" w:w="2041"/>
          </w:tcPr>
          <w:p>
            <w:pPr>
              <w:spacing w:lineRule="exact" w:line="600"/>
              <w:jc w:val="center"/>
            </w:pPr>
            <w:r/>
            <w:r>
              <w:rPr>
                <w:rFonts w:ascii="仿宋_GB2312" w:hAnsi="仿宋_GB2312" w:eastAsia="仿宋_GB2312"/>
                <w:b w:val="0"/>
                <w:color w:val="000000"/>
                <w:sz w:val="32"/>
              </w:rPr>
              <w:t>—</w:t>
            </w:r>
          </w:p>
        </w:tc>
        <w:tc>
          <w:tcPr>
            <w:tcW w:type="dxa" w:w="2041"/>
          </w:tcPr>
          <w:p>
            <w:pPr>
              <w:spacing w:lineRule="exact" w:line="600"/>
              <w:jc w:val="center"/>
            </w:pPr>
            <w:r/>
            <w:r>
              <w:rPr>
                <w:rFonts w:ascii="仿宋_GB2312" w:hAnsi="仿宋_GB2312" w:eastAsia="仿宋_GB2312"/>
                <w:b w:val="0"/>
                <w:color w:val="000000"/>
                <w:sz w:val="32"/>
              </w:rPr>
              <w:t>11.48</w:t>
            </w:r>
          </w:p>
        </w:tc>
        <w:tc>
          <w:tcPr>
            <w:tcW w:type="dxa" w:w="2041"/>
          </w:tcPr>
          <w:p>
            <w:pPr>
              <w:spacing w:lineRule="exact" w:line="600"/>
              <w:jc w:val="center"/>
            </w:pPr>
            <w:r/>
            <w:r>
              <w:rPr>
                <w:rFonts w:ascii="仿宋_GB2312" w:hAnsi="仿宋_GB2312" w:eastAsia="仿宋_GB2312"/>
                <w:b w:val="0"/>
                <w:color w:val="000000"/>
                <w:sz w:val="32"/>
              </w:rPr>
              <w:t>—</w:t>
            </w:r>
          </w:p>
        </w:tc>
      </w:tr>
      <w:tr>
        <w:tc>
          <w:tcPr>
            <w:tcW w:type="dxa" w:w="2154"/>
          </w:tcPr>
          <w:p>
            <w:pPr>
              <w:spacing w:lineRule="exact" w:line="600"/>
              <w:jc w:val="center"/>
            </w:pPr>
            <w:r/>
            <w:r>
              <w:rPr>
                <w:rFonts w:ascii="仿宋_GB2312" w:hAnsi="仿宋_GB2312" w:eastAsia="仿宋_GB2312"/>
                <w:b w:val="0"/>
                <w:color w:val="000000"/>
                <w:sz w:val="32"/>
              </w:rPr>
              <w:t>每股收益(元)</w:t>
            </w:r>
          </w:p>
        </w:tc>
        <w:tc>
          <w:tcPr>
            <w:tcW w:type="dxa" w:w="2041"/>
          </w:tcPr>
          <w:p>
            <w:pPr>
              <w:spacing w:lineRule="exact" w:line="600"/>
              <w:jc w:val="center"/>
            </w:pPr>
            <w:r/>
            <w:r>
              <w:rPr>
                <w:rFonts w:ascii="仿宋_GB2312" w:hAnsi="仿宋_GB2312" w:eastAsia="仿宋_GB2312"/>
                <w:b w:val="0"/>
                <w:color w:val="000000"/>
                <w:sz w:val="32"/>
              </w:rPr>
              <w:t>0.51</w:t>
            </w:r>
          </w:p>
        </w:tc>
        <w:tc>
          <w:tcPr>
            <w:tcW w:type="dxa" w:w="2041"/>
          </w:tcPr>
          <w:p>
            <w:pPr>
              <w:spacing w:lineRule="exact" w:line="600"/>
              <w:jc w:val="center"/>
            </w:pPr>
            <w:r/>
            <w:r>
              <w:rPr>
                <w:rFonts w:ascii="仿宋_GB2312" w:hAnsi="仿宋_GB2312" w:eastAsia="仿宋_GB2312"/>
                <w:b w:val="0"/>
                <w:color w:val="000000"/>
                <w:sz w:val="32"/>
              </w:rPr>
              <w:t>0.45</w:t>
            </w:r>
          </w:p>
        </w:tc>
        <w:tc>
          <w:tcPr>
            <w:tcW w:type="dxa" w:w="2041"/>
          </w:tcPr>
          <w:p>
            <w:pPr>
              <w:spacing w:lineRule="exact" w:line="600"/>
              <w:jc w:val="center"/>
            </w:pPr>
            <w:r/>
            <w:r>
              <w:rPr>
                <w:rFonts w:ascii="仿宋_GB2312" w:hAnsi="仿宋_GB2312" w:eastAsia="仿宋_GB2312"/>
                <w:b w:val="0"/>
                <w:color w:val="000000"/>
                <w:sz w:val="32"/>
              </w:rPr>
              <w:t>0.97</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营收由2023年40.04亿元增至2025年48.79亿元，三年复合增长率约14.69%；归母净利润2024年5.64亿元（同比-10.97%，受钾肥价格回落等影响）、2025年大幅提升至12.06亿元（同比+113.8%），盈利弹性主要来自钾肥量价与成本。2024年综合毛利率27.38%、净利率13.43%，氯化钾毛利率40.4%、角钢塔8.42%、钢结构10.21%、钢管塔8.38%，钾肥为利润核心。</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2024年末总资产135.74亿元，资产负债率仅34.36%，财务结构稳健；资产以钾肥矿权、钢结构生产基地设备与存货为主，重资产与资源属性兼具。</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2024年末负债46.64亿元，资产负债率34.36%，流动比率1.83、速动比率1.61，有息负债率39.29%，短期偿债压力小，债务结构健康。</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2024年经营活动现金流净额11.48亿元（同比+5.94%），净利润现金含量203.69%，销售现金比率27.35%，经营回款质量高、现金流充裕。</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在农化制品行业已披露2024年数据的49家公司中，东方铁塔三年营收复合增速排名第7、三年净利润复合增速排名第10，盈利质量与成长性居行业中上；钢结构领域与汇金通、武晓集团等同处青岛电力钢结构集群，东方铁塔因钾肥双主业盈利规模与稳定性更优。</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民营上市公司，设董事会、监事会与经营管理层，审计、薪酬等专门委员会健全；按深交所监管要求规范运作与信息披露，2024年度分红预案为每10股派现3元。</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法定代表人、董事长韩方如；总经理韩真如；董事会秘书何剑军（年报摘要口径）/何良军（东方财富口径）。核心管理层深耕钢结构与钾肥产业，家族控股下决策稳定。</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通过ISO等管理体系认证，建立钢结构制造、钾肥开采与贸易的内控体系；作为双主业企业，跨国产钾（老挝）的合规、安全与汇率内控为重点。</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2024年员工1,945人，人均创收215.74万元、人均创利29.01万元；人员以生产、技术与工程为主，技术工人与工程师队伍稳定。</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双主业协同：钢结构提供稳定现金流、钾肥提供高毛利弹性，抗周期能力强于单一业务。二是资源壁垒：老挝开元141平方公里钾盐矿、氯化钾资源储量21,763万吨，钾资源稀缺且不可复制，2023年迈入年产100万吨。三是资质与地位：钢结构制造企业特级资质、多项壹级资质，1,000kV铁塔生产能力，电厂/广电铁塔市场龙头。四是规模与产能：钢结构年产能60万吨、青岛基地900余亩，规模与交付优势明显。五是财务稳健：资产负债率34%、经营现金流充沛，扩张与抗风险能力强。</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钾肥价格风险：氯化钾价格受全球供需与粮价影响波动，直接决定盈利（2024年净利回落即为例）；应对为增产降本与多元销售。二是钢价与成本风险：钢结构业务钢材成本占比高，钢价波动影响毛利。三是海外运营风险：钾肥资产在老挝，受当地政策、汇率与物流影响。四是客户与招标风险：铁塔业务依赖国网/南网集中招标，中标波动影响收入。五是安全环保风险：钾肥开采与钢结构制造涉及安全环保合规。</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供应链金融：围绕东方铁塔为核心企业，为其钢材等原材料供应商、下游工程分包商提供订单融资、存货质押与票据贴现。保理业务：对国网/南网等客户的铁塔应收账款可开展保理。融资租赁：钢结构基地设备升级、老挝钾肥扩产设备投资适合直租/回租。小贷：面向供应链内中小配套企业短期周转。东方铁塔资质优良、现金流充沛、信用强，是稳健型重点客户，建议以供应链金融与项目融资租赁组合切入。</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东方铁塔是胶州市电力钢结构产业集群龙头、A股“钢结构+钾肥”双主业上市公司，钾资源壁垒突出、钢结构资质领先、财务稳健现金流充裕；但盈利受钾肥价格周期影响波动。发展展望：据公司规划与行业趋势，老挝开元钾肥产能持续释放（迈向150万吨），钢结构向光伏/烟气净化等新场景拓展，双主业成长性明确。建议：一是对接钾肥扩产设备融资租赁与供应链金融；二是关注钾肥价格周期与老挝运营风险；三是以核心企业应收保理盘活资金、设置动态监测。</w:t>
      </w:r>
    </w:p>
    <w:p>
      <w:pPr>
        <w:spacing w:lineRule="exact" w:line="600" w:before="0" w:after="0"/>
        <w:jc w:val="left"/>
      </w:pPr>
      <w:r>
        <w:rPr>
          <w:rFonts w:ascii="仿宋_GB2312" w:hAnsi="仿宋_GB2312" w:eastAsia="仿宋_GB2312"/>
          <w:b w:val="0"/>
          <w:color w:val="000000"/>
          <w:sz w:val="28"/>
        </w:rPr>
        <w:t>数据来源说明：东方铁塔2023/2024/2025年年度报告、巨潮资讯网、东方财富/中证网（年报解读）、公司官网 qddftt.cn（产能与资质）、百度百科。财务数据来自年报披露。</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