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青岛市胶州市电力钢结构产业集群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青岛汇金通电力设备股份有限公司企业分析报告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汇金通电力设备股份有限公司成立于2004年4月6日，法定代表人金志健，统一社会信用代码913702007602635757，企业类型为股份有限公司（上市），注册资本33,913.91万元，注册地址位于山东省青岛市胶州市铺集镇东部工业区，登记机关为青岛市市场监督管理局，经营状态为存续。2016年12月22日公司于上海证券交易所主板挂牌上市（股票代码603577，股票简称汇金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2020年7月公司控股股东、实际控制人由刘锋、刘艳华夫妇变更为河北津西钢铁集团股份有限公司（简称津西股份），实际控制人变更为韩敬远（河北民营钢铁巨头）。截至2026年一季报，津西股份直接持股27.75%，天津安塞资产管理有限公司（津西股份子公司）持股12.75%，刘锋持股15.85%，津西股份及一致行动人合计持有约30%股份，为控股股东。公司与控股股东处于产业链上下游（津西为钢铁企业、钢材占铁塔成本65%以上），具备产业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（董事长李明东、副董事长刘锋）、经营管理层与集团化运营管理体系，推行“看板管理、科学授权”与以利润为中心的责任制；在多地布局生产基地，形成地域互补与规模优势，各子公司充分释放经营活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2004年成立，专注输电线路铁塔制造；2016年12月登陆上交所主板；2020年7月津西股份受让股权成为控股股东，实控人变更为韩敬远，形成“钢铁龙头+铁塔制造”产业链一体化；近年向光伏支架、通讯塔、电力总承包等新业务拓展，2024年业绩实现新突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国内领先的输电线路铁塔制造商、胶州市电力钢结构产业集群骨干企业。主营业务为输电线路铁塔、紧固件、通讯塔、光伏支架等设备的研发、生产和销售，以及电力项目总承包、检验检测服务，服务于电力、通讯、新能源、轨道交通等产业领域；是国内能生产最高电压等级输电线路铁塔的企业之一，并参与多项国家标准与行业标准制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角钢塔为主：2024年角钢塔收入34.38亿元（占74.45%）、钢管塔5.21亿元（11.27%）、钢结构及接触网支架2.61亿元（5.66%）、其他业务6.11%、工程项目0.73亿元（1.58%）、紧固件0.43亿元（0.93%）。角钢塔为核心收入来源，钢管塔受需求波动下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输电线路铁塔（角钢塔、钢管塔、钢管杆、变电架构）、通讯塔、光伏支架、紧固件，并提供电力项目总承包与检验检测服务；代表性工程包括国网1,000kV特高压、张北—张南500kV、海阳核电500kV送出等线路工程铁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客户以国家电网、南方电网及大型电力、通讯、新能源企业为主，深度参与特高压与骨干电网建设；同时服务新能源（光伏、风电）与轨道交通领域，客户集中度高但资质壁垒强。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生产所需钢材为主要采购对象，钢材成本占铁塔制造成本65%以上；控股股东津西股份为钢铁企业，在原材料供应、资金与技术上形成产业链协同，降低采购波动风险。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是国内能生产最高电压等级输电线路铁塔的企业之一，参与GB/T、YB/T等多项国标行标制定；通过全国化布局完成产能棋局，综合实力位居同行业前列；2024年研发投入1.86亿元（同比+28.52%）。具体占地面积/产能未充分披露，行业地位居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以国网/南网集中招标直销为主，辅以电力总承包与出口；依托津西股份产业链协同拓展市场，并推进数据智能与精益管理提升交付效率。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据年报：2024年营业收入46.19亿元（同比+12.82%）、归母净利润1.55亿元（同比+491.07%）、扣非净利润1.35亿元（扭亏）、毛利率14.09%（+2.93pct）、净利率3.5%（+2.75pct）、加权ROE 8.37%；员工3,350人。公司在输电线路铁塔细分领域居国内前列，但毛利率受钢价与招标竞争影响低于东方铁塔（含钾肥高毛利）。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汇金通为A股上市公司（603577），财务数据来自2024年年报及公开披露，单位：亿元。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2025Q1(参考)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约40.93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46.19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约0.26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1.55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约11.16%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14.09%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约0.75%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3.50%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加权ROE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约1.48%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8.37%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1.83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15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研发投入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约1.45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1.86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46.19亿元（+12.82%），归母净利润1.55亿元（同比+491.07%），实现扭亏并大幅增长；毛利率14.09%（+2.93pct）、净利率3.5%（+2.75pct），盈利改善源于钢价回落、产品结构优化与精益管理。角钢塔毛利率8.46%、钢管塔12.03%、钢结构及接触网支架13.26%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2024年末应收票据及应收账款较上年末+36.15%（占总资产比重+9.41pct），存货9.55亿元（占净资产50.6%，较上年-3.16亿元）；资产以应收、存货与固定资产为主，资产质量总体稳健但应收占款需关注。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短期借款较上年-27.8%、长期借款+65.21%、一年内到期非流动负债+69.17%，债务结构向长期化调整；筹资活动现金流净额-4.7亿元（同比-7.33亿元），分红与偿债支出增加。具体资产负债率未披露，债务结构总体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2024年经营现金流净额1.83亿元（同比-7.79%），净利润现金含量一般；投资活动现金流-0.59亿元，筹资-4.7亿元，整体现金流以经营为主、资本开支回落。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处胶州电力钢结构集群的东方铁塔、武晓集团相比，汇金通收入规模领先（46亿元）、但净利率（3.5%）低于东方铁塔（13.43%，含钾肥），高于武晓集团（13.66%毛利率、约3.5%净利率）；角钢塔主业集中、产业链协同（津西钢铁）是其特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民营控股上市公司，设董事会（董事长李明东）、监事会与经营管理层；津西股份入主后强化集团化管控与以利润为中心的责任制，按上交所要求规范运作与信息披露。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董事长李明东；副董事长刘锋（原实控人家族）；法定代表人金志健。管理层在津西股份产业协同下推进精益管理与全国化布局。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推进“看板管理、科学授权”与业财融合、精益管理，建立集团化运营内控体系；作为铁塔制造企业，需关注生产安全与质量合规。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2024年员工3,350人（同比-3.24%），人均创收137.87万元、人均创利4.62万元、人均薪酬12.69万元；人员以生产与技术工人为主，研发人员随投入增加。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业链协同：控股股东津西股份为钢铁龙头，钢材占成本65%以上，在原材料供应、资金、技术研发上高度协同，降本与保供优势显著。二是资质与地位：国内最高电压等级铁塔制造商之一，参与多项国标行标制定，国网/南网核心供应商。三是全国化布局：多地生产基地形成地域互补与规模优势。四是精益管理：集团化运营、看板管理与业财融合提升效率与盈利。五是技术储备：2024年研发投入1.86亿元（+28.52%），持续夯实工艺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钢价波动风险：钢材成本占比高，钢价上涨挤压毛利（2023年净利率仅0.75%即为印证）；应对为津西协同保供与套期管理。二是客户集中风险：依赖国网/南网招标，中标波动影响收入。三是应收风险：2024年应收+36.15%、占资产比重上升，存在回款与减值风险。四是盈利波动风险：2023年近乎盈亏边缘，盈利稳定性偏弱。五是整合风险：津西入主后需持续融合产业链与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依托汇金通为核心企业，为其钢材供应商（含津西体系）及下游分包商提供订单融资、存货质押与票据贴现。保理业务：对国网/南网等客户的铁塔应收账款可开展保理，盘活资金（2024年应收增长即对应需求）。融资租赁：生产基地设备升级、光伏支架产线投资适合直租/回租。小贷：面向供应链内中小配套企业短期周转。汇金通规模领先、股东协同强，是电力钢结构集群重点客户，建议以“核心企业+供应链金融”模式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汇金通是胶州市电力钢结构产业集群骨干、A股输电铁塔龙头，角钢塔主业突出、津西钢铁产业链协同优势显著、2024年业绩大幅改善；但净利率偏低、盈利受钢价与招标波动、应收占款上升。发展展望：据行业趋势与“双碳”新型电力系统建设，电网投资与新能源输电需求增长，公司全国化布局与精益管理有望持续提升盈利。建议：一是对接铁塔应收保理与供应链金融；二是关注钢价周期、应收质量与盈利稳定性；三是以设备融资租赁支持产能升级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数据来源说明：汇金通2024年年度报告、巨潮资讯网、东方财富/中证网（年报解读）、公司官网 hjttower.com（业务与资质）、证券时报/人民网（津西股份控股变更）、天眼查/爱企查（工商与股权）。财务数据来自年报披露。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