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青岛高新区精密仪器仪表特色产业集群</w:t>
      </w:r>
    </w:p>
    <w:p>
      <w:pPr>
        <w:spacing w:lineRule="exact" w:line="600" w:before="240" w:after="240"/>
        <w:ind w:firstLine="0"/>
        <w:jc w:val="center"/>
      </w:pPr>
      <w:r>
        <w:rPr>
          <w:rFonts w:ascii="方正小标宋简体" w:hAnsi="方正小标宋简体" w:eastAsia="方正小标宋简体"/>
          <w:b w:val="0"/>
          <w:color w:val="000000"/>
          <w:sz w:val="44"/>
        </w:rPr>
        <w:t>海克斯康测量技术（青岛）有限公司企业分析报告</w:t>
      </w:r>
    </w:p>
    <w:p>
      <w:pPr>
        <w:spacing w:lineRule="exact" w:line="600" w:before="0" w:after="0"/>
        <w:jc w:val="left"/>
      </w:pPr>
      <w:r>
        <w:rPr>
          <w:rFonts w:ascii="仿宋_GB2312" w:hAnsi="仿宋_GB2312" w:eastAsia="仿宋_GB2312"/>
          <w:b w:val="0"/>
          <w:color w:val="000000"/>
          <w:sz w:val="28"/>
        </w:rPr>
        <w:t>（本报告依据青岛高新区公开报道、企业官网及权威媒体报道信息编制，涉及未公开披露事项均如实标注，用于产业集群代表企业分析参考。）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海克斯康测量技术（青岛）有限公司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青岛市高新区（大中华区总部及青岛制造基地）</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青岛高新区精密仪器仪表特色产业集群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精密测量仪器、工业传感器与工业软件</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三坐标测量机、关节臂、激光扫描仪、全站仪及工业软件</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海克斯康测量技术（青岛）有限公司是海克斯康集团（Hexagon）大中华区总部及核心制造基地的运营主体，落户青岛高新区。海克斯康集团拥有两百余年精密计量积淀，是全球最大的三坐标测量仪器制造商，在工业传感器与工业软件领域处于领先地位。青岛基地是海克斯康全球布局中最重要的制造与研发节点之一，承担高端精密测量装备的本土化生产、交付与技术服务职能。</w:t>
      </w:r>
    </w:p>
    <w:p>
      <w:pPr>
        <w:spacing w:lineRule="exact" w:line="600" w:before="0" w:after="0"/>
        <w:ind w:firstLine="420"/>
        <w:jc w:val="both"/>
      </w:pPr>
      <w:r>
        <w:rPr>
          <w:rFonts w:ascii="仿宋_GB2312" w:hAnsi="仿宋_GB2312" w:eastAsia="仿宋_GB2312"/>
          <w:b w:val="0"/>
          <w:color w:val="000000"/>
          <w:sz w:val="32"/>
        </w:rPr>
        <w:t>在工商登记信息方面，公司成立时间、注册资本、法定代表人、统一社会信用代码等基础事项在本次公开渠道检索中未获取到权威一致的记载，报告不作推测。在海克斯康集团体系内，青岛主体作为外商投资企业，其治理与经营受境外母公司全球战略与区域授权体系约束，本地财务与经营数据通常与集团合并口径存在口径差异。实际开展业务时，应调取国家企业信用信息公示系统的完整登记信息，并核验营业执照、外商投资企业批准文书、公司章程及母公司授权文件原件。</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报道，海克斯康为外商投资企业，其经营与治理直接承继境外母公司的全球技术体系、质量体系与合规内控体系。作为青岛高新区精密仪器仪表产业链的"链主"企业，海克斯康在园区内带动形成"计量设备+计量检测"协同生态，与鼎信通讯、艾普智能等企业在计量与检测领域形成配套联动。</w:t>
      </w:r>
    </w:p>
    <w:p>
      <w:pPr>
        <w:spacing w:lineRule="exact" w:line="600" w:before="0" w:after="0"/>
        <w:ind w:firstLine="420"/>
        <w:jc w:val="both"/>
      </w:pPr>
      <w:r>
        <w:rPr>
          <w:rFonts w:ascii="仿宋_GB2312" w:hAnsi="仿宋_GB2312" w:eastAsia="仿宋_GB2312"/>
          <w:b w:val="0"/>
          <w:color w:val="000000"/>
          <w:sz w:val="32"/>
        </w:rPr>
        <w:t>外商投资企业属性的核心影响在于：技术标准和质量体系的承继使其管理规范度较高，但本地主体财务报表未必完整反映其真实经营价值，利润可能在集团内部分配，关联交易占比较高，重大投资须报总部审批。金融机构在评估时应重点核查关联交易定价公允性、母公司是否出具流动性支持或差额补足承诺、本地主体是否拥有独立的资产权属与销售渠道。</w:t>
      </w:r>
    </w:p>
    <w:p>
      <w:pPr>
        <w:spacing w:lineRule="exact" w:line="600" w:before="0" w:after="0"/>
        <w:ind w:firstLine="420"/>
        <w:jc w:val="both"/>
      </w:pPr>
      <w:r>
        <w:rPr>
          <w:rFonts w:ascii="仿宋_GB2312" w:hAnsi="仿宋_GB2312" w:eastAsia="仿宋_GB2312"/>
          <w:b w:val="0"/>
          <w:color w:val="000000"/>
          <w:sz w:val="32"/>
        </w:rPr>
        <w:t>从出资人属性看，海克斯康为外商投资企业，其治理与经营受境外母公司全球战略、区域授权范围和内部转移定价政策的显著影响。该类企业通常在技术标准、质量体系、合规内控方面直接承继母公司体系，管理规范度较高；但同时存在利润在集团内部分配、关联交易占比高、重大投资须报总部审批等特征，本地主体的财务报表未必完整反映其真实经营价值。金融机构在评估时应重点核查关联交易定价的公允性、母公司是否出具流动性支持或差额补足承诺、本地主体是否拥有独立的资产权属与销售渠道。</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海克斯康的发展与其全球精密计量技术的演进深度绑定。公司拥有两百余年的精密计量积淀，在工业传感器和工业软件领域拥有14项全球首创产品、8项"世界之最"测量技术，测量精度达微米级，长期引领全球精密测量装备的技术方向。其大中华区总部落户青岛高新区，是青岛承接国际高端装备制造业转移、建设精密仪器仪表产业园的关键成果。</w:t>
      </w:r>
    </w:p>
    <w:p>
      <w:pPr>
        <w:spacing w:lineRule="exact" w:line="600" w:before="0" w:after="0"/>
        <w:ind w:firstLine="420"/>
        <w:jc w:val="both"/>
      </w:pPr>
      <w:r>
        <w:rPr>
          <w:rFonts w:ascii="仿宋_GB2312" w:hAnsi="仿宋_GB2312" w:eastAsia="仿宋_GB2312"/>
          <w:b w:val="0"/>
          <w:color w:val="000000"/>
          <w:sz w:val="32"/>
        </w:rPr>
        <w:t>在产品与能力端，公司由传统三坐标测量机逐步扩展到关节臂、激光扫描仪、全站仪等全谱系测量装备，并依托"慧质云"平台将253款工业软件全部云化，使中小企业初始投入降低约90%。2024年，公司新增5000余万元投资建设两条高端便携精密测量仪器生产线，并获评山东省级中试示范基地，自主研发的模拟仿真系统平均减少企业研发成本40%以上，显示出从单一硬件制造商向"装备+软件+服务"综合解决方案商的持续跃升。</w:t>
      </w:r>
    </w:p>
    <w:p>
      <w:pPr>
        <w:spacing w:lineRule="exact" w:line="600" w:before="0" w:after="0"/>
        <w:ind w:firstLine="420"/>
        <w:jc w:val="both"/>
      </w:pPr>
      <w:r>
        <w:rPr>
          <w:rFonts w:ascii="仿宋_GB2312" w:hAnsi="仿宋_GB2312" w:eastAsia="仿宋_GB2312"/>
          <w:b w:val="0"/>
          <w:color w:val="000000"/>
          <w:sz w:val="32"/>
        </w:rPr>
        <w:t>在区域布局端，青岛基地年产测量设备5000台，占据全球中高端市场32%份额，年产值33亿元；2024年大中华区营收突破80亿元，其中山东贡献约35%。这一成长轨迹表明，海克斯康在青岛的扎根并非简单产能转移，而是研发、制造、服务与生态培育的系统性布局，可持续性较好。</w:t>
      </w:r>
    </w:p>
    <w:p>
      <w:pPr>
        <w:spacing w:lineRule="exact" w:line="600" w:before="0" w:after="0"/>
        <w:ind w:firstLine="420"/>
        <w:jc w:val="both"/>
      </w:pPr>
      <w:r>
        <w:rPr>
          <w:rFonts w:ascii="仿宋_GB2312" w:hAnsi="仿宋_GB2312" w:eastAsia="仿宋_GB2312"/>
          <w:b w:val="0"/>
          <w:color w:val="000000"/>
          <w:sz w:val="32"/>
        </w:rPr>
        <w:t>总体看，海克斯康的发展轨迹与高端装备与精密仪器仪表行业演进和青岛高新区精密仪器仪表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精密仪器仪表产业链的"装备+软件+服务"综合环节，是下游高端装备制造、汽车、航空航天、电子、能源等行业质量验证的基础设施提供者。据公开报道，青岛基地年产测量设备5000台，占据全球中高端市场32%份额，年产值33亿元；2024年大中华区营收突破80亿元，山东贡献约35%。</w:t>
      </w:r>
    </w:p>
    <w:p>
      <w:pPr>
        <w:spacing w:lineRule="exact" w:line="600" w:before="0" w:after="0"/>
        <w:ind w:firstLine="420"/>
        <w:jc w:val="both"/>
      </w:pPr>
      <w:r>
        <w:rPr>
          <w:rFonts w:ascii="仿宋_GB2312" w:hAnsi="仿宋_GB2312" w:eastAsia="仿宋_GB2312"/>
          <w:b w:val="0"/>
          <w:color w:val="000000"/>
          <w:sz w:val="32"/>
        </w:rPr>
        <w:t>上述份额与规模数据显示，公司在全球中高端精密测量市场具有显著的规模地位与定价影响力，是青岛高新区精密仪器仪表产业链当之无愧的链主企业。其"双智赋能中心"为C919大飞机、和谐号动车组、一汽-大众、比亚迪、华为、小米等提供全生命周期质量验证方案，体现了其服务的客户层级与产业穿透力。</w:t>
      </w:r>
    </w:p>
    <w:p>
      <w:pPr>
        <w:spacing w:lineRule="exact" w:line="600" w:before="0" w:after="0"/>
        <w:ind w:firstLine="420"/>
        <w:jc w:val="both"/>
      </w:pPr>
      <w:r>
        <w:rPr>
          <w:rFonts w:ascii="仿宋_GB2312" w:hAnsi="仿宋_GB2312" w:eastAsia="仿宋_GB2312"/>
          <w:b w:val="0"/>
          <w:color w:val="000000"/>
          <w:sz w:val="32"/>
        </w:rPr>
        <w:t>需要提示的是，上述份额数据来自企业与园区的公开报道，统计口径与基准年份未详细说明。在授信或投资决策中，应通过行业协会统计、下游核心客户采购情况等渠道进行交叉验证。</w:t>
      </w:r>
    </w:p>
    <w:p>
      <w:pPr>
        <w:spacing w:lineRule="exact" w:line="600" w:before="0" w:after="0"/>
        <w:ind w:firstLine="420"/>
        <w:jc w:val="both"/>
      </w:pPr>
      <w:r>
        <w:rPr>
          <w:rFonts w:ascii="仿宋_GB2312" w:hAnsi="仿宋_GB2312" w:eastAsia="仿宋_GB2312"/>
          <w:b w:val="0"/>
          <w:color w:val="000000"/>
          <w:sz w:val="32"/>
        </w:rPr>
        <w:t>在青岛高新区精密仪器仪表特色产业集群的产业链分工中，海克斯康处于"精密测量仪器与工业软件"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精密测量装备与工业软件为核心，产品涵盖三坐标测量机、关节臂、激光扫描仪、全站仪等硬件，以及测量软件、质量数据管理软件、模拟仿真软件等工业软件体系。其"慧质云"平台将253款工业软件全部云化，大幅降低了中小企业的使用门槛。</w:t>
      </w:r>
    </w:p>
    <w:p>
      <w:pPr>
        <w:spacing w:lineRule="exact" w:line="600" w:before="0" w:after="0"/>
        <w:ind w:firstLine="420"/>
        <w:jc w:val="both"/>
      </w:pPr>
      <w:r>
        <w:rPr>
          <w:rFonts w:ascii="仿宋_GB2312" w:hAnsi="仿宋_GB2312" w:eastAsia="仿宋_GB2312"/>
          <w:b w:val="0"/>
          <w:color w:val="000000"/>
          <w:sz w:val="32"/>
        </w:rPr>
        <w:t>公司依托14项全球首创产品、8项"世界之最"测量技术，在微米级测量精度上建立了难以短期复制的技术壁垒。2024年，公司新增5000余万元投资建设两条高端便携精密测量仪器生产线，并研发工业级人形机器人AEON（融合20项专利），持续引领精密测量装备升级。各产品线销量、单价与毛利率数据未公开披露，建议在尽职调查中重点获取。</w:t>
      </w:r>
    </w:p>
    <w:p>
      <w:pPr>
        <w:spacing w:lineRule="exact" w:line="600" w:before="0" w:after="0"/>
        <w:ind w:firstLine="420"/>
        <w:jc w:val="both"/>
      </w:pPr>
      <w:r>
        <w:rPr>
          <w:rFonts w:ascii="仿宋_GB2312" w:hAnsi="仿宋_GB2312" w:eastAsia="仿宋_GB2312"/>
          <w:b w:val="0"/>
          <w:color w:val="000000"/>
          <w:sz w:val="32"/>
        </w:rPr>
        <w:t>从业务结构的稳健性看，评价海克斯康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青岛高新区，青岛基地年产测量设备5000台，是海克斯康全球制造体系的重要节点。园区为精密仪器仪表产业配套集中供热、检验检测、中试等公共服务平台，为公司高端装备的研发与制造提供了基础保障。</w:t>
      </w:r>
    </w:p>
    <w:p>
      <w:pPr>
        <w:spacing w:lineRule="exact" w:line="600" w:before="0" w:after="0"/>
        <w:ind w:firstLine="420"/>
        <w:jc w:val="both"/>
      </w:pPr>
      <w:r>
        <w:rPr>
          <w:rFonts w:ascii="仿宋_GB2312" w:hAnsi="仿宋_GB2312" w:eastAsia="仿宋_GB2312"/>
          <w:b w:val="0"/>
          <w:color w:val="000000"/>
          <w:sz w:val="32"/>
        </w:rPr>
        <w:t>资质方面，作为精密测量装备企业，公司须取得计量器具型式批准、制造计量器具许可、CNAS实验室认可、CE等出口认证，并进入下游大型客户的合格供应商名录。其获评山东省级中试示范基地，表明其在研发与中试能力上获得官方认可。各类证照的具体品种与有效期未公开披露，建议逐项核查。</w:t>
      </w:r>
    </w:p>
    <w:p>
      <w:pPr>
        <w:spacing w:lineRule="exact" w:line="600" w:before="0" w:after="0"/>
        <w:ind w:firstLine="420"/>
        <w:jc w:val="both"/>
      </w:pPr>
      <w:r>
        <w:rPr>
          <w:rFonts w:ascii="仿宋_GB2312" w:hAnsi="仿宋_GB2312" w:eastAsia="仿宋_GB2312"/>
          <w:b w:val="0"/>
          <w:color w:val="000000"/>
          <w:sz w:val="32"/>
        </w:rPr>
        <w:t>装备与仪器仪表行业的产能表现为装配与检测工位、精密加工设备台套数及恒温恒湿计量环境等物理条件，其瓶颈环节往往不在总装而在关键零部件、精密加工与计量校准能力。行业普遍采用"以销定产"模式，在手订单与交付周期是判断产能利用状况的关键指标。资质方面，计量器具型式批准、制造计量器具许可、CNAS实验室认可、CE/UL等出口认证以及行业客户的合格供应商资格构成实质性准入门槛，建议逐项核查其覆盖范围与有效期。</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覆盖高端装备制造、汽车、航空航天、电子、能源等行业，包括C919大飞机、和谐号动车组、一汽-大众、比亚迪、华为、小米等标杆客户，客户层级高、信用状况好。其"双智赋能中心"为上述客户提供全生命周期质量验证方案，客户黏性强。</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考虑到下游客户多为大型央国企与头部民企，回款确定性通常优于中小客户，但需注意集团内关联交易与跨国结算的复杂性，建议核查是否存在长账龄应收款项及集团内部往来占用。</w:t>
      </w:r>
    </w:p>
    <w:p>
      <w:pPr>
        <w:spacing w:lineRule="exact" w:line="600" w:before="0" w:after="0"/>
        <w:ind w:firstLine="420"/>
        <w:jc w:val="both"/>
      </w:pPr>
      <w:r>
        <w:rPr>
          <w:rFonts w:ascii="仿宋_GB2312" w:hAnsi="仿宋_GB2312" w:eastAsia="仿宋_GB2312"/>
          <w:b w:val="0"/>
          <w:color w:val="000000"/>
          <w:sz w:val="32"/>
        </w:rPr>
        <w:t>客户结构是判断海克斯康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与部件包括高精度传感器、光栅与编码器、专用芯片、精密导轨与轴承、伺服系统等，部分品类仍以进口为主。青岛高新区精密仪器仪表产业园集聚了相关配套企业，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长协覆盖比例与进口依赖度未公开披露。鉴于关键零部件存在进口依赖与出口管制风险，建议核查其安全库存、国产替代验证进度、备选供应商认证情况及在手订单的交付保障能力。</w:t>
      </w:r>
    </w:p>
    <w:p>
      <w:pPr>
        <w:spacing w:lineRule="exact" w:line="600" w:before="0" w:after="0"/>
        <w:ind w:firstLine="420"/>
        <w:jc w:val="both"/>
      </w:pPr>
      <w:r>
        <w:rPr>
          <w:rFonts w:ascii="仿宋_GB2312" w:hAnsi="仿宋_GB2312" w:eastAsia="仿宋_GB2312"/>
          <w:b w:val="0"/>
          <w:color w:val="000000"/>
          <w:sz w:val="32"/>
        </w:rPr>
        <w:t>装备与仪器企业的供应链风险集中于高精度传感器、光栅与编码器、专用芯片、精密导轨与轴承、伺服系统等关键件，部分品类仍以进口为主，存在交付周期长、价格刚性、受出口管制影响等问题。应对策略包括建立关键件安全库存、推进国产替代验证、与核心供应商签订长期供货协议、必要时向上游延伸自制。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据公开数据，青岛市精密仪器仪表产业园占地2903.5亩，2024年园区仪器仪表营收约100亿元、年均增速20%以上，2028年目标营收300亿元。海克斯康作为链主，年产值33亿元、全球中高端份额32%，是园区绝对核心。</w:t>
      </w:r>
    </w:p>
    <w:p>
      <w:pPr>
        <w:spacing w:lineRule="exact" w:line="600" w:before="0" w:after="0"/>
        <w:ind w:firstLine="420"/>
        <w:jc w:val="both"/>
      </w:pPr>
      <w:r>
        <w:rPr>
          <w:rFonts w:ascii="仿宋_GB2312" w:hAnsi="仿宋_GB2312" w:eastAsia="仿宋_GB2312"/>
          <w:b w:val="0"/>
          <w:color w:val="000000"/>
          <w:sz w:val="32"/>
        </w:rPr>
        <w:t>竞争格局方面，全球精密测量市场由海克斯康、蔡司等少数跨国企业主导，国内企业多集中于中低端与细分专用领域。海克斯康凭借两百余年技术积淀与14项全球首创产品，在高端市场具有显著壁垒；但在通用测试测量等中端领域，面临以性价比切入的国产替代企业的竞争压力。</w:t>
      </w:r>
    </w:p>
    <w:p>
      <w:pPr>
        <w:spacing w:lineRule="exact" w:line="600" w:before="0" w:after="0"/>
        <w:ind w:firstLine="420"/>
        <w:jc w:val="both"/>
      </w:pPr>
      <w:r>
        <w:rPr>
          <w:rFonts w:ascii="仿宋_GB2312" w:hAnsi="仿宋_GB2312" w:eastAsia="仿宋_GB2312"/>
          <w:b w:val="0"/>
          <w:color w:val="000000"/>
          <w:sz w:val="32"/>
        </w:rPr>
        <w:t>判断海克斯康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外商投资企业，其资产负债表、利润表、现金流量表及审计报告未在公开渠道完整披露，财务数据未公开披露。可获取的经营规模类替代指标为：青岛基地年产值33亿元、年产测量设备5000台、全球中高端市场份额32%、2024年大中华区营收80亿元（山东贡献35%）、新增投资5000余万元建设两条高端产线、获评省级中试示范基地。</w:t>
      </w:r>
    </w:p>
    <w:p>
      <w:pPr>
        <w:spacing w:lineRule="exact" w:line="600" w:before="0" w:after="0"/>
        <w:ind w:firstLine="420"/>
        <w:jc w:val="both"/>
      </w:pPr>
      <w:r>
        <w:rPr>
          <w:rFonts w:ascii="仿宋_GB2312" w:hAnsi="仿宋_GB2312" w:eastAsia="仿宋_GB2312"/>
          <w:b w:val="0"/>
          <w:color w:val="000000"/>
          <w:sz w:val="32"/>
        </w:rPr>
        <w:t>依据上述替代指标可作三点初步判断：一是公司属于技术与资本密集型企业，资产以精密加工设备、计量环境与研发软硬件为主，固定资产投资强度较大；二是大中华区营收80亿元的规模显示其在中国市场占据重要地位，经营基本盘稳健；三是新增产线与中试基地投资表明公司仍在持续扩能，存在相应的资金需求。</w:t>
      </w:r>
    </w:p>
    <w:p>
      <w:pPr>
        <w:spacing w:lineRule="exact" w:line="600" w:before="0" w:after="0"/>
        <w:ind w:firstLine="420"/>
        <w:jc w:val="both"/>
      </w:pPr>
      <w:r>
        <w:rPr>
          <w:rFonts w:ascii="仿宋_GB2312" w:hAnsi="仿宋_GB2312" w:eastAsia="仿宋_GB2312"/>
          <w:b w:val="0"/>
          <w:color w:val="000000"/>
          <w:sz w:val="32"/>
        </w:rPr>
        <w:t>海克斯康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精密测量装备与工业软件企业的毛利率通常高于一般制造业，其盈利水平主要取决于技术门槛、品牌溢价与服务收入占比。海克斯康凭借14项全球首创产品与8项"世界之最"技术，在高端市场拥有强定价权，服务与软件订阅收入占比的提升有助于平滑业绩周期。</w:t>
      </w:r>
    </w:p>
    <w:p>
      <w:pPr>
        <w:spacing w:lineRule="exact" w:line="600" w:before="0" w:after="0"/>
        <w:ind w:firstLine="420"/>
        <w:jc w:val="both"/>
      </w:pPr>
      <w:r>
        <w:rPr>
          <w:rFonts w:ascii="仿宋_GB2312" w:hAnsi="仿宋_GB2312" w:eastAsia="仿宋_GB2312"/>
          <w:b w:val="0"/>
          <w:color w:val="000000"/>
          <w:sz w:val="32"/>
        </w:rPr>
        <w:t>装备与仪器仪表企业的毛利率通常高于一般制造业，其盈利水平主要取决于技术门槛、品牌溢价与服务收入占比。分析要点包括：一是收入结构中设备销售、备件与服务、软件授权的比例，后两者毛利率更高、周期性更弱，是平滑业绩的关键；二是研发费用的资本化政策及其对当期利润的影响；三是大项目验收节点对收入确认的影响，易造成季度间业绩波动；四是政府补助、税收优惠在利润总额中的占比，判断扣非后的真实盈利能力。</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从同类企业的一般特征判断，其资产以固定资产（精密加工与计量设备）、在建工程（新产线与中试基地）及无形资产（软件著作权、专利、商标）为主。2024年新增5000余万元投资建设两条高端产线，建设期内在建工程规模上升，需关注转固进度与资本化利息处理；流动资产中存货以精密部件与成品为主，应收账款受下游客户结算周期影响。</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外商投资企业，其融资可能同时涉及境内银行信贷与境外母公司资金调拨。建议核查授信品种构成、期限结构、抵质押安排，以及是否存在集团内部担保与资金归集安排对本地主体流动性的影响。</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海克斯康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外商投资企业利润汇出、特许权使用费支付等集团内部资金流动，会显著影响其本地现金流表现。建议获取近三年现金流量表与主要银行账户流水，并结合集团资金安排评估其偿债能力与再融资需求。</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海克斯康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全球精密测量龙头（如蔡司）及国内上市仪器仪表企业作为参照，关注其毛利率、研发投入占比与经营现金流水平。需要注意的是，海克斯康在高端市场的技术壁垒使其盈利质量可能优于国内中低端同业，直接对比毛利率意义有限，更宜从"全球中高端份额32%"的市场地位与技术领先度角度进行定性比较。</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作为外商投资企业，依法设立董事会（或执行董事）与经理层，治理运行受境外母公司全球治理体系约束。其重大投资、技术引进、关联交易等事项通常须报母公司审批，并纳入集团统一的合规与审计监督体系。</w:t>
      </w:r>
    </w:p>
    <w:p>
      <w:pPr>
        <w:spacing w:lineRule="exact" w:line="600" w:before="0" w:after="0"/>
        <w:ind w:firstLine="420"/>
        <w:jc w:val="both"/>
      </w:pPr>
      <w:r>
        <w:rPr>
          <w:rFonts w:ascii="仿宋_GB2312" w:hAnsi="仿宋_GB2312" w:eastAsia="仿宋_GB2312"/>
          <w:b w:val="0"/>
          <w:color w:val="000000"/>
          <w:sz w:val="32"/>
        </w:rPr>
        <w:t>党的建设方面，外商投资企业党组织发挥政治引领与促进作用，围绕生产经营开展党建工作，推动技术攻关与人才培养。建议在尽调中核查企业党组织建设、工会组织运行及重大事项决策的合规性。</w:t>
      </w:r>
    </w:p>
    <w:p>
      <w:pPr>
        <w:spacing w:lineRule="exact" w:line="600" w:before="0" w:after="0"/>
        <w:ind w:firstLine="420"/>
        <w:jc w:val="both"/>
      </w:pPr>
      <w:r>
        <w:rPr>
          <w:rFonts w:ascii="仿宋_GB2312" w:hAnsi="仿宋_GB2312" w:eastAsia="仿宋_GB2312"/>
          <w:b w:val="0"/>
          <w:color w:val="000000"/>
          <w:sz w:val="32"/>
        </w:rPr>
        <w:t>海克斯康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外商投资企业，其管理层通常由母公司委派与本地选拔相结合，技术与质量背景的高管占比较高。建议核查主要负责人的行业从业年限、质量管理体系任职资格，以及是否建立与绩效挂钩的考核问责机制。</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全球精密测量龙头的本土基地，公司应具备一定规模的研发与工程服务团队。精密测量对操作与校准人员的技能要求极高，建议核查关键岗位持证情况、培训记录与人员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青岛高新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外商投资企业内控的特殊性在于，除财务与业务内控外，还须建立符合集团全球标准的合规体系，包括反商业贿赂、出口管制合规、数据跨境传输合规、关联交易公允性管理等。上述体系的有效性直接关系企业在华经营的可持续性，应作为尽调重点。</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两百余年精密计量积淀形成的工程化能力与知识产权组合上。其在工业传感器和工业软件领域拥有14项全球首创产品、8项"世界之最"测量技术，测量精度达微米级。这类知识多以工艺参数、算法、操作诀窍形式沉淀，难以通过专利文献复制。其"慧质云"平台将253款工业软件云化、模拟仿真系统平均减少企业研发成本40%以上，构成了软硬一体的系统性壁垒。</w:t>
      </w:r>
    </w:p>
    <w:p>
      <w:pPr>
        <w:spacing w:lineRule="exact" w:line="600" w:before="0" w:after="0"/>
        <w:ind w:firstLine="420"/>
        <w:jc w:val="both"/>
      </w:pPr>
      <w:r>
        <w:rPr>
          <w:rFonts w:ascii="仿宋_GB2312" w:hAnsi="仿宋_GB2312" w:eastAsia="仿宋_GB2312"/>
          <w:b w:val="0"/>
          <w:color w:val="000000"/>
          <w:sz w:val="32"/>
        </w:rPr>
        <w:t>公司建有省级中试示范基地，具备持续开展工艺优化与新产品开发的组织载体。研发投入金额、研发人员数量等具体数据未公开披露，建议在尽调中获取并与同行业对比。</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海克斯康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有三重来源：一是规模，全球中高端32%的份额带来显著的采购议价能力与单位固定成本摊薄；二是技术，微米级测量精度与高良率降低返工与售后成本；三是生态，青岛基地集聚的配套企业与公共服务平台降低了物流与中试成本。三者均属结构性优势，可持续性较强。</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精密测量装备的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海克斯康服务的C919、和谐号、比亚迪、华为等客户，其供应链认证壁垒极高，构成强客户锁定效应。</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青岛高新区精密仪器仪表产业园为海克斯康提供了三类外部经济：一是要素共享，包括集中检验检测、中试基地、公共服务平台等，显著降低单体企业的固定投入；二是知识溢出，产业链企业与科研机构在空间集聚中形成技术扩散与人才流动；三是市场匹配，上下游就近配套缩短采购半径、降低物流成本。</w:t>
      </w:r>
    </w:p>
    <w:p>
      <w:pPr>
        <w:spacing w:lineRule="exact" w:line="600" w:before="0" w:after="0"/>
        <w:ind w:firstLine="420"/>
        <w:jc w:val="both"/>
      </w:pPr>
      <w:r>
        <w:rPr>
          <w:rFonts w:ascii="仿宋_GB2312" w:hAnsi="仿宋_GB2312" w:eastAsia="仿宋_GB2312"/>
          <w:b w:val="0"/>
          <w:color w:val="000000"/>
          <w:sz w:val="32"/>
        </w:rPr>
        <w:t>青岛高新区精密仪器仪表特色产业集群为海克斯康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海克斯康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在中端通用测试测量领域，国产替代企业以性价比切入，可能对公司部分产品线形成压力。对海克斯康而言，需关注两类竞争者：一是同环节的国际领先者，凭品牌与渠道优势维持高端份额；二是国产替代者，以新材料、新工艺或新商业模式重构需求。建议企业建立竞争情报跟踪机制，并以差异化品种与服务能力构筑非价格竞争优势。</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海克斯康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高时，单一客户的采购策略调整会直接冲击业绩；而客户过度分散又会抬高信用管理成本。海克斯康客户多为大型央国企与头部民企，信用状况较好，但集团内部关联交易与跨国结算增加了应收账款管理的复杂度。建议建立客户信用评级与额度管理制度，并考虑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高精度传感器、光栅与编码器、专用芯片、精密导轨与轴承、伺服系统等关键件，部分品类仍以进口为主，存在交付周期长、价格刚性、受出口管制影响等问题。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作为外商投资企业，其利润分配、特许权使用费支付等集团内部资金流动可能影响本地现金流。建议金融机构重点监测四项预警信号：一是有息负债快速增长而经营现金流未同步改善；二是票据融资占比异常上升；三是关联方资金往来规模扩大；四是抵质押资产比例接近上限。</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的特殊性在于外商投资企业决策链条跨越境内外，重大投资须报母公司审批，本地经营自主权受限；同时关联交易占比高，存在利润在集团内部分配、定价公允性受关注等问题。建议核查集团内部资金归集与往来安排对本地主体独立性的影响。</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海克斯康面临的主要风险集中于行业周期波动、中端市场国产替代竞争、关键零部件进口依赖及集团内部资金安排不确定性，但其全球技术壁垒、链主生态地位与高端客户锁定效应构成了较强的风险缓冲。整体风险等级中等偏低，对其授信应重点关注关联交易透明度与集团支持意愿。</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海克斯康的融资需求主要源于持续扩能与生态建设：2024年新增5000余万元投资建设两条高端便携精密测量仪器生产线，并建设省级中试示范基地，显示其在研发与制造端仍持续投入。此外，为上下游配套企业提供供应链金融服务，亦是其生态化经营的延伸需求。</w:t>
      </w:r>
    </w:p>
    <w:p>
      <w:pPr>
        <w:spacing w:lineRule="exact" w:line="600" w:before="0" w:after="0"/>
        <w:ind w:firstLine="420"/>
        <w:jc w:val="both"/>
      </w:pPr>
      <w:r>
        <w:rPr>
          <w:rFonts w:ascii="仿宋_GB2312" w:hAnsi="仿宋_GB2312" w:eastAsia="仿宋_GB2312"/>
          <w:b w:val="0"/>
          <w:color w:val="000000"/>
          <w:sz w:val="32"/>
        </w:rPr>
        <w:t>从资金用途看，海克斯康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海克斯康对下游配套供应商存在应付账款，可作为反向保理的发起方，帮助上游中小企业提前回款；同时其自身对大型客户的优质应收账款，亦可探索明保模式盘活。但因关联关系与跨国结算复杂，应重点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海克斯康，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海克斯康作为链主企业，可依托自身信用开展反向保理与电子债权凭证流转，帮助上游供应商提前回款，同时自身获得账期延长与采购议价空间；亦可依托下游核心客户的订单与应付确认开展订单融资。两类方案均需以交易数据线上化为基础，实现合同、发票、物流单据与回款的四流合一验证。</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海克斯康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海克斯康属于设备与装置投入密集型企业，融资租赁具有较强适配性。可行模式包括直接租赁（用于新增检测设备、中试设备与智能化改造）与售后回租（盘活权属清晰的通用设备）。风控要点在于设备的通用性与可处置性。</w:t>
      </w:r>
    </w:p>
    <w:p>
      <w:pPr>
        <w:spacing w:lineRule="exact" w:line="600" w:before="0" w:after="0"/>
        <w:ind w:firstLine="420"/>
        <w:jc w:val="both"/>
      </w:pPr>
      <w:r>
        <w:rPr>
          <w:rFonts w:ascii="仿宋_GB2312" w:hAnsi="仿宋_GB2312" w:eastAsia="仿宋_GB2312"/>
          <w:b w:val="0"/>
          <w:color w:val="000000"/>
          <w:sz w:val="32"/>
        </w:rPr>
        <w:t>海克斯康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小额贷款方面，海克斯康自身资金需求以中长期为主，小贷更适配于其链上配套小微企业的应急周转与批量普惠授信，不宜作为长期主渠道。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海克斯康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海克斯康采取"以自偿性贸易融资为主、中长期工具为辅、普惠工具补充"的组合策略：链上供应商融资优先通过反向保理与供应链融资解决；中试与产线设备更新通过融资租赁解决；链上小微需求通过小额贷款补充。共通风控要点包括交易真实性核验、回款路径封闭管理、关联交易排查与区域集中度管控。</w:t>
      </w:r>
    </w:p>
    <w:p>
      <w:pPr>
        <w:spacing w:lineRule="exact" w:line="600" w:before="0" w:after="0"/>
        <w:ind w:firstLine="420"/>
        <w:jc w:val="both"/>
      </w:pPr>
      <w:r>
        <w:rPr>
          <w:rFonts w:ascii="仿宋_GB2312" w:hAnsi="仿宋_GB2312" w:eastAsia="仿宋_GB2312"/>
          <w:b w:val="0"/>
          <w:color w:val="000000"/>
          <w:sz w:val="32"/>
        </w:rPr>
        <w:t>综合上述分析，建议对海克斯康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海克斯康是全球精密测量装备的领军企业、青岛高新区精密仪器仪表产业链的链主，拥有两百余年技术积淀、14项全球首创产品与全球中高端32%的市场份额，技术壁垒深厚、客户层级高、生态带动能力强。作为外商投资企业，其管理规范度高，但财务透明度与集团内部资金安排需在尽调中重点厘清。整体而言，是一家兼具技术领先性与区域战略价值的标杆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设备更新、国产替代、高端制造与工业软件自主可控的政策背景下，海克斯康依托"装备+软件+服务"的综合能力与"慧质云"平台生态，有望持续受益于中国制造业质量升级。工业级人形机器人AEON等新产品方向，以及中试示范基地建设，将为其打开新的增长空间。建议关注其在半导体、新能源、航空航天等高端领域的渗透进展。</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海克斯康在三个方面持续改进：一是提升本地财务与经营数据的规范性与可核查性，增强与金融机构的信息透明；二是深化与本地配套企业的协同，通过供应链金融赋能中小企业，巩固链主生态；三是加强关键零部件国产替代验证，降低进口依赖与地缘风险。</w:t>
      </w:r>
    </w:p>
    <w:p>
      <w:pPr>
        <w:spacing w:lineRule="exact" w:line="600" w:before="0" w:after="0"/>
        <w:ind w:firstLine="420"/>
        <w:jc w:val="both"/>
      </w:pPr>
      <w:r>
        <w:rPr>
          <w:rFonts w:ascii="仿宋_GB2312" w:hAnsi="仿宋_GB2312" w:eastAsia="仿宋_GB2312"/>
          <w:b w:val="0"/>
          <w:color w:val="000000"/>
          <w:sz w:val="32"/>
        </w:rPr>
        <w:t>此外，建议海克斯康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海克斯康应立足"链主生态+真实交易"思路，以反向保理与供应链金融为抓手批量服务链上企业，同时对其重大产线与中试投资匹配中长期融资租赁工具。贷后管理应持续关注关联交易透明度、集团资金安排及高端制造景气度变化。</w:t>
      </w:r>
    </w:p>
    <w:p>
      <w:pPr>
        <w:spacing w:lineRule="exact" w:line="600" w:before="0" w:after="0"/>
        <w:ind w:firstLine="420"/>
        <w:jc w:val="both"/>
      </w:pPr>
      <w:r>
        <w:rPr>
          <w:rFonts w:ascii="仿宋_GB2312" w:hAnsi="仿宋_GB2312" w:eastAsia="仿宋_GB2312"/>
          <w:b w:val="0"/>
          <w:color w:val="000000"/>
          <w:sz w:val="32"/>
        </w:rPr>
        <w:t>总体而言，服务青岛高新区精密仪器仪表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青岛高新区公开报道及园区产业介绍材料（2024）。</w:t>
      </w:r>
    </w:p>
    <w:p>
      <w:pPr>
        <w:spacing w:lineRule="exact" w:line="600" w:before="0" w:after="0"/>
        <w:jc w:val="left"/>
      </w:pPr>
      <w:r>
        <w:rPr>
          <w:rFonts w:ascii="仿宋_GB2312" w:hAnsi="仿宋_GB2312" w:eastAsia="仿宋_GB2312"/>
          <w:b w:val="0"/>
          <w:color w:val="000000"/>
          <w:sz w:val="28"/>
        </w:rPr>
        <w:t>海克斯康集团及企业公开宣传与媒体报道。</w:t>
      </w:r>
    </w:p>
    <w:p>
      <w:pPr>
        <w:spacing w:lineRule="exact" w:line="600" w:before="0" w:after="0"/>
        <w:jc w:val="left"/>
      </w:pPr>
      <w:r>
        <w:rPr>
          <w:rFonts w:ascii="仿宋_GB2312" w:hAnsi="仿宋_GB2312" w:eastAsia="仿宋_GB2312"/>
          <w:b w:val="0"/>
          <w:color w:val="000000"/>
          <w:sz w:val="28"/>
        </w:rPr>
        <w:t>青岛市精密仪器仪表产业园公开统计数据（2024）。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