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高青县新材料特色产业集群</w:t>
      </w:r>
    </w:p>
    <w:p>
      <w:pPr>
        <w:spacing w:lineRule="exact" w:line="600" w:before="240" w:after="240"/>
        <w:ind w:firstLine="0"/>
        <w:jc w:val="center"/>
      </w:pPr>
      <w:r>
        <w:rPr>
          <w:rFonts w:ascii="方正小标宋简体" w:hAnsi="方正小标宋简体" w:eastAsia="方正小标宋简体"/>
          <w:b w:val="0"/>
          <w:color w:val="000000"/>
          <w:sz w:val="44"/>
        </w:rPr>
        <w:t>山东隆华高分子材料股份有限公司企业分析报告</w:t>
      </w:r>
    </w:p>
    <w:p>
      <w:pPr>
        <w:spacing w:lineRule="exact" w:line="600" w:before="0" w:after="0"/>
        <w:jc w:val="left"/>
      </w:pPr>
      <w:r>
        <w:rPr>
          <w:rFonts w:ascii="仿宋_GB2312" w:hAnsi="仿宋_GB2312" w:eastAsia="仿宋_GB2312"/>
          <w:b w:val="0"/>
          <w:color w:val="000000"/>
          <w:sz w:val="28"/>
        </w:rPr>
        <w:t>（说明：本集群企业名录记载名称为"山东隆华高分子材料股份有限公司"。经核查国家企业信用信息公示系统与深圳证券交易所公开披露信息，高青县该上市主体的现行工商登记全称为"山东隆华新材料股份有限公司"（深交所创业板上市，证券代码301149，证券简称隆华新材，曾用名"山东隆华化工科技有限公司"）；公司体系内另设有其控股65.69%的子公司"山东隆华高分子材料有限公司"。为与集群名录保持一致，本报告文件名沿用名录名称，分析对象为上市主体隆华新材及其合并报表范围。本报告数据来源于公司2023年度、2025年度定期报告及财务决算报告（巨潮资讯网）、2026年4月29日投资者关系活动记录表、公司官网、券商研究报告、国家企业信用信息公示系统及天眼查、企查查、启信宝公开快照，统计时点截至2026年8月公开可查信息。）</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山东隆华新材料股份有限公司成立于2011年3月28日，统一社会信用代码为91370300571684282M，工商注册号370300200018240，组织机构代码571684282，进出口企业代码3700571684282，海关注册编码3703964872，英文名称为Shandong Longhua New Material Co., Ltd.。公司曾用名为"山东隆华化工科技有限公司"，2015年12月22日变更为现名。</w:t>
      </w:r>
    </w:p>
    <w:p>
      <w:pPr>
        <w:spacing w:lineRule="exact" w:line="600" w:before="0" w:after="0"/>
        <w:ind w:firstLine="420"/>
        <w:jc w:val="both"/>
      </w:pPr>
      <w:r>
        <w:rPr>
          <w:rFonts w:ascii="仿宋_GB2312" w:hAnsi="仿宋_GB2312" w:eastAsia="仿宋_GB2312"/>
          <w:b w:val="0"/>
          <w:color w:val="000000"/>
          <w:sz w:val="32"/>
        </w:rPr>
        <w:t>公司注册地址与办公地址均为山东省淄博市高青县潍高路289号（邮编256300），登记机关为淄博市市场监督管理局，企业类型为股份有限公司（上市、自然人投资或控股），登记状态为存续，营业期限自2011年3月28日起无固定期限，纳税人资质为增值税一般纳税人，2025年获评税务信用A级。</w:t>
      </w:r>
    </w:p>
    <w:p>
      <w:pPr>
        <w:spacing w:lineRule="exact" w:line="600" w:before="0" w:after="0"/>
        <w:ind w:firstLine="420"/>
        <w:jc w:val="both"/>
      </w:pPr>
      <w:r>
        <w:rPr>
          <w:rFonts w:ascii="仿宋_GB2312" w:hAnsi="仿宋_GB2312" w:eastAsia="仿宋_GB2312"/>
          <w:b w:val="0"/>
          <w:color w:val="000000"/>
          <w:sz w:val="32"/>
        </w:rPr>
        <w:t>法定代表人为张萍（兼总经理、非独立董事），董事长为韩志刚，董事会秘书兼副总经理为徐伟。公司总股本为5.59亿股，注册资本为55900.0023万元人民币（历史上曾为43000.0018万元，后经资本公积转增股本增至现有规模），实缴到位。公司官网为www.longhuapu.com.cn，电子邮箱info@longhuapu.com.cn。</w:t>
      </w:r>
    </w:p>
    <w:p>
      <w:pPr>
        <w:spacing w:lineRule="exact" w:line="600" w:before="0" w:after="0"/>
        <w:ind w:firstLine="420"/>
        <w:jc w:val="both"/>
      </w:pPr>
      <w:r>
        <w:rPr>
          <w:rFonts w:ascii="仿宋_GB2312" w:hAnsi="仿宋_GB2312" w:eastAsia="仿宋_GB2312"/>
          <w:b w:val="0"/>
          <w:color w:val="000000"/>
          <w:sz w:val="32"/>
        </w:rPr>
        <w:t>经营范围为：许可项目：危险化学品经营、危险化学品生产；一般项目：生物基材料制造与销售，基础化学原料制造（不含危险化学品等许可类化学品的制造），化工产品生产与销售（不含许可类化工产品），塑料制品销售，机械设备销售，日用百货销售，建筑陶瓷制品销售，日用陶瓷制品销售，货物进出口，技术进出口，非居住房地产租赁，土地使用权租赁。公司持有危险化学品生产与经营许可，属于持牌经营的化工生产企业，并已取得排污许可证。</w:t>
      </w:r>
    </w:p>
    <w:p>
      <w:pPr>
        <w:spacing w:lineRule="exact" w:line="600" w:before="0" w:after="0"/>
        <w:ind w:firstLine="420"/>
        <w:jc w:val="both"/>
      </w:pPr>
      <w:r>
        <w:rPr>
          <w:rFonts w:ascii="仿宋_GB2312" w:hAnsi="仿宋_GB2312" w:eastAsia="仿宋_GB2312"/>
          <w:b w:val="0"/>
          <w:color w:val="000000"/>
          <w:sz w:val="32"/>
        </w:rPr>
        <w:t>公司所属行业为其他基础化学原料制造（C2619），所属板块为化工原料—新材料—创业板综—深股通—融资融券，企业规模认定为中型企业。</w:t>
      </w:r>
    </w:p>
    <w:p>
      <w:pPr>
        <w:spacing w:lineRule="exact" w:line="600" w:before="120" w:after="120"/>
        <w:ind w:firstLine="420"/>
        <w:jc w:val="left"/>
      </w:pPr>
      <w:r>
        <w:rPr>
          <w:rFonts w:ascii="楷体_GB2312" w:hAnsi="楷体_GB2312" w:eastAsia="楷体_GB2312"/>
          <w:b w:val="0"/>
          <w:color w:val="000000"/>
          <w:sz w:val="32"/>
        </w:rPr>
        <w:t>（二）股权结构与实际控制人</w:t>
      </w:r>
    </w:p>
    <w:p>
      <w:pPr>
        <w:spacing w:lineRule="exact" w:line="600" w:before="0" w:after="0"/>
        <w:ind w:firstLine="420"/>
        <w:jc w:val="both"/>
      </w:pPr>
      <w:r>
        <w:rPr>
          <w:rFonts w:ascii="仿宋_GB2312" w:hAnsi="仿宋_GB2312" w:eastAsia="仿宋_GB2312"/>
          <w:b w:val="0"/>
          <w:color w:val="000000"/>
          <w:sz w:val="32"/>
        </w:rPr>
        <w:t>根据公司2025年年度报告披露，报告期末普通股股东总数18,790户，年度报告披露日前一个月末为20,472户。前十名股东持股情况如下：</w:t>
      </w:r>
    </w:p>
    <w:tbl>
      <w:tblPr>
        <w:tblStyle w:val="TableGrid"/>
        <w:tblW w:type="auto" w:w="0"/>
        <w:jc w:val="center"/>
        <w:tblLook w:firstColumn="1" w:firstRow="1" w:lastColumn="0" w:lastRow="0" w:noHBand="0" w:noVBand="1" w:val="04A0"/>
      </w:tblPr>
      <w:tblGrid>
        <w:gridCol w:w="2211"/>
        <w:gridCol w:w="2211"/>
        <w:gridCol w:w="2211"/>
        <w:gridCol w:w="2211"/>
      </w:tblGrid>
      <w:tr>
        <w:tc>
          <w:tcPr>
            <w:tcW w:type="dxa" w:w="3515"/>
          </w:tcPr>
          <w:p>
            <w:pPr>
              <w:spacing w:lineRule="exact" w:line="600"/>
              <w:jc w:val="center"/>
            </w:pPr>
            <w:r/>
            <w:r>
              <w:rPr>
                <w:rFonts w:ascii="黑体" w:hAnsi="黑体" w:eastAsia="黑体"/>
                <w:b/>
                <w:color w:val="000000"/>
                <w:sz w:val="32"/>
              </w:rPr>
              <w:t>股东名称</w:t>
            </w:r>
          </w:p>
        </w:tc>
        <w:tc>
          <w:tcPr>
            <w:tcW w:type="dxa" w:w="1814"/>
          </w:tcPr>
          <w:p>
            <w:pPr>
              <w:spacing w:lineRule="exact" w:line="600"/>
              <w:jc w:val="center"/>
            </w:pPr>
            <w:r/>
            <w:r>
              <w:rPr>
                <w:rFonts w:ascii="黑体" w:hAnsi="黑体" w:eastAsia="黑体"/>
                <w:b/>
                <w:color w:val="000000"/>
                <w:sz w:val="32"/>
              </w:rPr>
              <w:t>股东性质</w:t>
            </w:r>
          </w:p>
        </w:tc>
        <w:tc>
          <w:tcPr>
            <w:tcW w:type="dxa" w:w="1474"/>
          </w:tcPr>
          <w:p>
            <w:pPr>
              <w:spacing w:lineRule="exact" w:line="600"/>
              <w:jc w:val="center"/>
            </w:pPr>
            <w:r/>
            <w:r>
              <w:rPr>
                <w:rFonts w:ascii="黑体" w:hAnsi="黑体" w:eastAsia="黑体"/>
                <w:b/>
                <w:color w:val="000000"/>
                <w:sz w:val="32"/>
              </w:rPr>
              <w:t>持股比例</w:t>
            </w:r>
          </w:p>
        </w:tc>
        <w:tc>
          <w:tcPr>
            <w:tcW w:type="dxa" w:w="2041"/>
          </w:tcPr>
          <w:p>
            <w:pPr>
              <w:spacing w:lineRule="exact" w:line="600"/>
              <w:jc w:val="center"/>
            </w:pPr>
            <w:r/>
            <w:r>
              <w:rPr>
                <w:rFonts w:ascii="黑体" w:hAnsi="黑体" w:eastAsia="黑体"/>
                <w:b/>
                <w:color w:val="000000"/>
                <w:sz w:val="32"/>
              </w:rPr>
              <w:t>持股数量（股）</w:t>
            </w:r>
          </w:p>
        </w:tc>
      </w:tr>
      <w:tr>
        <w:tc>
          <w:tcPr>
            <w:tcW w:type="dxa" w:w="3515"/>
          </w:tcPr>
          <w:p>
            <w:pPr>
              <w:spacing w:lineRule="exact" w:line="600"/>
              <w:jc w:val="center"/>
            </w:pPr>
            <w:r/>
            <w:r>
              <w:rPr>
                <w:rFonts w:ascii="仿宋_GB2312" w:hAnsi="仿宋_GB2312" w:eastAsia="仿宋_GB2312"/>
                <w:b w:val="0"/>
                <w:color w:val="000000"/>
                <w:sz w:val="32"/>
              </w:rPr>
              <w:t>韩志刚</w:t>
            </w:r>
          </w:p>
        </w:tc>
        <w:tc>
          <w:tcPr>
            <w:tcW w:type="dxa" w:w="1814"/>
          </w:tcPr>
          <w:p>
            <w:pPr>
              <w:spacing w:lineRule="exact" w:line="600"/>
              <w:jc w:val="center"/>
            </w:pPr>
            <w:r/>
            <w:r>
              <w:rPr>
                <w:rFonts w:ascii="仿宋_GB2312" w:hAnsi="仿宋_GB2312" w:eastAsia="仿宋_GB2312"/>
                <w:b w:val="0"/>
                <w:color w:val="000000"/>
                <w:sz w:val="32"/>
              </w:rPr>
              <w:t>境内自然人</w:t>
            </w:r>
          </w:p>
        </w:tc>
        <w:tc>
          <w:tcPr>
            <w:tcW w:type="dxa" w:w="1474"/>
          </w:tcPr>
          <w:p>
            <w:pPr>
              <w:spacing w:lineRule="exact" w:line="600"/>
              <w:jc w:val="center"/>
            </w:pPr>
            <w:r/>
            <w:r>
              <w:rPr>
                <w:rFonts w:ascii="仿宋_GB2312" w:hAnsi="仿宋_GB2312" w:eastAsia="仿宋_GB2312"/>
                <w:b w:val="0"/>
                <w:color w:val="000000"/>
                <w:sz w:val="32"/>
              </w:rPr>
              <w:t>33.88%</w:t>
            </w:r>
          </w:p>
        </w:tc>
        <w:tc>
          <w:tcPr>
            <w:tcW w:type="dxa" w:w="2041"/>
          </w:tcPr>
          <w:p>
            <w:pPr>
              <w:spacing w:lineRule="exact" w:line="600"/>
              <w:jc w:val="center"/>
            </w:pPr>
            <w:r/>
            <w:r>
              <w:rPr>
                <w:rFonts w:ascii="仿宋_GB2312" w:hAnsi="仿宋_GB2312" w:eastAsia="仿宋_GB2312"/>
                <w:b w:val="0"/>
                <w:color w:val="000000"/>
                <w:sz w:val="32"/>
              </w:rPr>
              <w:t>145,684,764</w:t>
            </w:r>
          </w:p>
        </w:tc>
      </w:tr>
      <w:tr>
        <w:tc>
          <w:tcPr>
            <w:tcW w:type="dxa" w:w="3515"/>
          </w:tcPr>
          <w:p>
            <w:pPr>
              <w:spacing w:lineRule="exact" w:line="600"/>
              <w:jc w:val="center"/>
            </w:pPr>
            <w:r/>
            <w:r>
              <w:rPr>
                <w:rFonts w:ascii="仿宋_GB2312" w:hAnsi="仿宋_GB2312" w:eastAsia="仿宋_GB2312"/>
                <w:b w:val="0"/>
                <w:color w:val="000000"/>
                <w:sz w:val="32"/>
              </w:rPr>
              <w:t>韩润泽</w:t>
            </w:r>
          </w:p>
        </w:tc>
        <w:tc>
          <w:tcPr>
            <w:tcW w:type="dxa" w:w="1814"/>
          </w:tcPr>
          <w:p>
            <w:pPr>
              <w:spacing w:lineRule="exact" w:line="600"/>
              <w:jc w:val="center"/>
            </w:pPr>
            <w:r/>
            <w:r>
              <w:rPr>
                <w:rFonts w:ascii="仿宋_GB2312" w:hAnsi="仿宋_GB2312" w:eastAsia="仿宋_GB2312"/>
                <w:b w:val="0"/>
                <w:color w:val="000000"/>
                <w:sz w:val="32"/>
              </w:rPr>
              <w:t>境内自然人</w:t>
            </w:r>
          </w:p>
        </w:tc>
        <w:tc>
          <w:tcPr>
            <w:tcW w:type="dxa" w:w="1474"/>
          </w:tcPr>
          <w:p>
            <w:pPr>
              <w:spacing w:lineRule="exact" w:line="600"/>
              <w:jc w:val="center"/>
            </w:pPr>
            <w:r/>
            <w:r>
              <w:rPr>
                <w:rFonts w:ascii="仿宋_GB2312" w:hAnsi="仿宋_GB2312" w:eastAsia="仿宋_GB2312"/>
                <w:b w:val="0"/>
                <w:color w:val="000000"/>
                <w:sz w:val="32"/>
              </w:rPr>
              <w:t>18.24%</w:t>
            </w:r>
          </w:p>
        </w:tc>
        <w:tc>
          <w:tcPr>
            <w:tcW w:type="dxa" w:w="2041"/>
          </w:tcPr>
          <w:p>
            <w:pPr>
              <w:spacing w:lineRule="exact" w:line="600"/>
              <w:jc w:val="center"/>
            </w:pPr>
            <w:r/>
            <w:r>
              <w:rPr>
                <w:rFonts w:ascii="仿宋_GB2312" w:hAnsi="仿宋_GB2312" w:eastAsia="仿宋_GB2312"/>
                <w:b w:val="0"/>
                <w:color w:val="000000"/>
                <w:sz w:val="32"/>
              </w:rPr>
              <w:t>78,444,164</w:t>
            </w:r>
          </w:p>
        </w:tc>
      </w:tr>
      <w:tr>
        <w:tc>
          <w:tcPr>
            <w:tcW w:type="dxa" w:w="3515"/>
          </w:tcPr>
          <w:p>
            <w:pPr>
              <w:spacing w:lineRule="exact" w:line="600"/>
              <w:jc w:val="center"/>
            </w:pPr>
            <w:r/>
            <w:r>
              <w:rPr>
                <w:rFonts w:ascii="仿宋_GB2312" w:hAnsi="仿宋_GB2312" w:eastAsia="仿宋_GB2312"/>
                <w:b w:val="0"/>
                <w:color w:val="000000"/>
                <w:sz w:val="32"/>
              </w:rPr>
              <w:t>新余隆振投资合伙企业（有限合伙）</w:t>
            </w:r>
          </w:p>
        </w:tc>
        <w:tc>
          <w:tcPr>
            <w:tcW w:type="dxa" w:w="1814"/>
          </w:tcPr>
          <w:p>
            <w:pPr>
              <w:spacing w:lineRule="exact" w:line="600"/>
              <w:jc w:val="center"/>
            </w:pPr>
            <w:r/>
            <w:r>
              <w:rPr>
                <w:rFonts w:ascii="仿宋_GB2312" w:hAnsi="仿宋_GB2312" w:eastAsia="仿宋_GB2312"/>
                <w:b w:val="0"/>
                <w:color w:val="000000"/>
                <w:sz w:val="32"/>
              </w:rPr>
              <w:t>境内非国有法人</w:t>
            </w:r>
          </w:p>
        </w:tc>
        <w:tc>
          <w:tcPr>
            <w:tcW w:type="dxa" w:w="1474"/>
          </w:tcPr>
          <w:p>
            <w:pPr>
              <w:spacing w:lineRule="exact" w:line="600"/>
              <w:jc w:val="center"/>
            </w:pPr>
            <w:r/>
            <w:r>
              <w:rPr>
                <w:rFonts w:ascii="仿宋_GB2312" w:hAnsi="仿宋_GB2312" w:eastAsia="仿宋_GB2312"/>
                <w:b w:val="0"/>
                <w:color w:val="000000"/>
                <w:sz w:val="32"/>
              </w:rPr>
              <w:t>5.00%</w:t>
            </w:r>
          </w:p>
        </w:tc>
        <w:tc>
          <w:tcPr>
            <w:tcW w:type="dxa" w:w="2041"/>
          </w:tcPr>
          <w:p>
            <w:pPr>
              <w:spacing w:lineRule="exact" w:line="600"/>
              <w:jc w:val="center"/>
            </w:pPr>
            <w:r/>
            <w:r>
              <w:rPr>
                <w:rFonts w:ascii="仿宋_GB2312" w:hAnsi="仿宋_GB2312" w:eastAsia="仿宋_GB2312"/>
                <w:b w:val="0"/>
                <w:color w:val="000000"/>
                <w:sz w:val="32"/>
              </w:rPr>
              <w:t>21,493,185</w:t>
            </w:r>
          </w:p>
        </w:tc>
      </w:tr>
      <w:tr>
        <w:tc>
          <w:tcPr>
            <w:tcW w:type="dxa" w:w="3515"/>
          </w:tcPr>
          <w:p>
            <w:pPr>
              <w:spacing w:lineRule="exact" w:line="600"/>
              <w:jc w:val="center"/>
            </w:pPr>
            <w:r/>
            <w:r>
              <w:rPr>
                <w:rFonts w:ascii="仿宋_GB2312" w:hAnsi="仿宋_GB2312" w:eastAsia="仿宋_GB2312"/>
                <w:b w:val="0"/>
                <w:color w:val="000000"/>
                <w:sz w:val="32"/>
              </w:rPr>
              <w:t>杲鑫</w:t>
            </w:r>
          </w:p>
        </w:tc>
        <w:tc>
          <w:tcPr>
            <w:tcW w:type="dxa" w:w="1814"/>
          </w:tcPr>
          <w:p>
            <w:pPr>
              <w:spacing w:lineRule="exact" w:line="600"/>
              <w:jc w:val="center"/>
            </w:pPr>
            <w:r/>
            <w:r>
              <w:rPr>
                <w:rFonts w:ascii="仿宋_GB2312" w:hAnsi="仿宋_GB2312" w:eastAsia="仿宋_GB2312"/>
                <w:b w:val="0"/>
                <w:color w:val="000000"/>
                <w:sz w:val="32"/>
              </w:rPr>
              <w:t>境内自然人</w:t>
            </w:r>
          </w:p>
        </w:tc>
        <w:tc>
          <w:tcPr>
            <w:tcW w:type="dxa" w:w="1474"/>
          </w:tcPr>
          <w:p>
            <w:pPr>
              <w:spacing w:lineRule="exact" w:line="600"/>
              <w:jc w:val="center"/>
            </w:pPr>
            <w:r/>
            <w:r>
              <w:rPr>
                <w:rFonts w:ascii="仿宋_GB2312" w:hAnsi="仿宋_GB2312" w:eastAsia="仿宋_GB2312"/>
                <w:b w:val="0"/>
                <w:color w:val="000000"/>
                <w:sz w:val="32"/>
              </w:rPr>
              <w:t>2.36%</w:t>
            </w:r>
          </w:p>
        </w:tc>
        <w:tc>
          <w:tcPr>
            <w:tcW w:type="dxa" w:w="2041"/>
          </w:tcPr>
          <w:p>
            <w:pPr>
              <w:spacing w:lineRule="exact" w:line="600"/>
              <w:jc w:val="center"/>
            </w:pPr>
            <w:r/>
            <w:r>
              <w:rPr>
                <w:rFonts w:ascii="仿宋_GB2312" w:hAnsi="仿宋_GB2312" w:eastAsia="仿宋_GB2312"/>
                <w:b w:val="0"/>
                <w:color w:val="000000"/>
                <w:sz w:val="32"/>
              </w:rPr>
              <w:t>10,158,237</w:t>
            </w:r>
          </w:p>
        </w:tc>
      </w:tr>
      <w:tr>
        <w:tc>
          <w:tcPr>
            <w:tcW w:type="dxa" w:w="3515"/>
          </w:tcPr>
          <w:p>
            <w:pPr>
              <w:spacing w:lineRule="exact" w:line="600"/>
              <w:jc w:val="center"/>
            </w:pPr>
            <w:r/>
            <w:r>
              <w:rPr>
                <w:rFonts w:ascii="仿宋_GB2312" w:hAnsi="仿宋_GB2312" w:eastAsia="仿宋_GB2312"/>
                <w:b w:val="0"/>
                <w:color w:val="000000"/>
                <w:sz w:val="32"/>
              </w:rPr>
              <w:t>新余隆宁投资合伙企业（有限合伙）</w:t>
            </w:r>
          </w:p>
        </w:tc>
        <w:tc>
          <w:tcPr>
            <w:tcW w:type="dxa" w:w="1814"/>
          </w:tcPr>
          <w:p>
            <w:pPr>
              <w:spacing w:lineRule="exact" w:line="600"/>
              <w:jc w:val="center"/>
            </w:pPr>
            <w:r/>
            <w:r>
              <w:rPr>
                <w:rFonts w:ascii="仿宋_GB2312" w:hAnsi="仿宋_GB2312" w:eastAsia="仿宋_GB2312"/>
                <w:b w:val="0"/>
                <w:color w:val="000000"/>
                <w:sz w:val="32"/>
              </w:rPr>
              <w:t>境内非国有法人</w:t>
            </w:r>
          </w:p>
        </w:tc>
        <w:tc>
          <w:tcPr>
            <w:tcW w:type="dxa" w:w="1474"/>
          </w:tcPr>
          <w:p>
            <w:pPr>
              <w:spacing w:lineRule="exact" w:line="600"/>
              <w:jc w:val="center"/>
            </w:pPr>
            <w:r/>
            <w:r>
              <w:rPr>
                <w:rFonts w:ascii="仿宋_GB2312" w:hAnsi="仿宋_GB2312" w:eastAsia="仿宋_GB2312"/>
                <w:b w:val="0"/>
                <w:color w:val="000000"/>
                <w:sz w:val="32"/>
              </w:rPr>
              <w:t>1.59%</w:t>
            </w:r>
          </w:p>
        </w:tc>
        <w:tc>
          <w:tcPr>
            <w:tcW w:type="dxa" w:w="2041"/>
          </w:tcPr>
          <w:p>
            <w:pPr>
              <w:spacing w:lineRule="exact" w:line="600"/>
              <w:jc w:val="center"/>
            </w:pPr>
            <w:r/>
            <w:r>
              <w:rPr>
                <w:rFonts w:ascii="仿宋_GB2312" w:hAnsi="仿宋_GB2312" w:eastAsia="仿宋_GB2312"/>
                <w:b w:val="0"/>
                <w:color w:val="000000"/>
                <w:sz w:val="32"/>
              </w:rPr>
              <w:t>6,848,019</w:t>
            </w:r>
          </w:p>
        </w:tc>
      </w:tr>
      <w:tr>
        <w:tc>
          <w:tcPr>
            <w:tcW w:type="dxa" w:w="3515"/>
          </w:tcPr>
          <w:p>
            <w:pPr>
              <w:spacing w:lineRule="exact" w:line="600"/>
              <w:jc w:val="center"/>
            </w:pPr>
            <w:r/>
            <w:r>
              <w:rPr>
                <w:rFonts w:ascii="仿宋_GB2312" w:hAnsi="仿宋_GB2312" w:eastAsia="仿宋_GB2312"/>
                <w:b w:val="0"/>
                <w:color w:val="000000"/>
                <w:sz w:val="32"/>
              </w:rPr>
              <w:t>韩曰曾</w:t>
            </w:r>
          </w:p>
        </w:tc>
        <w:tc>
          <w:tcPr>
            <w:tcW w:type="dxa" w:w="1814"/>
          </w:tcPr>
          <w:p>
            <w:pPr>
              <w:spacing w:lineRule="exact" w:line="600"/>
              <w:jc w:val="center"/>
            </w:pPr>
            <w:r/>
            <w:r>
              <w:rPr>
                <w:rFonts w:ascii="仿宋_GB2312" w:hAnsi="仿宋_GB2312" w:eastAsia="仿宋_GB2312"/>
                <w:b w:val="0"/>
                <w:color w:val="000000"/>
                <w:sz w:val="32"/>
              </w:rPr>
              <w:t>境内自然人</w:t>
            </w:r>
          </w:p>
        </w:tc>
        <w:tc>
          <w:tcPr>
            <w:tcW w:type="dxa" w:w="1474"/>
          </w:tcPr>
          <w:p>
            <w:pPr>
              <w:spacing w:lineRule="exact" w:line="600"/>
              <w:jc w:val="center"/>
            </w:pPr>
            <w:r/>
            <w:r>
              <w:rPr>
                <w:rFonts w:ascii="仿宋_GB2312" w:hAnsi="仿宋_GB2312" w:eastAsia="仿宋_GB2312"/>
                <w:b w:val="0"/>
                <w:color w:val="000000"/>
                <w:sz w:val="32"/>
              </w:rPr>
              <w:t>1.51%</w:t>
            </w:r>
          </w:p>
        </w:tc>
        <w:tc>
          <w:tcPr>
            <w:tcW w:type="dxa" w:w="2041"/>
          </w:tcPr>
          <w:p>
            <w:pPr>
              <w:spacing w:lineRule="exact" w:line="600"/>
              <w:jc w:val="center"/>
            </w:pPr>
            <w:r/>
            <w:r>
              <w:rPr>
                <w:rFonts w:ascii="仿宋_GB2312" w:hAnsi="仿宋_GB2312" w:eastAsia="仿宋_GB2312"/>
                <w:b w:val="0"/>
                <w:color w:val="000000"/>
                <w:sz w:val="32"/>
              </w:rPr>
              <w:t>6,497,509</w:t>
            </w:r>
          </w:p>
        </w:tc>
      </w:tr>
      <w:tr>
        <w:tc>
          <w:tcPr>
            <w:tcW w:type="dxa" w:w="3515"/>
          </w:tcPr>
          <w:p>
            <w:pPr>
              <w:spacing w:lineRule="exact" w:line="600"/>
              <w:jc w:val="center"/>
            </w:pPr>
            <w:r/>
            <w:r>
              <w:rPr>
                <w:rFonts w:ascii="仿宋_GB2312" w:hAnsi="仿宋_GB2312" w:eastAsia="仿宋_GB2312"/>
                <w:b w:val="0"/>
                <w:color w:val="000000"/>
                <w:sz w:val="32"/>
              </w:rPr>
              <w:t>新余隆信投资合伙企业（有限合伙）</w:t>
            </w:r>
          </w:p>
        </w:tc>
        <w:tc>
          <w:tcPr>
            <w:tcW w:type="dxa" w:w="1814"/>
          </w:tcPr>
          <w:p>
            <w:pPr>
              <w:spacing w:lineRule="exact" w:line="600"/>
              <w:jc w:val="center"/>
            </w:pPr>
            <w:r/>
            <w:r>
              <w:rPr>
                <w:rFonts w:ascii="仿宋_GB2312" w:hAnsi="仿宋_GB2312" w:eastAsia="仿宋_GB2312"/>
                <w:b w:val="0"/>
                <w:color w:val="000000"/>
                <w:sz w:val="32"/>
              </w:rPr>
              <w:t>境内非国有法人</w:t>
            </w:r>
          </w:p>
        </w:tc>
        <w:tc>
          <w:tcPr>
            <w:tcW w:type="dxa" w:w="1474"/>
          </w:tcPr>
          <w:p>
            <w:pPr>
              <w:spacing w:lineRule="exact" w:line="600"/>
              <w:jc w:val="center"/>
            </w:pPr>
            <w:r/>
            <w:r>
              <w:rPr>
                <w:rFonts w:ascii="仿宋_GB2312" w:hAnsi="仿宋_GB2312" w:eastAsia="仿宋_GB2312"/>
                <w:b w:val="0"/>
                <w:color w:val="000000"/>
                <w:sz w:val="32"/>
              </w:rPr>
              <w:t>1.09%</w:t>
            </w:r>
          </w:p>
        </w:tc>
        <w:tc>
          <w:tcPr>
            <w:tcW w:type="dxa" w:w="2041"/>
          </w:tcPr>
          <w:p>
            <w:pPr>
              <w:spacing w:lineRule="exact" w:line="600"/>
              <w:jc w:val="center"/>
            </w:pPr>
            <w:r/>
            <w:r>
              <w:rPr>
                <w:rFonts w:ascii="仿宋_GB2312" w:hAnsi="仿宋_GB2312" w:eastAsia="仿宋_GB2312"/>
                <w:b w:val="0"/>
                <w:color w:val="000000"/>
                <w:sz w:val="32"/>
              </w:rPr>
              <w:t>4,707,976</w:t>
            </w:r>
          </w:p>
        </w:tc>
      </w:tr>
      <w:tr>
        <w:tc>
          <w:tcPr>
            <w:tcW w:type="dxa" w:w="3515"/>
          </w:tcPr>
          <w:p>
            <w:pPr>
              <w:spacing w:lineRule="exact" w:line="600"/>
              <w:jc w:val="center"/>
            </w:pPr>
            <w:r/>
            <w:r>
              <w:rPr>
                <w:rFonts w:ascii="仿宋_GB2312" w:hAnsi="仿宋_GB2312" w:eastAsia="仿宋_GB2312"/>
                <w:b w:val="0"/>
                <w:color w:val="000000"/>
                <w:sz w:val="32"/>
              </w:rPr>
              <w:t>新余隆致投资合伙企业（有限合伙）</w:t>
            </w:r>
          </w:p>
        </w:tc>
        <w:tc>
          <w:tcPr>
            <w:tcW w:type="dxa" w:w="1814"/>
          </w:tcPr>
          <w:p>
            <w:pPr>
              <w:spacing w:lineRule="exact" w:line="600"/>
              <w:jc w:val="center"/>
            </w:pPr>
            <w:r/>
            <w:r>
              <w:rPr>
                <w:rFonts w:ascii="仿宋_GB2312" w:hAnsi="仿宋_GB2312" w:eastAsia="仿宋_GB2312"/>
                <w:b w:val="0"/>
                <w:color w:val="000000"/>
                <w:sz w:val="32"/>
              </w:rPr>
              <w:t>境内非国有法人</w:t>
            </w:r>
          </w:p>
        </w:tc>
        <w:tc>
          <w:tcPr>
            <w:tcW w:type="dxa" w:w="1474"/>
          </w:tcPr>
          <w:p>
            <w:pPr>
              <w:spacing w:lineRule="exact" w:line="600"/>
              <w:jc w:val="center"/>
            </w:pPr>
            <w:r/>
            <w:r>
              <w:rPr>
                <w:rFonts w:ascii="仿宋_GB2312" w:hAnsi="仿宋_GB2312" w:eastAsia="仿宋_GB2312"/>
                <w:b w:val="0"/>
                <w:color w:val="000000"/>
                <w:sz w:val="32"/>
              </w:rPr>
              <w:t>0.87%</w:t>
            </w:r>
          </w:p>
        </w:tc>
        <w:tc>
          <w:tcPr>
            <w:tcW w:type="dxa" w:w="2041"/>
          </w:tcPr>
          <w:p>
            <w:pPr>
              <w:spacing w:lineRule="exact" w:line="600"/>
              <w:jc w:val="center"/>
            </w:pPr>
            <w:r/>
            <w:r>
              <w:rPr>
                <w:rFonts w:ascii="仿宋_GB2312" w:hAnsi="仿宋_GB2312" w:eastAsia="仿宋_GB2312"/>
                <w:b w:val="0"/>
                <w:color w:val="000000"/>
                <w:sz w:val="32"/>
              </w:rPr>
              <w:t>3,762,195</w:t>
            </w:r>
          </w:p>
        </w:tc>
      </w:tr>
      <w:tr>
        <w:tc>
          <w:tcPr>
            <w:tcW w:type="dxa" w:w="3515"/>
          </w:tcPr>
          <w:p>
            <w:pPr>
              <w:spacing w:lineRule="exact" w:line="600"/>
              <w:jc w:val="center"/>
            </w:pPr>
            <w:r/>
            <w:r>
              <w:rPr>
                <w:rFonts w:ascii="仿宋_GB2312" w:hAnsi="仿宋_GB2312" w:eastAsia="仿宋_GB2312"/>
                <w:b w:val="0"/>
                <w:color w:val="000000"/>
                <w:sz w:val="32"/>
              </w:rPr>
              <w:t>嘉兴易凌君然投资管理合伙企业（有限合伙）</w:t>
            </w:r>
          </w:p>
        </w:tc>
        <w:tc>
          <w:tcPr>
            <w:tcW w:type="dxa" w:w="1814"/>
          </w:tcPr>
          <w:p>
            <w:pPr>
              <w:spacing w:lineRule="exact" w:line="600"/>
              <w:jc w:val="center"/>
            </w:pPr>
            <w:r/>
            <w:r>
              <w:rPr>
                <w:rFonts w:ascii="仿宋_GB2312" w:hAnsi="仿宋_GB2312" w:eastAsia="仿宋_GB2312"/>
                <w:b w:val="0"/>
                <w:color w:val="000000"/>
                <w:sz w:val="32"/>
              </w:rPr>
              <w:t>境内非国有法人</w:t>
            </w:r>
          </w:p>
        </w:tc>
        <w:tc>
          <w:tcPr>
            <w:tcW w:type="dxa" w:w="1474"/>
          </w:tcPr>
          <w:p>
            <w:pPr>
              <w:spacing w:lineRule="exact" w:line="600"/>
              <w:jc w:val="center"/>
            </w:pPr>
            <w:r/>
            <w:r>
              <w:rPr>
                <w:rFonts w:ascii="仿宋_GB2312" w:hAnsi="仿宋_GB2312" w:eastAsia="仿宋_GB2312"/>
                <w:b w:val="0"/>
                <w:color w:val="000000"/>
                <w:sz w:val="32"/>
              </w:rPr>
              <w:t>0.69%</w:t>
            </w:r>
          </w:p>
        </w:tc>
        <w:tc>
          <w:tcPr>
            <w:tcW w:type="dxa" w:w="2041"/>
          </w:tcPr>
          <w:p>
            <w:pPr>
              <w:spacing w:lineRule="exact" w:line="600"/>
              <w:jc w:val="center"/>
            </w:pPr>
            <w:r/>
            <w:r>
              <w:rPr>
                <w:rFonts w:ascii="仿宋_GB2312" w:hAnsi="仿宋_GB2312" w:eastAsia="仿宋_GB2312"/>
                <w:b w:val="0"/>
                <w:color w:val="000000"/>
                <w:sz w:val="32"/>
              </w:rPr>
              <w:t>2,979,429</w:t>
            </w:r>
          </w:p>
        </w:tc>
      </w:tr>
      <w:tr>
        <w:tc>
          <w:tcPr>
            <w:tcW w:type="dxa" w:w="3515"/>
          </w:tcPr>
          <w:p>
            <w:pPr>
              <w:spacing w:lineRule="exact" w:line="600"/>
              <w:jc w:val="center"/>
            </w:pPr>
            <w:r/>
            <w:r>
              <w:rPr>
                <w:rFonts w:ascii="仿宋_GB2312" w:hAnsi="仿宋_GB2312" w:eastAsia="仿宋_GB2312"/>
                <w:b w:val="0"/>
                <w:color w:val="000000"/>
                <w:sz w:val="32"/>
              </w:rPr>
              <w:t>徐信国</w:t>
            </w:r>
          </w:p>
        </w:tc>
        <w:tc>
          <w:tcPr>
            <w:tcW w:type="dxa" w:w="1814"/>
          </w:tcPr>
          <w:p>
            <w:pPr>
              <w:spacing w:lineRule="exact" w:line="600"/>
              <w:jc w:val="center"/>
            </w:pPr>
            <w:r/>
            <w:r>
              <w:rPr>
                <w:rFonts w:ascii="仿宋_GB2312" w:hAnsi="仿宋_GB2312" w:eastAsia="仿宋_GB2312"/>
                <w:b w:val="0"/>
                <w:color w:val="000000"/>
                <w:sz w:val="32"/>
              </w:rPr>
              <w:t>境内自然人</w:t>
            </w:r>
          </w:p>
        </w:tc>
        <w:tc>
          <w:tcPr>
            <w:tcW w:type="dxa" w:w="1474"/>
          </w:tcPr>
          <w:p>
            <w:pPr>
              <w:spacing w:lineRule="exact" w:line="600"/>
              <w:jc w:val="center"/>
            </w:pPr>
            <w:r/>
            <w:r>
              <w:rPr>
                <w:rFonts w:ascii="仿宋_GB2312" w:hAnsi="仿宋_GB2312" w:eastAsia="仿宋_GB2312"/>
                <w:b w:val="0"/>
                <w:color w:val="000000"/>
                <w:sz w:val="32"/>
              </w:rPr>
              <w:t>0.33%</w:t>
            </w:r>
          </w:p>
        </w:tc>
        <w:tc>
          <w:tcPr>
            <w:tcW w:type="dxa" w:w="2041"/>
          </w:tcPr>
          <w:p>
            <w:pPr>
              <w:spacing w:lineRule="exact" w:line="600"/>
              <w:jc w:val="center"/>
            </w:pPr>
            <w:r/>
            <w:r>
              <w:rPr>
                <w:rFonts w:ascii="仿宋_GB2312" w:hAnsi="仿宋_GB2312" w:eastAsia="仿宋_GB2312"/>
                <w:b w:val="0"/>
                <w:color w:val="000000"/>
                <w:sz w:val="32"/>
              </w:rPr>
              <w:t>1,400,900</w:t>
            </w:r>
          </w:p>
        </w:tc>
      </w:tr>
    </w:tbl>
    <w:p>
      <w:pPr>
        <w:spacing w:lineRule="exact" w:line="600" w:before="0" w:after="0"/>
        <w:ind w:firstLine="420"/>
        <w:jc w:val="both"/>
      </w:pPr>
      <w:r>
        <w:rPr>
          <w:rFonts w:ascii="仿宋_GB2312" w:hAnsi="仿宋_GB2312" w:eastAsia="仿宋_GB2312"/>
          <w:b w:val="0"/>
          <w:color w:val="000000"/>
          <w:sz w:val="32"/>
        </w:rPr>
        <w:t>控股股东与实际控制人方面，公司2025年年报明确披露：韩志刚先生与韩润泽先生签订一致行动协议，为公司的控股股东暨共同实际控制人，二人合计直接持股比例达52.12%，控制权高度集中且稳固。前十名股东中，韩曰曾先生为韩志刚先生之父，韩润泽先生为韩志刚先生之子，三代人合计直接持股约53.63%，构成典型的三代同堂式家族控股结构。</w:t>
      </w:r>
    </w:p>
    <w:p>
      <w:pPr>
        <w:spacing w:lineRule="exact" w:line="600" w:before="0" w:after="0"/>
        <w:ind w:firstLine="420"/>
        <w:jc w:val="both"/>
      </w:pPr>
      <w:r>
        <w:rPr>
          <w:rFonts w:ascii="仿宋_GB2312" w:hAnsi="仿宋_GB2312" w:eastAsia="仿宋_GB2312"/>
          <w:b w:val="0"/>
          <w:color w:val="000000"/>
          <w:sz w:val="32"/>
        </w:rPr>
        <w:t>韩志刚持有的145,684,764股中，有限售条件股份109,612,923股；韩润泽持有的78,444,164股中，有限售条件股份58,833,123股，限售比例均在75%左右，反映实际控制人股份大部分尚处于锁定状态，短期内大规模减持的可能性较低，有利于控制权稳定。</w:t>
      </w:r>
    </w:p>
    <w:p>
      <w:pPr>
        <w:spacing w:lineRule="exact" w:line="600" w:before="0" w:after="0"/>
        <w:ind w:firstLine="420"/>
        <w:jc w:val="both"/>
      </w:pPr>
      <w:r>
        <w:rPr>
          <w:rFonts w:ascii="仿宋_GB2312" w:hAnsi="仿宋_GB2312" w:eastAsia="仿宋_GB2312"/>
          <w:b w:val="0"/>
          <w:color w:val="000000"/>
          <w:sz w:val="32"/>
        </w:rPr>
        <w:t>新余隆振、新余隆宁、新余隆信、新余隆致等四个"新余系"有限合伙企业合计持股8.55%，从命名规律与持股安排判断，应为公司设立的员工持股或股东持股平台，构成核心团队的利益绑定机制。</w:t>
      </w:r>
    </w:p>
    <w:p>
      <w:pPr>
        <w:spacing w:lineRule="exact" w:line="600" w:before="0" w:after="0"/>
        <w:ind w:firstLine="420"/>
        <w:jc w:val="both"/>
      </w:pPr>
      <w:r>
        <w:rPr>
          <w:rFonts w:ascii="仿宋_GB2312" w:hAnsi="仿宋_GB2312" w:eastAsia="仿宋_GB2312"/>
          <w:b w:val="0"/>
          <w:color w:val="000000"/>
          <w:sz w:val="32"/>
        </w:rPr>
        <w:t>需要重点关注的风险信号是：股东杲鑫持有的10,158,237股（占总股本2.36%）全部处于冻结状态。该股东所持股份被司法冻结，虽占比不高、对公司控制权无实质影响，但反映该股东自身存在债务或涉诉问题，若后续被司法拍卖处置，可能对股价形成阶段性压力。</w:t>
      </w:r>
    </w:p>
    <w:p>
      <w:pPr>
        <w:spacing w:lineRule="exact" w:line="600" w:before="120" w:after="120"/>
        <w:ind w:firstLine="420"/>
        <w:jc w:val="left"/>
      </w:pPr>
      <w:r>
        <w:rPr>
          <w:rFonts w:ascii="楷体_GB2312" w:hAnsi="楷体_GB2312" w:eastAsia="楷体_GB2312"/>
          <w:b w:val="0"/>
          <w:color w:val="000000"/>
          <w:sz w:val="32"/>
        </w:rPr>
        <w:t>（三）组织架构</w:t>
      </w:r>
    </w:p>
    <w:p>
      <w:pPr>
        <w:spacing w:lineRule="exact" w:line="600" w:before="0" w:after="0"/>
        <w:ind w:firstLine="420"/>
        <w:jc w:val="both"/>
      </w:pPr>
      <w:r>
        <w:rPr>
          <w:rFonts w:ascii="仿宋_GB2312" w:hAnsi="仿宋_GB2312" w:eastAsia="仿宋_GB2312"/>
          <w:b w:val="0"/>
          <w:color w:val="000000"/>
          <w:sz w:val="32"/>
        </w:rPr>
        <w:t>公司为集团化运营的上市公司，启信宝集团口径显示"隆华新材集团"成员企业12家，注册资本总和16.52亿元，社保人数总和571人，公司对外投资4家、实际控制企业4家。</w:t>
      </w:r>
    </w:p>
    <w:p>
      <w:pPr>
        <w:spacing w:lineRule="exact" w:line="600" w:before="0" w:after="0"/>
        <w:ind w:firstLine="420"/>
        <w:jc w:val="both"/>
      </w:pPr>
      <w:r>
        <w:rPr>
          <w:rFonts w:ascii="仿宋_GB2312" w:hAnsi="仿宋_GB2312" w:eastAsia="仿宋_GB2312"/>
          <w:b w:val="0"/>
          <w:color w:val="000000"/>
          <w:sz w:val="32"/>
        </w:rPr>
        <w:t>主要子公司包括：一是隆华（上海）高分子材料有限公司，持股100%，主营改性新材料生产及销售；二是山东隆华高分子材料有限公司，持股65.69%，主营化工新材料生产及销售；三是隆华高材（山东隆华高材新材料有限公司），系公司全资子公司，专门从事尼龙66纤维级树脂和尼龙66工程塑料树脂的研发与生产，是公司第二增长曲线的承载主体。</w:t>
      </w:r>
    </w:p>
    <w:p>
      <w:pPr>
        <w:spacing w:lineRule="exact" w:line="600" w:before="0" w:after="0"/>
        <w:ind w:firstLine="420"/>
        <w:jc w:val="both"/>
      </w:pPr>
      <w:r>
        <w:rPr>
          <w:rFonts w:ascii="仿宋_GB2312" w:hAnsi="仿宋_GB2312" w:eastAsia="仿宋_GB2312"/>
          <w:b w:val="0"/>
          <w:color w:val="000000"/>
          <w:sz w:val="32"/>
        </w:rPr>
        <w:t>分支机构方面，公司现存续三家分公司：上海分公司（2021年3月设立）、青岛分公司（2020年7月设立）、浙江分公司（2018年8月设立，位于舟山）；另有深圳分公司（2023年设立）与李沧分公司（2020年设立）已注销。分公司布局集中于长三角与山东沿海，贴近下游软体家具、鞋材、汽车等聚醚消费市场以及港口物流节点，体现"生产基地在高青、市场触角在沿海"的空间布局逻辑。</w:t>
      </w:r>
    </w:p>
    <w:p>
      <w:pPr>
        <w:spacing w:lineRule="exact" w:line="600" w:before="0" w:after="0"/>
        <w:ind w:firstLine="420"/>
        <w:jc w:val="both"/>
      </w:pPr>
      <w:r>
        <w:rPr>
          <w:rFonts w:ascii="仿宋_GB2312" w:hAnsi="仿宋_GB2312" w:eastAsia="仿宋_GB2312"/>
          <w:b w:val="0"/>
          <w:color w:val="000000"/>
          <w:sz w:val="32"/>
        </w:rPr>
        <w:t>业务板块上，公司围绕两条主线组织：聚醚多元醇产业链（POP聚合物多元醇、通用软泡聚醚、CASE用聚醚、端氨基聚醚/聚醚胺）与聚酰胺树脂产业链（尼龙66、长碳链尼龙（生物基）、透明尼龙、高温尼龙）。</w:t>
      </w:r>
    </w:p>
    <w:p>
      <w:pPr>
        <w:spacing w:lineRule="exact" w:line="600" w:before="120" w:after="120"/>
        <w:ind w:firstLine="420"/>
        <w:jc w:val="left"/>
      </w:pPr>
      <w:r>
        <w:rPr>
          <w:rFonts w:ascii="楷体_GB2312" w:hAnsi="楷体_GB2312" w:eastAsia="楷体_GB2312"/>
          <w:b w:val="0"/>
          <w:color w:val="000000"/>
          <w:sz w:val="32"/>
        </w:rPr>
        <w:t>（四）发展沿革</w:t>
      </w:r>
    </w:p>
    <w:p>
      <w:pPr>
        <w:spacing w:lineRule="exact" w:line="600" w:before="0" w:after="0"/>
        <w:ind w:firstLine="420"/>
        <w:jc w:val="both"/>
      </w:pPr>
      <w:r>
        <w:rPr>
          <w:rFonts w:ascii="仿宋_GB2312" w:hAnsi="仿宋_GB2312" w:eastAsia="仿宋_GB2312"/>
          <w:b w:val="0"/>
          <w:color w:val="000000"/>
          <w:sz w:val="32"/>
        </w:rPr>
        <w:t>2011年3月，公司以"山东隆华化工科技有限公司"名义在高青县设立，起步于聚醚多元醇生产。</w:t>
      </w:r>
    </w:p>
    <w:p>
      <w:pPr>
        <w:spacing w:lineRule="exact" w:line="600" w:before="0" w:after="0"/>
        <w:ind w:firstLine="420"/>
        <w:jc w:val="both"/>
      </w:pPr>
      <w:r>
        <w:rPr>
          <w:rFonts w:ascii="仿宋_GB2312" w:hAnsi="仿宋_GB2312" w:eastAsia="仿宋_GB2312"/>
          <w:b w:val="0"/>
          <w:color w:val="000000"/>
          <w:sz w:val="32"/>
        </w:rPr>
        <w:t>2015年12月，公司更名为"山东隆华新材料股份有限公司"，完成股份制改造，战略定位由"化工科技"升级为"新材料"，为资本市场之路奠定基础。</w:t>
      </w:r>
    </w:p>
    <w:p>
      <w:pPr>
        <w:spacing w:lineRule="exact" w:line="600" w:before="0" w:after="0"/>
        <w:ind w:firstLine="420"/>
        <w:jc w:val="both"/>
      </w:pPr>
      <w:r>
        <w:rPr>
          <w:rFonts w:ascii="仿宋_GB2312" w:hAnsi="仿宋_GB2312" w:eastAsia="仿宋_GB2312"/>
          <w:b w:val="0"/>
          <w:color w:val="000000"/>
          <w:sz w:val="32"/>
        </w:rPr>
        <w:t>2018年至2021年，公司先后设立浙江舟山、青岛、上海等分支机构，构建面向长三角与山东沿海市场的销售网络；同期持续扩充聚醚产能，产品品质提升至国际先进水平，出口至美国、德国、韩国等六十多个国家和地区。</w:t>
      </w:r>
    </w:p>
    <w:p>
      <w:pPr>
        <w:spacing w:lineRule="exact" w:line="600" w:before="0" w:after="0"/>
        <w:ind w:firstLine="420"/>
        <w:jc w:val="both"/>
      </w:pPr>
      <w:r>
        <w:rPr>
          <w:rFonts w:ascii="仿宋_GB2312" w:hAnsi="仿宋_GB2312" w:eastAsia="仿宋_GB2312"/>
          <w:b w:val="0"/>
          <w:color w:val="000000"/>
          <w:sz w:val="32"/>
        </w:rPr>
        <w:t>2021年11月10日，公司在深圳证券交易所创业板挂牌上市，证券代码301149，发行7000万股，发行价格10.07元/股，发行市盈率42.80倍，预计募集资金约3.02亿元，主承销商与上市保荐机构为东吴证券股份有限公司。公司由此成为高青县首家A股上市企业，实现了当地资本市场"零的突破"，这一里程碑事件对高青县新材料特色产业集群的品牌塑造与招商引资具有标志性意义。</w:t>
      </w:r>
    </w:p>
    <w:p>
      <w:pPr>
        <w:spacing w:lineRule="exact" w:line="600" w:before="0" w:after="0"/>
        <w:ind w:firstLine="420"/>
        <w:jc w:val="both"/>
      </w:pPr>
      <w:r>
        <w:rPr>
          <w:rFonts w:ascii="仿宋_GB2312" w:hAnsi="仿宋_GB2312" w:eastAsia="仿宋_GB2312"/>
          <w:b w:val="0"/>
          <w:color w:val="000000"/>
          <w:sz w:val="32"/>
        </w:rPr>
        <w:t>2022年至2023年，公司进入产能与业绩快速扩张期：2023年营业收入50.21亿元、同比增长58.50%，归母净利润2.48亿元、同比增长95.34%，创下上市以来最佳业绩；同期启动8万吨端氨基聚醚项目与一期16万吨/年尼龙66项目建设，在建工程较上年末大幅增长441.54%。</w:t>
      </w:r>
    </w:p>
    <w:p>
      <w:pPr>
        <w:spacing w:lineRule="exact" w:line="600" w:before="0" w:after="0"/>
        <w:ind w:firstLine="420"/>
        <w:jc w:val="both"/>
      </w:pPr>
      <w:r>
        <w:rPr>
          <w:rFonts w:ascii="仿宋_GB2312" w:hAnsi="仿宋_GB2312" w:eastAsia="仿宋_GB2312"/>
          <w:b w:val="0"/>
          <w:color w:val="000000"/>
          <w:sz w:val="32"/>
        </w:rPr>
        <w:t>2024年至2025年，公司进入产能释放与利润消化期：2024年营业收入56.24亿元、归母净利润1.71亿元；2025年营业收入63.20亿元、同比增长12.38%，归母净利润1.43亿元、同比下降16.84%。业绩"增收不增利"的主要原因是行业景气度下行导致产品毛利率收窄，以及工程项目转固后固定资产折旧计入成本费用大幅增加。同期尼龙66一期4万吨生产装置建成试生产，聚酰胺业务实现从零到一的突破。</w:t>
      </w:r>
    </w:p>
    <w:p>
      <w:pPr>
        <w:spacing w:lineRule="exact" w:line="600" w:before="0" w:after="0"/>
        <w:ind w:firstLine="420"/>
        <w:jc w:val="both"/>
      </w:pPr>
      <w:r>
        <w:rPr>
          <w:rFonts w:ascii="仿宋_GB2312" w:hAnsi="仿宋_GB2312" w:eastAsia="仿宋_GB2312"/>
          <w:b w:val="0"/>
          <w:color w:val="000000"/>
          <w:sz w:val="32"/>
        </w:rPr>
        <w:t>2025年10月至2026年4月，公司密集推进技改与新建项目环评公示，包括POP技改项目、端氨基聚醚技改项目、年产20万吨环保型聚醚系列产品建设项目，显示新一轮产能扩张已在路上。</w:t>
      </w:r>
    </w:p>
    <w:p>
      <w:pPr>
        <w:spacing w:lineRule="exact" w:line="600" w:before="0" w:after="0"/>
        <w:ind w:firstLine="420"/>
        <w:jc w:val="both"/>
      </w:pPr>
      <w:r>
        <w:rPr>
          <w:rFonts w:ascii="仿宋_GB2312" w:hAnsi="仿宋_GB2312" w:eastAsia="仿宋_GB2312"/>
          <w:b w:val="0"/>
          <w:color w:val="000000"/>
          <w:sz w:val="32"/>
        </w:rPr>
        <w:t>荣誉资质方面，公司为国家高新技术企业、省级制造业单项冠军、绿色工厂、省级创新型中小企业。</w:t>
      </w:r>
    </w:p>
    <w:p>
      <w:pPr>
        <w:spacing w:lineRule="exact" w:line="600" w:before="120" w:after="120"/>
        <w:ind w:firstLine="420"/>
        <w:jc w:val="left"/>
      </w:pPr>
      <w:r>
        <w:rPr>
          <w:rFonts w:ascii="楷体_GB2312" w:hAnsi="楷体_GB2312" w:eastAsia="楷体_GB2312"/>
          <w:b w:val="0"/>
          <w:color w:val="000000"/>
          <w:sz w:val="32"/>
        </w:rPr>
        <w:t>（五）企业定位与主营业务</w:t>
      </w:r>
    </w:p>
    <w:p>
      <w:pPr>
        <w:spacing w:lineRule="exact" w:line="600" w:before="0" w:after="0"/>
        <w:ind w:firstLine="420"/>
        <w:jc w:val="both"/>
      </w:pPr>
      <w:r>
        <w:rPr>
          <w:rFonts w:ascii="仿宋_GB2312" w:hAnsi="仿宋_GB2312" w:eastAsia="仿宋_GB2312"/>
          <w:b w:val="0"/>
          <w:color w:val="000000"/>
          <w:sz w:val="32"/>
        </w:rPr>
        <w:t>公司战略定位为"国内专业的聚醚多元醇、聚酰胺树脂等新材料产业规模化生产企业"，专注于高性能、环保型新材料的研发、生产与销售，秉承"构建可持续的绿色未来"的发展理念，聚焦聚醚多元醇与尼龙66两条产业链发展，深化数字化、智能化、自动化革新，建设绿色、低碳、高效的智慧工厂。</w:t>
      </w:r>
    </w:p>
    <w:p>
      <w:pPr>
        <w:spacing w:lineRule="exact" w:line="600" w:before="0" w:after="0"/>
        <w:ind w:firstLine="420"/>
        <w:jc w:val="both"/>
      </w:pPr>
      <w:r>
        <w:rPr>
          <w:rFonts w:ascii="仿宋_GB2312" w:hAnsi="仿宋_GB2312" w:eastAsia="仿宋_GB2312"/>
          <w:b w:val="0"/>
          <w:color w:val="000000"/>
          <w:sz w:val="32"/>
        </w:rPr>
        <w:t>主营业务为聚醚系列产品与聚酰胺树脂产品的研发、生产与销售。聚醚系列产品涵盖聚合物多元醇（简称POP，亦称接枝聚醚）、CASE用聚醚（涂料Coating、胶粘剂Adhesive、密封胶Sealant、弹性体Elastomer）、端氨基聚醚（聚醚胺）及通用软泡聚醚；聚酰胺树脂产品涵盖尼龙66、长碳链尼龙（生物基）、透明尼龙、高温尼龙等。</w:t>
      </w:r>
    </w:p>
    <w:p>
      <w:pPr>
        <w:spacing w:lineRule="exact" w:line="600" w:before="0" w:after="0"/>
        <w:ind w:firstLine="420"/>
        <w:jc w:val="both"/>
      </w:pPr>
      <w:r>
        <w:rPr>
          <w:rFonts w:ascii="仿宋_GB2312" w:hAnsi="仿宋_GB2312" w:eastAsia="仿宋_GB2312"/>
          <w:b w:val="0"/>
          <w:color w:val="000000"/>
          <w:sz w:val="32"/>
        </w:rPr>
        <w:t>下游应用领域包括家私类海绵、鞋材类海绵、汽车工业、CASE类应用以及工程塑料与纺丝行业，最终服务于家具家居、鞋服、汽车内饰与座椅、建筑保温、风电叶片（聚醚胺用于环氧固化剂）等广泛消费与工业场景。</w:t>
      </w:r>
    </w:p>
    <w:p>
      <w:pPr>
        <w:spacing w:lineRule="exact" w:line="600" w:before="120" w:after="120"/>
        <w:ind w:firstLine="420"/>
        <w:jc w:val="left"/>
      </w:pPr>
      <w:r>
        <w:rPr>
          <w:rFonts w:ascii="黑体" w:hAnsi="黑体" w:eastAsia="黑体"/>
          <w:b w:val="0"/>
          <w:color w:val="000000"/>
          <w:sz w:val="32"/>
        </w:rPr>
        <w:t>二、业务层面分析（核心）</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根据2025年年度报告，公司主营业务构成高度集中于聚醚多元醇：聚醚多元醇收入61.94亿元，占比98.00%；聚酰胺树脂收入1450.74万元，占比0.23%；其他收入合计1.12亿元，占比1.77%。</w:t>
      </w:r>
    </w:p>
    <w:p>
      <w:pPr>
        <w:spacing w:lineRule="exact" w:line="600" w:before="0" w:after="0"/>
        <w:ind w:firstLine="420"/>
        <w:jc w:val="both"/>
      </w:pPr>
      <w:r>
        <w:rPr>
          <w:rFonts w:ascii="仿宋_GB2312" w:hAnsi="仿宋_GB2312" w:eastAsia="仿宋_GB2312"/>
          <w:b w:val="0"/>
          <w:color w:val="000000"/>
          <w:sz w:val="32"/>
        </w:rPr>
        <w:t>按细分产品口径，2025年公司聚醚产品收入结构与盈利水平如下：</w:t>
      </w:r>
    </w:p>
    <w:tbl>
      <w:tblPr>
        <w:tblStyle w:val="TableGrid"/>
        <w:tblW w:type="auto" w:w="0"/>
        <w:jc w:val="center"/>
        <w:tblLook w:firstColumn="1" w:firstRow="1" w:lastColumn="0" w:lastRow="0" w:noHBand="0" w:noVBand="1" w:val="04A0"/>
      </w:tblPr>
      <w:tblGrid>
        <w:gridCol w:w="2211"/>
        <w:gridCol w:w="2211"/>
        <w:gridCol w:w="2211"/>
        <w:gridCol w:w="2211"/>
      </w:tblGrid>
      <w:tr>
        <w:tc>
          <w:tcPr>
            <w:tcW w:type="dxa" w:w="2835"/>
          </w:tcPr>
          <w:p>
            <w:pPr>
              <w:spacing w:lineRule="exact" w:line="600"/>
              <w:jc w:val="center"/>
            </w:pPr>
            <w:r/>
            <w:r>
              <w:rPr>
                <w:rFonts w:ascii="黑体" w:hAnsi="黑体" w:eastAsia="黑体"/>
                <w:b/>
                <w:color w:val="000000"/>
                <w:sz w:val="32"/>
              </w:rPr>
              <w:t>产品类别</w:t>
            </w:r>
          </w:p>
        </w:tc>
        <w:tc>
          <w:tcPr>
            <w:tcW w:type="dxa" w:w="2381"/>
          </w:tcPr>
          <w:p>
            <w:pPr>
              <w:spacing w:lineRule="exact" w:line="600"/>
              <w:jc w:val="center"/>
            </w:pPr>
            <w:r/>
            <w:r>
              <w:rPr>
                <w:rFonts w:ascii="黑体" w:hAnsi="黑体" w:eastAsia="黑体"/>
                <w:b/>
                <w:color w:val="000000"/>
                <w:sz w:val="32"/>
              </w:rPr>
              <w:t>2025年销售收入（亿元）</w:t>
            </w:r>
          </w:p>
        </w:tc>
        <w:tc>
          <w:tcPr>
            <w:tcW w:type="dxa" w:w="1587"/>
          </w:tcPr>
          <w:p>
            <w:pPr>
              <w:spacing w:lineRule="exact" w:line="600"/>
              <w:jc w:val="center"/>
            </w:pPr>
            <w:r/>
            <w:r>
              <w:rPr>
                <w:rFonts w:ascii="黑体" w:hAnsi="黑体" w:eastAsia="黑体"/>
                <w:b/>
                <w:color w:val="000000"/>
                <w:sz w:val="32"/>
              </w:rPr>
              <w:t>收入占比</w:t>
            </w:r>
          </w:p>
        </w:tc>
        <w:tc>
          <w:tcPr>
            <w:tcW w:type="dxa" w:w="1587"/>
          </w:tcPr>
          <w:p>
            <w:pPr>
              <w:spacing w:lineRule="exact" w:line="600"/>
              <w:jc w:val="center"/>
            </w:pPr>
            <w:r/>
            <w:r>
              <w:rPr>
                <w:rFonts w:ascii="黑体" w:hAnsi="黑体" w:eastAsia="黑体"/>
                <w:b/>
                <w:color w:val="000000"/>
                <w:sz w:val="32"/>
              </w:rPr>
              <w:t>毛利率</w:t>
            </w:r>
          </w:p>
        </w:tc>
      </w:tr>
      <w:tr>
        <w:tc>
          <w:tcPr>
            <w:tcW w:type="dxa" w:w="2835"/>
          </w:tcPr>
          <w:p>
            <w:pPr>
              <w:spacing w:lineRule="exact" w:line="600"/>
              <w:jc w:val="center"/>
            </w:pPr>
            <w:r/>
            <w:r>
              <w:rPr>
                <w:rFonts w:ascii="仿宋_GB2312" w:hAnsi="仿宋_GB2312" w:eastAsia="仿宋_GB2312"/>
                <w:b w:val="0"/>
                <w:color w:val="000000"/>
                <w:sz w:val="32"/>
              </w:rPr>
              <w:t>POP聚醚（聚合物多元醇）</w:t>
            </w:r>
          </w:p>
        </w:tc>
        <w:tc>
          <w:tcPr>
            <w:tcW w:type="dxa" w:w="2381"/>
          </w:tcPr>
          <w:p>
            <w:pPr>
              <w:spacing w:lineRule="exact" w:line="600"/>
              <w:jc w:val="center"/>
            </w:pPr>
            <w:r/>
            <w:r>
              <w:rPr>
                <w:rFonts w:ascii="仿宋_GB2312" w:hAnsi="仿宋_GB2312" w:eastAsia="仿宋_GB2312"/>
                <w:b w:val="0"/>
                <w:color w:val="000000"/>
                <w:sz w:val="32"/>
              </w:rPr>
              <w:t>29.99</w:t>
            </w:r>
          </w:p>
        </w:tc>
        <w:tc>
          <w:tcPr>
            <w:tcW w:type="dxa" w:w="1587"/>
          </w:tcPr>
          <w:p>
            <w:pPr>
              <w:spacing w:lineRule="exact" w:line="600"/>
              <w:jc w:val="center"/>
            </w:pPr>
            <w:r/>
            <w:r>
              <w:rPr>
                <w:rFonts w:ascii="仿宋_GB2312" w:hAnsi="仿宋_GB2312" w:eastAsia="仿宋_GB2312"/>
                <w:b w:val="0"/>
                <w:color w:val="000000"/>
                <w:sz w:val="32"/>
              </w:rPr>
              <w:t>47.46%</w:t>
            </w:r>
          </w:p>
        </w:tc>
        <w:tc>
          <w:tcPr>
            <w:tcW w:type="dxa" w:w="1587"/>
          </w:tcPr>
          <w:p>
            <w:pPr>
              <w:spacing w:lineRule="exact" w:line="600"/>
              <w:jc w:val="center"/>
            </w:pPr>
            <w:r/>
            <w:r>
              <w:rPr>
                <w:rFonts w:ascii="仿宋_GB2312" w:hAnsi="仿宋_GB2312" w:eastAsia="仿宋_GB2312"/>
                <w:b w:val="0"/>
                <w:color w:val="000000"/>
                <w:sz w:val="32"/>
              </w:rPr>
              <w:t>5.94%</w:t>
            </w:r>
          </w:p>
        </w:tc>
      </w:tr>
      <w:tr>
        <w:tc>
          <w:tcPr>
            <w:tcW w:type="dxa" w:w="2835"/>
          </w:tcPr>
          <w:p>
            <w:pPr>
              <w:spacing w:lineRule="exact" w:line="600"/>
              <w:jc w:val="center"/>
            </w:pPr>
            <w:r/>
            <w:r>
              <w:rPr>
                <w:rFonts w:ascii="仿宋_GB2312" w:hAnsi="仿宋_GB2312" w:eastAsia="仿宋_GB2312"/>
                <w:b w:val="0"/>
                <w:color w:val="000000"/>
                <w:sz w:val="32"/>
              </w:rPr>
              <w:t>通用软泡聚醚</w:t>
            </w:r>
          </w:p>
        </w:tc>
        <w:tc>
          <w:tcPr>
            <w:tcW w:type="dxa" w:w="2381"/>
          </w:tcPr>
          <w:p>
            <w:pPr>
              <w:spacing w:lineRule="exact" w:line="600"/>
              <w:jc w:val="center"/>
            </w:pPr>
            <w:r/>
            <w:r>
              <w:rPr>
                <w:rFonts w:ascii="仿宋_GB2312" w:hAnsi="仿宋_GB2312" w:eastAsia="仿宋_GB2312"/>
                <w:b w:val="0"/>
                <w:color w:val="000000"/>
                <w:sz w:val="32"/>
              </w:rPr>
              <w:t>25.04</w:t>
            </w:r>
          </w:p>
        </w:tc>
        <w:tc>
          <w:tcPr>
            <w:tcW w:type="dxa" w:w="1587"/>
          </w:tcPr>
          <w:p>
            <w:pPr>
              <w:spacing w:lineRule="exact" w:line="600"/>
              <w:jc w:val="center"/>
            </w:pPr>
            <w:r/>
            <w:r>
              <w:rPr>
                <w:rFonts w:ascii="仿宋_GB2312" w:hAnsi="仿宋_GB2312" w:eastAsia="仿宋_GB2312"/>
                <w:b w:val="0"/>
                <w:color w:val="000000"/>
                <w:sz w:val="32"/>
              </w:rPr>
              <w:t>39.62%</w:t>
            </w:r>
          </w:p>
        </w:tc>
        <w:tc>
          <w:tcPr>
            <w:tcW w:type="dxa" w:w="1587"/>
          </w:tcPr>
          <w:p>
            <w:pPr>
              <w:spacing w:lineRule="exact" w:line="600"/>
              <w:jc w:val="center"/>
            </w:pPr>
            <w:r/>
            <w:r>
              <w:rPr>
                <w:rFonts w:ascii="仿宋_GB2312" w:hAnsi="仿宋_GB2312" w:eastAsia="仿宋_GB2312"/>
                <w:b w:val="0"/>
                <w:color w:val="000000"/>
                <w:sz w:val="32"/>
              </w:rPr>
              <w:t>2.33%</w:t>
            </w:r>
          </w:p>
        </w:tc>
      </w:tr>
      <w:tr>
        <w:tc>
          <w:tcPr>
            <w:tcW w:type="dxa" w:w="2835"/>
          </w:tcPr>
          <w:p>
            <w:pPr>
              <w:spacing w:lineRule="exact" w:line="600"/>
              <w:jc w:val="center"/>
            </w:pPr>
            <w:r/>
            <w:r>
              <w:rPr>
                <w:rFonts w:ascii="仿宋_GB2312" w:hAnsi="仿宋_GB2312" w:eastAsia="仿宋_GB2312"/>
                <w:b w:val="0"/>
                <w:color w:val="000000"/>
                <w:sz w:val="32"/>
              </w:rPr>
              <w:t>CASE用聚醚</w:t>
            </w:r>
          </w:p>
        </w:tc>
        <w:tc>
          <w:tcPr>
            <w:tcW w:type="dxa" w:w="2381"/>
          </w:tcPr>
          <w:p>
            <w:pPr>
              <w:spacing w:lineRule="exact" w:line="600"/>
              <w:jc w:val="center"/>
            </w:pPr>
            <w:r/>
            <w:r>
              <w:rPr>
                <w:rFonts w:ascii="仿宋_GB2312" w:hAnsi="仿宋_GB2312" w:eastAsia="仿宋_GB2312"/>
                <w:b w:val="0"/>
                <w:color w:val="000000"/>
                <w:sz w:val="32"/>
              </w:rPr>
              <w:t>3.97</w:t>
            </w:r>
          </w:p>
        </w:tc>
        <w:tc>
          <w:tcPr>
            <w:tcW w:type="dxa" w:w="1587"/>
          </w:tcPr>
          <w:p>
            <w:pPr>
              <w:spacing w:lineRule="exact" w:line="600"/>
              <w:jc w:val="center"/>
            </w:pPr>
            <w:r/>
            <w:r>
              <w:rPr>
                <w:rFonts w:ascii="仿宋_GB2312" w:hAnsi="仿宋_GB2312" w:eastAsia="仿宋_GB2312"/>
                <w:b w:val="0"/>
                <w:color w:val="000000"/>
                <w:sz w:val="32"/>
              </w:rPr>
              <w:t>6.58%</w:t>
            </w:r>
          </w:p>
        </w:tc>
        <w:tc>
          <w:tcPr>
            <w:tcW w:type="dxa" w:w="1587"/>
          </w:tcPr>
          <w:p>
            <w:pPr>
              <w:spacing w:lineRule="exact" w:line="600"/>
              <w:jc w:val="center"/>
            </w:pPr>
            <w:r/>
            <w:r>
              <w:rPr>
                <w:rFonts w:ascii="仿宋_GB2312" w:hAnsi="仿宋_GB2312" w:eastAsia="仿宋_GB2312"/>
                <w:b w:val="0"/>
                <w:color w:val="000000"/>
                <w:sz w:val="32"/>
              </w:rPr>
              <w:t>4.48%</w:t>
            </w:r>
          </w:p>
        </w:tc>
      </w:tr>
      <w:tr>
        <w:tc>
          <w:tcPr>
            <w:tcW w:type="dxa" w:w="2835"/>
          </w:tcPr>
          <w:p>
            <w:pPr>
              <w:spacing w:lineRule="exact" w:line="600"/>
              <w:jc w:val="center"/>
            </w:pPr>
            <w:r/>
            <w:r>
              <w:rPr>
                <w:rFonts w:ascii="仿宋_GB2312" w:hAnsi="仿宋_GB2312" w:eastAsia="仿宋_GB2312"/>
                <w:b w:val="0"/>
                <w:color w:val="000000"/>
                <w:sz w:val="32"/>
              </w:rPr>
              <w:t>聚醚胺（端氨基聚醚）</w:t>
            </w:r>
          </w:p>
        </w:tc>
        <w:tc>
          <w:tcPr>
            <w:tcW w:type="dxa" w:w="2381"/>
          </w:tcPr>
          <w:p>
            <w:pPr>
              <w:spacing w:lineRule="exact" w:line="600"/>
              <w:jc w:val="center"/>
            </w:pPr>
            <w:r/>
            <w:r>
              <w:rPr>
                <w:rFonts w:ascii="仿宋_GB2312" w:hAnsi="仿宋_GB2312" w:eastAsia="仿宋_GB2312"/>
                <w:b w:val="0"/>
                <w:color w:val="000000"/>
                <w:sz w:val="32"/>
              </w:rPr>
              <w:t>2.75</w:t>
            </w:r>
          </w:p>
        </w:tc>
        <w:tc>
          <w:tcPr>
            <w:tcW w:type="dxa" w:w="1587"/>
          </w:tcPr>
          <w:p>
            <w:pPr>
              <w:spacing w:lineRule="exact" w:line="600"/>
              <w:jc w:val="center"/>
            </w:pPr>
            <w:r/>
            <w:r>
              <w:rPr>
                <w:rFonts w:ascii="仿宋_GB2312" w:hAnsi="仿宋_GB2312" w:eastAsia="仿宋_GB2312"/>
                <w:b w:val="0"/>
                <w:color w:val="000000"/>
                <w:sz w:val="32"/>
              </w:rPr>
              <w:t>—</w:t>
            </w:r>
          </w:p>
        </w:tc>
        <w:tc>
          <w:tcPr>
            <w:tcW w:type="dxa" w:w="1587"/>
          </w:tcPr>
          <w:p>
            <w:pPr>
              <w:spacing w:lineRule="exact" w:line="600"/>
              <w:jc w:val="center"/>
            </w:pPr>
            <w:r/>
            <w:r>
              <w:rPr>
                <w:rFonts w:ascii="仿宋_GB2312" w:hAnsi="仿宋_GB2312" w:eastAsia="仿宋_GB2312"/>
                <w:b w:val="0"/>
                <w:color w:val="000000"/>
                <w:sz w:val="32"/>
              </w:rPr>
              <w:t>—</w:t>
            </w:r>
          </w:p>
        </w:tc>
      </w:tr>
      <w:tr>
        <w:tc>
          <w:tcPr>
            <w:tcW w:type="dxa" w:w="2835"/>
          </w:tcPr>
          <w:p>
            <w:pPr>
              <w:spacing w:lineRule="exact" w:line="600"/>
              <w:jc w:val="center"/>
            </w:pPr>
            <w:r/>
            <w:r>
              <w:rPr>
                <w:rFonts w:ascii="仿宋_GB2312" w:hAnsi="仿宋_GB2312" w:eastAsia="仿宋_GB2312"/>
                <w:b w:val="0"/>
                <w:color w:val="000000"/>
                <w:sz w:val="32"/>
              </w:rPr>
              <w:t>聚酰胺树脂（尼龙66等）</w:t>
            </w:r>
          </w:p>
        </w:tc>
        <w:tc>
          <w:tcPr>
            <w:tcW w:type="dxa" w:w="2381"/>
          </w:tcPr>
          <w:p>
            <w:pPr>
              <w:spacing w:lineRule="exact" w:line="600"/>
              <w:jc w:val="center"/>
            </w:pPr>
            <w:r/>
            <w:r>
              <w:rPr>
                <w:rFonts w:ascii="仿宋_GB2312" w:hAnsi="仿宋_GB2312" w:eastAsia="仿宋_GB2312"/>
                <w:b w:val="0"/>
                <w:color w:val="000000"/>
                <w:sz w:val="32"/>
              </w:rPr>
              <w:t>0.14</w:t>
            </w:r>
          </w:p>
        </w:tc>
        <w:tc>
          <w:tcPr>
            <w:tcW w:type="dxa" w:w="1587"/>
          </w:tcPr>
          <w:p>
            <w:pPr>
              <w:spacing w:lineRule="exact" w:line="600"/>
              <w:jc w:val="center"/>
            </w:pPr>
            <w:r/>
            <w:r>
              <w:rPr>
                <w:rFonts w:ascii="仿宋_GB2312" w:hAnsi="仿宋_GB2312" w:eastAsia="仿宋_GB2312"/>
                <w:b w:val="0"/>
                <w:color w:val="000000"/>
                <w:sz w:val="32"/>
              </w:rPr>
              <w:t>0.23%</w:t>
            </w:r>
          </w:p>
        </w:tc>
        <w:tc>
          <w:tcPr>
            <w:tcW w:type="dxa" w:w="1587"/>
          </w:tcPr>
          <w:p>
            <w:pPr>
              <w:spacing w:lineRule="exact" w:line="600"/>
              <w:jc w:val="center"/>
            </w:pPr>
            <w:r/>
            <w:r>
              <w:rPr>
                <w:rFonts w:ascii="仿宋_GB2312" w:hAnsi="仿宋_GB2312" w:eastAsia="仿宋_GB2312"/>
                <w:b w:val="0"/>
                <w:color w:val="000000"/>
                <w:sz w:val="32"/>
              </w:rPr>
              <w:t>—</w:t>
            </w:r>
          </w:p>
        </w:tc>
      </w:tr>
    </w:tbl>
    <w:p>
      <w:pPr>
        <w:spacing w:lineRule="exact" w:line="600" w:before="0" w:after="0"/>
        <w:ind w:firstLine="420"/>
        <w:jc w:val="both"/>
      </w:pPr>
      <w:r>
        <w:rPr>
          <w:rFonts w:ascii="仿宋_GB2312" w:hAnsi="仿宋_GB2312" w:eastAsia="仿宋_GB2312"/>
          <w:b w:val="0"/>
          <w:color w:val="000000"/>
          <w:sz w:val="32"/>
        </w:rPr>
        <w:t>注：上表收入占比为各产品收入占营业总收入63.20亿元的比例，聚醚胺与聚酰胺树脂的毛利率公司未单独披露。</w:t>
      </w:r>
    </w:p>
    <w:p>
      <w:pPr>
        <w:spacing w:lineRule="exact" w:line="600" w:before="0" w:after="0"/>
        <w:ind w:firstLine="420"/>
        <w:jc w:val="both"/>
      </w:pPr>
      <w:r>
        <w:rPr>
          <w:rFonts w:ascii="仿宋_GB2312" w:hAnsi="仿宋_GB2312" w:eastAsia="仿宋_GB2312"/>
          <w:b w:val="0"/>
          <w:color w:val="000000"/>
          <w:sz w:val="32"/>
        </w:rPr>
        <w:t>从收入结构可以看出三个特征：第一，POP聚醚是公司的核心产品与最大收入来源，占比接近半数，且毛利率（5.94%）显著高于通用软泡聚醚（2.33%），是主要利润贡献者；第二，通用软泡聚醚虽收入规模接近四成，但毛利率仅2.33%，处于微利状态，属于典型的规模型、同质化产品；第三，聚醚胺与聚酰胺树脂作为新兴品类，规模尚小但增长迅速，是公司改善产品结构、提升整体毛利率的关键抓手。</w:t>
      </w:r>
    </w:p>
    <w:p>
      <w:pPr>
        <w:spacing w:lineRule="exact" w:line="600" w:before="0" w:after="0"/>
        <w:ind w:firstLine="420"/>
        <w:jc w:val="both"/>
      </w:pPr>
      <w:r>
        <w:rPr>
          <w:rFonts w:ascii="仿宋_GB2312" w:hAnsi="仿宋_GB2312" w:eastAsia="仿宋_GB2312"/>
          <w:b w:val="0"/>
          <w:color w:val="000000"/>
          <w:sz w:val="32"/>
        </w:rPr>
        <w:t>按地区划分，2025年境内客户收入53.95亿元，占比85.36%；境外客户收入8.13亿元，占比12.87%。境外收入占比虽不高，但公司产品已出口至六十多个国家和地区，出口业务为公司提供了市场多元化的缓冲。</w:t>
      </w:r>
    </w:p>
    <w:p>
      <w:pPr>
        <w:spacing w:lineRule="exact" w:line="600" w:before="0" w:after="0"/>
        <w:ind w:firstLine="420"/>
        <w:jc w:val="both"/>
      </w:pPr>
      <w:r>
        <w:rPr>
          <w:rFonts w:ascii="仿宋_GB2312" w:hAnsi="仿宋_GB2312" w:eastAsia="仿宋_GB2312"/>
          <w:b w:val="0"/>
          <w:color w:val="000000"/>
          <w:sz w:val="32"/>
        </w:rPr>
        <w:t>历史对比看，2023年公司主营收入中POP收入25.49亿元（占比50.76%）、通用软泡聚醚18.88亿元（37.61%）、CASE用聚醚4.73亿元（9.42%），产品结构与2025年相近，说明公司近三年产品格局总体稳定，增长主要来自销量放大而非结构升级。</w:t>
      </w:r>
    </w:p>
    <w:p>
      <w:pPr>
        <w:spacing w:lineRule="exact" w:line="600" w:before="120" w:after="120"/>
        <w:ind w:firstLine="420"/>
        <w:jc w:val="left"/>
      </w:pPr>
      <w:r>
        <w:rPr>
          <w:rFonts w:ascii="楷体_GB2312" w:hAnsi="楷体_GB2312" w:eastAsia="楷体_GB2312"/>
          <w:b w:val="0"/>
          <w:color w:val="000000"/>
          <w:sz w:val="32"/>
        </w:rPr>
        <w:t>（二）主要产品/服务</w:t>
      </w:r>
    </w:p>
    <w:p>
      <w:pPr>
        <w:spacing w:lineRule="exact" w:line="600" w:before="0" w:after="0"/>
        <w:ind w:firstLine="420"/>
        <w:jc w:val="both"/>
      </w:pPr>
      <w:r>
        <w:rPr>
          <w:rFonts w:ascii="仿宋_GB2312" w:hAnsi="仿宋_GB2312" w:eastAsia="仿宋_GB2312"/>
          <w:b w:val="0"/>
          <w:color w:val="000000"/>
          <w:sz w:val="32"/>
        </w:rPr>
        <w:t>第一，POP聚合物多元醇。POP是在基础聚醚中接枝聚合苯乙烯—丙烯腈共聚物形成的高固含量聚醚，用于生产高回弹、高承载力的聚氨酯软泡，主要应用于家具坐垫、床垫、汽车座椅等。该产品技术门槛高于通用软泡聚醚，对固含量控制、粒径分布、稳定性要求严格，公司在该品类上具备国内领先的产能规模与技术水平，2023年该产品毛利率曾达9.86%，是公司的技术与利润核心。</w:t>
      </w:r>
    </w:p>
    <w:p>
      <w:pPr>
        <w:spacing w:lineRule="exact" w:line="600" w:before="0" w:after="0"/>
        <w:ind w:firstLine="420"/>
        <w:jc w:val="both"/>
      </w:pPr>
      <w:r>
        <w:rPr>
          <w:rFonts w:ascii="仿宋_GB2312" w:hAnsi="仿宋_GB2312" w:eastAsia="仿宋_GB2312"/>
          <w:b w:val="0"/>
          <w:color w:val="000000"/>
          <w:sz w:val="32"/>
        </w:rPr>
        <w:t>第二，通用软泡聚醚。用于生产普通聚氨酯软泡，是产量最大、应用最广的基础聚醚品种，同质化程度高、价格竞争激烈。公司凭借规模优势、装置能耗与原料采购成本优势参与竞争，属于"以量取胜"的现金流产品。</w:t>
      </w:r>
    </w:p>
    <w:p>
      <w:pPr>
        <w:spacing w:lineRule="exact" w:line="600" w:before="0" w:after="0"/>
        <w:ind w:firstLine="420"/>
        <w:jc w:val="both"/>
      </w:pPr>
      <w:r>
        <w:rPr>
          <w:rFonts w:ascii="仿宋_GB2312" w:hAnsi="仿宋_GB2312" w:eastAsia="仿宋_GB2312"/>
          <w:b w:val="0"/>
          <w:color w:val="000000"/>
          <w:sz w:val="32"/>
        </w:rPr>
        <w:t>第三，CASE用聚醚。面向涂料、胶粘剂、密封胶、弹性体等应用领域，产品定制化程度高、客户粘性强、单价与毛利率高于通用软泡聚醚，2023年收入增速一度达160.35%，是公司高附加值方向之一。</w:t>
      </w:r>
    </w:p>
    <w:p>
      <w:pPr>
        <w:spacing w:lineRule="exact" w:line="600" w:before="0" w:after="0"/>
        <w:ind w:firstLine="420"/>
        <w:jc w:val="both"/>
      </w:pPr>
      <w:r>
        <w:rPr>
          <w:rFonts w:ascii="仿宋_GB2312" w:hAnsi="仿宋_GB2312" w:eastAsia="仿宋_GB2312"/>
          <w:b w:val="0"/>
          <w:color w:val="000000"/>
          <w:sz w:val="32"/>
        </w:rPr>
        <w:t>第四，端氨基聚醚（聚醚胺）。聚醚胺是环氧树脂固化剂的重要原料，广泛应用于风电叶片、复合材料、汽车尿素（车用尿素溶液添加剂）等领域，此前长期依赖巴斯夫、亨斯迈等国际巨头供应。2025年公司聚醚胺系列产品实现销售收入2.75亿元，已成为国内重要的聚醚胺供应商之一，是国产替代逻辑最强、成长性最好的品类。</w:t>
      </w:r>
    </w:p>
    <w:p>
      <w:pPr>
        <w:spacing w:lineRule="exact" w:line="600" w:before="0" w:after="0"/>
        <w:ind w:firstLine="420"/>
        <w:jc w:val="both"/>
      </w:pPr>
      <w:r>
        <w:rPr>
          <w:rFonts w:ascii="仿宋_GB2312" w:hAnsi="仿宋_GB2312" w:eastAsia="仿宋_GB2312"/>
          <w:b w:val="0"/>
          <w:color w:val="000000"/>
          <w:sz w:val="32"/>
        </w:rPr>
        <w:t>第五，聚酰胺树脂（尼龙66及特种尼龙）。由全资子公司隆华高材承载，产品涵盖尼龙66纤维级树脂与工程塑料树脂，以及长碳链尼龙（生物基）、透明尼龙、高温尼龙等特种品类。2025年聚酰胺树脂产能达4万吨/年，在建产能8万吨/年，全年实现销售收入1406万元，产品处于市场导入期。尼龙66长期受制于己二腈原料"卡脖子"问题，随着国内己二腈国产化突破，尼龙66产业链迎来发展机遇，公司的前瞻布局有望在中期兑现。</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公司客户结构高度分散，这是其区别于多数化工企业的显著特征。2023年年报显示，公司前五大客户合计销售金额7.24亿元，占总销售金额比例仅为14.42%。客户集中度如此之低，意味着公司不存在对单一大客户的依赖，抗客户流失风险能力强，议价上也不易被单一买方压制。</w:t>
      </w:r>
    </w:p>
    <w:p>
      <w:pPr>
        <w:spacing w:lineRule="exact" w:line="600" w:before="0" w:after="0"/>
        <w:ind w:firstLine="420"/>
        <w:jc w:val="both"/>
      </w:pPr>
      <w:r>
        <w:rPr>
          <w:rFonts w:ascii="仿宋_GB2312" w:hAnsi="仿宋_GB2312" w:eastAsia="仿宋_GB2312"/>
          <w:b w:val="0"/>
          <w:color w:val="000000"/>
          <w:sz w:val="32"/>
        </w:rPr>
        <w:t>客户群体主要为聚氨酯泡沫制品生产企业（家具海绵厂、床垫厂、鞋材厂）、汽车内饰与座椅配套厂、涂料与胶粘剂生产企业、风电叶片材料企业等，多为中小型加工制造企业，数量众多、分布广泛。</w:t>
      </w:r>
    </w:p>
    <w:p>
      <w:pPr>
        <w:spacing w:lineRule="exact" w:line="600" w:before="0" w:after="0"/>
        <w:ind w:firstLine="420"/>
        <w:jc w:val="both"/>
      </w:pPr>
      <w:r>
        <w:rPr>
          <w:rFonts w:ascii="仿宋_GB2312" w:hAnsi="仿宋_GB2312" w:eastAsia="仿宋_GB2312"/>
          <w:b w:val="0"/>
          <w:color w:val="000000"/>
          <w:sz w:val="32"/>
        </w:rPr>
        <w:t>应收账款管理方面，2023年公司应收账款周转率高达107.78次，应收账款账面余额仅5812万元（对应50.21亿元收入），说明公司销售以款到发货或极短账期为主，回款质量极高，几乎不存在应收账款坏账风险。这一点在化工行业中属于非常优异的表现，也是公司作为融资客户最重要的财务优势之一。</w:t>
      </w:r>
    </w:p>
    <w:p>
      <w:pPr>
        <w:spacing w:lineRule="exact" w:line="600" w:before="0" w:after="0"/>
        <w:ind w:firstLine="420"/>
        <w:jc w:val="both"/>
      </w:pPr>
      <w:r>
        <w:rPr>
          <w:rFonts w:ascii="仿宋_GB2312" w:hAnsi="仿宋_GB2312" w:eastAsia="仿宋_GB2312"/>
          <w:b w:val="0"/>
          <w:color w:val="000000"/>
          <w:sz w:val="32"/>
        </w:rPr>
        <w:t>与之对应的是，公司合同负债（预收货款）规模较大，2023年末达1.55亿元，2023年末预收款项亦增长63.47%，反映公司在销售端具备较强的话语权，能够要求客户预付货款。</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公司上游主要原材料为环氧丙烷（PO）、环氧乙烷（EO）、丙三醇（甘油）、苯乙烯、丙烯腈以及己二酸、己二胺（尼龙66原料）等基础化工品。其中环氧丙烷为聚醚生产的核心原料，其价格走势与成本占比直接决定公司毛利水平。</w:t>
      </w:r>
    </w:p>
    <w:p>
      <w:pPr>
        <w:spacing w:lineRule="exact" w:line="600" w:before="0" w:after="0"/>
        <w:ind w:firstLine="420"/>
        <w:jc w:val="both"/>
      </w:pPr>
      <w:r>
        <w:rPr>
          <w:rFonts w:ascii="仿宋_GB2312" w:hAnsi="仿宋_GB2312" w:eastAsia="仿宋_GB2312"/>
          <w:b w:val="0"/>
          <w:color w:val="000000"/>
          <w:sz w:val="32"/>
        </w:rPr>
        <w:t>与客户高度分散形成鲜明对比的是，公司供应商高度集中：2023年前五名供应商合计采购金额25.11亿元，占年度采购总额比例高达56.77%。这一结构源于环氧丙烷等大宗原料的生产集中于少数大型石化企业，属于行业共性，但客观上使公司在采购端议价能力较弱，成本传导受制于上游。</w:t>
      </w:r>
    </w:p>
    <w:p>
      <w:pPr>
        <w:spacing w:lineRule="exact" w:line="600" w:before="0" w:after="0"/>
        <w:ind w:firstLine="420"/>
        <w:jc w:val="both"/>
      </w:pPr>
      <w:r>
        <w:rPr>
          <w:rFonts w:ascii="仿宋_GB2312" w:hAnsi="仿宋_GB2312" w:eastAsia="仿宋_GB2312"/>
          <w:b w:val="0"/>
          <w:color w:val="000000"/>
          <w:sz w:val="32"/>
        </w:rPr>
        <w:t>这种"上游集中、下游分散"的产业链位置，是公司毛利率长期偏低（2023年7.61%、2025年4.27%）的结构性原因：上游原料价格上涨时难以完全向下游众多中小客户转嫁，而下游竞争激烈又限制了提价空间。公司主要通过规模化采购、长协锁价、以及向高附加值品类（POP、CASE、聚醚胺）倾斜来对冲这一压力。</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产能方面，公司现有聚醚系列产品总产能达129万吨/年（官网早期披露为97万吨/年，反映近年产能快速扩张），产能规模位居国内行业前列，聚醚类总产能已达到百万吨级。2025年聚醚系列产品总销量达82.09万吨，同比增长25.10%，对应产能利用率约63.6%，尚有较大提升空间。</w:t>
      </w:r>
    </w:p>
    <w:p>
      <w:pPr>
        <w:spacing w:lineRule="exact" w:line="600" w:before="0" w:after="0"/>
        <w:ind w:firstLine="420"/>
        <w:jc w:val="both"/>
      </w:pPr>
      <w:r>
        <w:rPr>
          <w:rFonts w:ascii="仿宋_GB2312" w:hAnsi="仿宋_GB2312" w:eastAsia="仿宋_GB2312"/>
          <w:b w:val="0"/>
          <w:color w:val="000000"/>
          <w:sz w:val="32"/>
        </w:rPr>
        <w:t>聚酰胺方面，尼龙66一期4万吨生产装置已建成试生产，在建产能8万吨/年，一期规划总规模为16万吨/年。</w:t>
      </w:r>
    </w:p>
    <w:p>
      <w:pPr>
        <w:spacing w:lineRule="exact" w:line="600" w:before="0" w:after="0"/>
        <w:ind w:firstLine="420"/>
        <w:jc w:val="both"/>
      </w:pPr>
      <w:r>
        <w:rPr>
          <w:rFonts w:ascii="仿宋_GB2312" w:hAnsi="仿宋_GB2312" w:eastAsia="仿宋_GB2312"/>
          <w:b w:val="0"/>
          <w:color w:val="000000"/>
          <w:sz w:val="32"/>
        </w:rPr>
        <w:t>在建与规划项目包括：8万吨端氨基聚醚项目、一期16万吨/年尼龙66项目、POP技改项目（2025年11月环评首次公示）、端氨基聚醚技改项目（2025年10月环评公示）、年产20万吨环保型聚醚系列产品建设项目（2026年4月环评第二次公示及报批前公示）。上述项目密集推进，显示公司仍处于产能扩张周期。</w:t>
      </w:r>
    </w:p>
    <w:p>
      <w:pPr>
        <w:spacing w:lineRule="exact" w:line="600" w:before="0" w:after="0"/>
        <w:ind w:firstLine="420"/>
        <w:jc w:val="both"/>
      </w:pPr>
      <w:r>
        <w:rPr>
          <w:rFonts w:ascii="仿宋_GB2312" w:hAnsi="仿宋_GB2312" w:eastAsia="仿宋_GB2312"/>
          <w:b w:val="0"/>
          <w:color w:val="000000"/>
          <w:sz w:val="32"/>
        </w:rPr>
        <w:t>技术资源方面，公司拥有发明专利7项、实用新型专利30项，合计37项以上（企查查口径显示专利65项、商标14项）。产品品质达到国际先进水平。</w:t>
      </w:r>
    </w:p>
    <w:p>
      <w:pPr>
        <w:spacing w:lineRule="exact" w:line="600" w:before="0" w:after="0"/>
        <w:ind w:firstLine="420"/>
        <w:jc w:val="both"/>
      </w:pPr>
      <w:r>
        <w:rPr>
          <w:rFonts w:ascii="仿宋_GB2312" w:hAnsi="仿宋_GB2312" w:eastAsia="仿宋_GB2312"/>
          <w:b w:val="0"/>
          <w:color w:val="000000"/>
          <w:sz w:val="32"/>
        </w:rPr>
        <w:t>牌照资质方面，公司持有危险化学品生产许可证与危险化学品经营许可证、排污许可证，具备货物与技术进出口资质、海关注册编码与报关单位备案；获评国家高新技术企业、省级制造业单项冠军、绿色工厂、省级创新型中小企业，行政许可事项达74项。</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公司采用"总部直销＋区域分公司"的销售模式，在上海、青岛、浙江舟山设立分公司，贴近长三角与环渤海两大聚氨酯制品产业集聚区，就近服务客户、缩短交付半径。</w:t>
      </w:r>
    </w:p>
    <w:p>
      <w:pPr>
        <w:spacing w:lineRule="exact" w:line="600" w:before="0" w:after="0"/>
        <w:ind w:firstLine="420"/>
        <w:jc w:val="both"/>
      </w:pPr>
      <w:r>
        <w:rPr>
          <w:rFonts w:ascii="仿宋_GB2312" w:hAnsi="仿宋_GB2312" w:eastAsia="仿宋_GB2312"/>
          <w:b w:val="0"/>
          <w:color w:val="000000"/>
          <w:sz w:val="32"/>
        </w:rPr>
        <w:t>出口方面，公司产品出口至美国、德国、韩国等六十多个国家和地区，2025年境外收入8.13亿元、占比12.87%。公司拥有自营进出口权与海关注册资质，出口业务体系成熟。</w:t>
      </w:r>
    </w:p>
    <w:p>
      <w:pPr>
        <w:spacing w:lineRule="exact" w:line="600" w:before="0" w:after="0"/>
        <w:ind w:firstLine="420"/>
        <w:jc w:val="both"/>
      </w:pPr>
      <w:r>
        <w:rPr>
          <w:rFonts w:ascii="仿宋_GB2312" w:hAnsi="仿宋_GB2312" w:eastAsia="仿宋_GB2312"/>
          <w:b w:val="0"/>
          <w:color w:val="000000"/>
          <w:sz w:val="32"/>
        </w:rPr>
        <w:t>销售政策上，公司以款到发货或短账期为主，销售费用率极低（2023年销售费用3164万元，占收入0.63%），体现出以产品品质和交付能力为核心的销售逻辑，而非依靠销售费用驱动。</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经营规模方面，2025年公司营业收入63.20亿元、利润总额1.60亿元、总资产39.23亿元、员工615人（合并报表口径），2024年社保人数442人。2023年员工总数527人，人均创收952.75万元、人均创利47.06万元、人均薪酬14.72万元，人均效率在化工行业中处于较高水平，反映公司装置自动化程度高、用工效率好。</w:t>
      </w:r>
    </w:p>
    <w:p>
      <w:pPr>
        <w:spacing w:lineRule="exact" w:line="600" w:before="0" w:after="0"/>
        <w:ind w:firstLine="420"/>
        <w:jc w:val="both"/>
      </w:pPr>
      <w:r>
        <w:rPr>
          <w:rFonts w:ascii="仿宋_GB2312" w:hAnsi="仿宋_GB2312" w:eastAsia="仿宋_GB2312"/>
          <w:b w:val="0"/>
          <w:color w:val="000000"/>
          <w:sz w:val="32"/>
        </w:rPr>
        <w:t>市场地位方面，公司聚醚系列产品总产能129万吨/年，产能规模位居国内行业前列，聚醚类总产能达到百万吨级；据集群调研信息，公司POP产能居国内首位。同时公司已成为国内重要的聚醚胺供应商之一。</w:t>
      </w:r>
    </w:p>
    <w:p>
      <w:pPr>
        <w:spacing w:lineRule="exact" w:line="600" w:before="0" w:after="0"/>
        <w:ind w:firstLine="420"/>
        <w:jc w:val="both"/>
      </w:pPr>
      <w:r>
        <w:rPr>
          <w:rFonts w:ascii="仿宋_GB2312" w:hAnsi="仿宋_GB2312" w:eastAsia="仿宋_GB2312"/>
          <w:b w:val="0"/>
          <w:color w:val="000000"/>
          <w:sz w:val="32"/>
        </w:rPr>
        <w:t>运营效率方面，2023年公司总资产周转率2.21次（行业平均0.67次，位居同行业3/74）、固定资产周转率13.19次（行业平均3.43次，位居同行业5/74）、应收账款周转率107.78次、存货周转率20.75次，各项周转指标均显著优于行业平均，是典型的"高周转、低毛利"经营模式，资产运营效率突出。</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（一）近三年（四年）主要会计数据</w:t>
      </w:r>
    </w:p>
    <w:p>
      <w:pPr>
        <w:spacing w:lineRule="exact" w:line="600" w:before="0" w:after="0"/>
        <w:ind w:firstLine="420"/>
        <w:jc w:val="both"/>
      </w:pPr>
      <w:r>
        <w:rPr>
          <w:rFonts w:ascii="仿宋_GB2312" w:hAnsi="仿宋_GB2312" w:eastAsia="仿宋_GB2312"/>
          <w:b w:val="0"/>
          <w:color w:val="000000"/>
          <w:sz w:val="32"/>
        </w:rPr>
        <w:t>公司为深交所创业板上市公司，财务数据经容诚会计师事务所（特殊普通合伙）审计并出具标准无保留意见审计报告，数据完整可查。近四年主要财务数据如下（单位：亿元）：</w:t>
      </w:r>
    </w:p>
    <w:tbl>
      <w:tblPr>
        <w:tblStyle w:val="TableGrid"/>
        <w:tblW w:type="auto" w:w="0"/>
        <w:jc w:val="center"/>
        <w:tblLook w:firstColumn="1" w:firstRow="1" w:lastColumn="0" w:lastRow="0" w:noHBand="0" w:noVBand="1" w:val="04A0"/>
      </w:tblPr>
      <w:tblGrid>
        <w:gridCol w:w="1769"/>
        <w:gridCol w:w="1769"/>
        <w:gridCol w:w="1769"/>
        <w:gridCol w:w="1769"/>
        <w:gridCol w:w="1769"/>
      </w:tblGrid>
      <w:tr>
        <w:tc>
          <w:tcPr>
            <w:tcW w:type="dxa" w:w="2494"/>
          </w:tcPr>
          <w:p>
            <w:pPr>
              <w:spacing w:lineRule="exact" w:line="600"/>
              <w:jc w:val="center"/>
            </w:pPr>
            <w:r/>
            <w:r>
              <w:rPr>
                <w:rFonts w:ascii="黑体" w:hAnsi="黑体" w:eastAsia="黑体"/>
                <w:b/>
                <w:color w:val="000000"/>
                <w:sz w:val="32"/>
              </w:rPr>
              <w:t>主要指标</w:t>
            </w:r>
          </w:p>
        </w:tc>
        <w:tc>
          <w:tcPr>
            <w:tcW w:type="dxa" w:w="1587"/>
          </w:tcPr>
          <w:p>
            <w:pPr>
              <w:spacing w:lineRule="exact" w:line="600"/>
              <w:jc w:val="center"/>
            </w:pPr>
            <w:r/>
            <w:r>
              <w:rPr>
                <w:rFonts w:ascii="黑体" w:hAnsi="黑体" w:eastAsia="黑体"/>
                <w:b/>
                <w:color w:val="000000"/>
                <w:sz w:val="32"/>
              </w:rPr>
              <w:t>2022年</w:t>
            </w:r>
          </w:p>
        </w:tc>
        <w:tc>
          <w:tcPr>
            <w:tcW w:type="dxa" w:w="1587"/>
          </w:tcPr>
          <w:p>
            <w:pPr>
              <w:spacing w:lineRule="exact" w:line="600"/>
              <w:jc w:val="center"/>
            </w:pPr>
            <w:r/>
            <w:r>
              <w:rPr>
                <w:rFonts w:ascii="黑体" w:hAnsi="黑体" w:eastAsia="黑体"/>
                <w:b/>
                <w:color w:val="000000"/>
                <w:sz w:val="32"/>
              </w:rPr>
              <w:t>2023年</w:t>
            </w:r>
          </w:p>
        </w:tc>
        <w:tc>
          <w:tcPr>
            <w:tcW w:type="dxa" w:w="1587"/>
          </w:tcPr>
          <w:p>
            <w:pPr>
              <w:spacing w:lineRule="exact" w:line="600"/>
              <w:jc w:val="center"/>
            </w:pPr>
            <w:r/>
            <w:r>
              <w:rPr>
                <w:rFonts w:ascii="黑体" w:hAnsi="黑体" w:eastAsia="黑体"/>
                <w:b/>
                <w:color w:val="000000"/>
                <w:sz w:val="32"/>
              </w:rPr>
              <w:t>2024年</w:t>
            </w:r>
          </w:p>
        </w:tc>
        <w:tc>
          <w:tcPr>
            <w:tcW w:type="dxa" w:w="1587"/>
          </w:tcPr>
          <w:p>
            <w:pPr>
              <w:spacing w:lineRule="exact" w:line="600"/>
              <w:jc w:val="center"/>
            </w:pPr>
            <w:r/>
            <w:r>
              <w:rPr>
                <w:rFonts w:ascii="黑体" w:hAnsi="黑体" w:eastAsia="黑体"/>
                <w:b/>
                <w:color w:val="000000"/>
                <w:sz w:val="32"/>
              </w:rPr>
              <w:t>2025年</w:t>
            </w:r>
          </w:p>
        </w:tc>
      </w:tr>
      <w:tr>
        <w:tc>
          <w:tcPr>
            <w:tcW w:type="dxa" w:w="2494"/>
          </w:tcPr>
          <w:p>
            <w:pPr>
              <w:spacing w:lineRule="exact" w:line="600"/>
              <w:jc w:val="center"/>
            </w:pPr>
            <w:r/>
            <w:r>
              <w:rPr>
                <w:rFonts w:ascii="仿宋_GB2312" w:hAnsi="仿宋_GB2312" w:eastAsia="仿宋_GB2312"/>
                <w:b w:val="0"/>
                <w:color w:val="000000"/>
                <w:sz w:val="32"/>
              </w:rPr>
              <w:t>营业总收入</w:t>
            </w:r>
          </w:p>
        </w:tc>
        <w:tc>
          <w:tcPr>
            <w:tcW w:type="dxa" w:w="1587"/>
          </w:tcPr>
          <w:p>
            <w:pPr>
              <w:spacing w:lineRule="exact" w:line="600"/>
              <w:jc w:val="center"/>
            </w:pPr>
            <w:r/>
            <w:r>
              <w:rPr>
                <w:rFonts w:ascii="仿宋_GB2312" w:hAnsi="仿宋_GB2312" w:eastAsia="仿宋_GB2312"/>
                <w:b w:val="0"/>
                <w:color w:val="000000"/>
                <w:sz w:val="32"/>
              </w:rPr>
              <w:t>31.68</w:t>
            </w:r>
          </w:p>
        </w:tc>
        <w:tc>
          <w:tcPr>
            <w:tcW w:type="dxa" w:w="1587"/>
          </w:tcPr>
          <w:p>
            <w:pPr>
              <w:spacing w:lineRule="exact" w:line="600"/>
              <w:jc w:val="center"/>
            </w:pPr>
            <w:r/>
            <w:r>
              <w:rPr>
                <w:rFonts w:ascii="仿宋_GB2312" w:hAnsi="仿宋_GB2312" w:eastAsia="仿宋_GB2312"/>
                <w:b w:val="0"/>
                <w:color w:val="000000"/>
                <w:sz w:val="32"/>
              </w:rPr>
              <w:t>50.21</w:t>
            </w:r>
          </w:p>
        </w:tc>
        <w:tc>
          <w:tcPr>
            <w:tcW w:type="dxa" w:w="1587"/>
          </w:tcPr>
          <w:p>
            <w:pPr>
              <w:spacing w:lineRule="exact" w:line="600"/>
              <w:jc w:val="center"/>
            </w:pPr>
            <w:r/>
            <w:r>
              <w:rPr>
                <w:rFonts w:ascii="仿宋_GB2312" w:hAnsi="仿宋_GB2312" w:eastAsia="仿宋_GB2312"/>
                <w:b w:val="0"/>
                <w:color w:val="000000"/>
                <w:sz w:val="32"/>
              </w:rPr>
              <w:t>56.24</w:t>
            </w:r>
          </w:p>
        </w:tc>
        <w:tc>
          <w:tcPr>
            <w:tcW w:type="dxa" w:w="1587"/>
          </w:tcPr>
          <w:p>
            <w:pPr>
              <w:spacing w:lineRule="exact" w:line="600"/>
              <w:jc w:val="center"/>
            </w:pPr>
            <w:r/>
            <w:r>
              <w:rPr>
                <w:rFonts w:ascii="仿宋_GB2312" w:hAnsi="仿宋_GB2312" w:eastAsia="仿宋_GB2312"/>
                <w:b w:val="0"/>
                <w:color w:val="000000"/>
                <w:sz w:val="32"/>
              </w:rPr>
              <w:t>63.20</w:t>
            </w:r>
          </w:p>
        </w:tc>
      </w:tr>
      <w:tr>
        <w:tc>
          <w:tcPr>
            <w:tcW w:type="dxa" w:w="2494"/>
          </w:tcPr>
          <w:p>
            <w:pPr>
              <w:spacing w:lineRule="exact" w:line="600"/>
              <w:jc w:val="center"/>
            </w:pPr>
            <w:r/>
            <w:r>
              <w:rPr>
                <w:rFonts w:ascii="仿宋_GB2312" w:hAnsi="仿宋_GB2312" w:eastAsia="仿宋_GB2312"/>
                <w:b w:val="0"/>
                <w:color w:val="000000"/>
                <w:sz w:val="32"/>
              </w:rPr>
              <w:t>营业收入同比</w:t>
            </w:r>
          </w:p>
        </w:tc>
        <w:tc>
          <w:tcPr>
            <w:tcW w:type="dxa" w:w="1587"/>
          </w:tcPr>
          <w:p>
            <w:pPr>
              <w:spacing w:lineRule="exact" w:line="600"/>
              <w:jc w:val="center"/>
            </w:pPr>
            <w:r/>
            <w:r>
              <w:rPr>
                <w:rFonts w:ascii="仿宋_GB2312" w:hAnsi="仿宋_GB2312" w:eastAsia="仿宋_GB2312"/>
                <w:b w:val="0"/>
                <w:color w:val="000000"/>
                <w:sz w:val="32"/>
              </w:rPr>
              <w:t>—</w:t>
            </w:r>
          </w:p>
        </w:tc>
        <w:tc>
          <w:tcPr>
            <w:tcW w:type="dxa" w:w="1587"/>
          </w:tcPr>
          <w:p>
            <w:pPr>
              <w:spacing w:lineRule="exact" w:line="600"/>
              <w:jc w:val="center"/>
            </w:pPr>
            <w:r/>
            <w:r>
              <w:rPr>
                <w:rFonts w:ascii="仿宋_GB2312" w:hAnsi="仿宋_GB2312" w:eastAsia="仿宋_GB2312"/>
                <w:b w:val="0"/>
                <w:color w:val="000000"/>
                <w:sz w:val="32"/>
              </w:rPr>
              <w:t>+58.50%</w:t>
            </w:r>
          </w:p>
        </w:tc>
        <w:tc>
          <w:tcPr>
            <w:tcW w:type="dxa" w:w="1587"/>
          </w:tcPr>
          <w:p>
            <w:pPr>
              <w:spacing w:lineRule="exact" w:line="600"/>
              <w:jc w:val="center"/>
            </w:pPr>
            <w:r/>
            <w:r>
              <w:rPr>
                <w:rFonts w:ascii="仿宋_GB2312" w:hAnsi="仿宋_GB2312" w:eastAsia="仿宋_GB2312"/>
                <w:b w:val="0"/>
                <w:color w:val="000000"/>
                <w:sz w:val="32"/>
              </w:rPr>
              <w:t>+12.01%</w:t>
            </w:r>
          </w:p>
        </w:tc>
        <w:tc>
          <w:tcPr>
            <w:tcW w:type="dxa" w:w="1587"/>
          </w:tcPr>
          <w:p>
            <w:pPr>
              <w:spacing w:lineRule="exact" w:line="600"/>
              <w:jc w:val="center"/>
            </w:pPr>
            <w:r/>
            <w:r>
              <w:rPr>
                <w:rFonts w:ascii="仿宋_GB2312" w:hAnsi="仿宋_GB2312" w:eastAsia="仿宋_GB2312"/>
                <w:b w:val="0"/>
                <w:color w:val="000000"/>
                <w:sz w:val="32"/>
              </w:rPr>
              <w:t>+12.38%</w:t>
            </w:r>
          </w:p>
        </w:tc>
      </w:tr>
      <w:tr>
        <w:tc>
          <w:tcPr>
            <w:tcW w:type="dxa" w:w="2494"/>
          </w:tcPr>
          <w:p>
            <w:pPr>
              <w:spacing w:lineRule="exact" w:line="600"/>
              <w:jc w:val="center"/>
            </w:pPr>
            <w:r/>
            <w:r>
              <w:rPr>
                <w:rFonts w:ascii="仿宋_GB2312" w:hAnsi="仿宋_GB2312" w:eastAsia="仿宋_GB2312"/>
                <w:b w:val="0"/>
                <w:color w:val="000000"/>
                <w:sz w:val="32"/>
              </w:rPr>
              <w:t>归母净利润</w:t>
            </w:r>
          </w:p>
        </w:tc>
        <w:tc>
          <w:tcPr>
            <w:tcW w:type="dxa" w:w="1587"/>
          </w:tcPr>
          <w:p>
            <w:pPr>
              <w:spacing w:lineRule="exact" w:line="600"/>
              <w:jc w:val="center"/>
            </w:pPr>
            <w:r/>
            <w:r>
              <w:rPr>
                <w:rFonts w:ascii="仿宋_GB2312" w:hAnsi="仿宋_GB2312" w:eastAsia="仿宋_GB2312"/>
                <w:b w:val="0"/>
                <w:color w:val="000000"/>
                <w:sz w:val="32"/>
              </w:rPr>
              <w:t>1.27</w:t>
            </w:r>
          </w:p>
        </w:tc>
        <w:tc>
          <w:tcPr>
            <w:tcW w:type="dxa" w:w="1587"/>
          </w:tcPr>
          <w:p>
            <w:pPr>
              <w:spacing w:lineRule="exact" w:line="600"/>
              <w:jc w:val="center"/>
            </w:pPr>
            <w:r/>
            <w:r>
              <w:rPr>
                <w:rFonts w:ascii="仿宋_GB2312" w:hAnsi="仿宋_GB2312" w:eastAsia="仿宋_GB2312"/>
                <w:b w:val="0"/>
                <w:color w:val="000000"/>
                <w:sz w:val="32"/>
              </w:rPr>
              <w:t>2.48</w:t>
            </w:r>
          </w:p>
        </w:tc>
        <w:tc>
          <w:tcPr>
            <w:tcW w:type="dxa" w:w="1587"/>
          </w:tcPr>
          <w:p>
            <w:pPr>
              <w:spacing w:lineRule="exact" w:line="600"/>
              <w:jc w:val="center"/>
            </w:pPr>
            <w:r/>
            <w:r>
              <w:rPr>
                <w:rFonts w:ascii="仿宋_GB2312" w:hAnsi="仿宋_GB2312" w:eastAsia="仿宋_GB2312"/>
                <w:b w:val="0"/>
                <w:color w:val="000000"/>
                <w:sz w:val="32"/>
              </w:rPr>
              <w:t>1.71</w:t>
            </w:r>
          </w:p>
        </w:tc>
        <w:tc>
          <w:tcPr>
            <w:tcW w:type="dxa" w:w="1587"/>
          </w:tcPr>
          <w:p>
            <w:pPr>
              <w:spacing w:lineRule="exact" w:line="600"/>
              <w:jc w:val="center"/>
            </w:pPr>
            <w:r/>
            <w:r>
              <w:rPr>
                <w:rFonts w:ascii="仿宋_GB2312" w:hAnsi="仿宋_GB2312" w:eastAsia="仿宋_GB2312"/>
                <w:b w:val="0"/>
                <w:color w:val="000000"/>
                <w:sz w:val="32"/>
              </w:rPr>
              <w:t>1.43</w:t>
            </w:r>
          </w:p>
        </w:tc>
      </w:tr>
      <w:tr>
        <w:tc>
          <w:tcPr>
            <w:tcW w:type="dxa" w:w="2494"/>
          </w:tcPr>
          <w:p>
            <w:pPr>
              <w:spacing w:lineRule="exact" w:line="600"/>
              <w:jc w:val="center"/>
            </w:pPr>
            <w:r/>
            <w:r>
              <w:rPr>
                <w:rFonts w:ascii="仿宋_GB2312" w:hAnsi="仿宋_GB2312" w:eastAsia="仿宋_GB2312"/>
                <w:b w:val="0"/>
                <w:color w:val="000000"/>
                <w:sz w:val="32"/>
              </w:rPr>
              <w:t>归母净利润同比</w:t>
            </w:r>
          </w:p>
        </w:tc>
        <w:tc>
          <w:tcPr>
            <w:tcW w:type="dxa" w:w="1587"/>
          </w:tcPr>
          <w:p>
            <w:pPr>
              <w:spacing w:lineRule="exact" w:line="600"/>
              <w:jc w:val="center"/>
            </w:pPr>
            <w:r/>
            <w:r>
              <w:rPr>
                <w:rFonts w:ascii="仿宋_GB2312" w:hAnsi="仿宋_GB2312" w:eastAsia="仿宋_GB2312"/>
                <w:b w:val="0"/>
                <w:color w:val="000000"/>
                <w:sz w:val="32"/>
              </w:rPr>
              <w:t>—</w:t>
            </w:r>
          </w:p>
        </w:tc>
        <w:tc>
          <w:tcPr>
            <w:tcW w:type="dxa" w:w="1587"/>
          </w:tcPr>
          <w:p>
            <w:pPr>
              <w:spacing w:lineRule="exact" w:line="600"/>
              <w:jc w:val="center"/>
            </w:pPr>
            <w:r/>
            <w:r>
              <w:rPr>
                <w:rFonts w:ascii="仿宋_GB2312" w:hAnsi="仿宋_GB2312" w:eastAsia="仿宋_GB2312"/>
                <w:b w:val="0"/>
                <w:color w:val="000000"/>
                <w:sz w:val="32"/>
              </w:rPr>
              <w:t>+95.34%</w:t>
            </w:r>
          </w:p>
        </w:tc>
        <w:tc>
          <w:tcPr>
            <w:tcW w:type="dxa" w:w="1587"/>
          </w:tcPr>
          <w:p>
            <w:pPr>
              <w:spacing w:lineRule="exact" w:line="600"/>
              <w:jc w:val="center"/>
            </w:pPr>
            <w:r/>
            <w:r>
              <w:rPr>
                <w:rFonts w:ascii="仿宋_GB2312" w:hAnsi="仿宋_GB2312" w:eastAsia="仿宋_GB2312"/>
                <w:b w:val="0"/>
                <w:color w:val="000000"/>
                <w:sz w:val="32"/>
              </w:rPr>
              <w:t>-30.99%</w:t>
            </w:r>
          </w:p>
        </w:tc>
        <w:tc>
          <w:tcPr>
            <w:tcW w:type="dxa" w:w="1587"/>
          </w:tcPr>
          <w:p>
            <w:pPr>
              <w:spacing w:lineRule="exact" w:line="600"/>
              <w:jc w:val="center"/>
            </w:pPr>
            <w:r/>
            <w:r>
              <w:rPr>
                <w:rFonts w:ascii="仿宋_GB2312" w:hAnsi="仿宋_GB2312" w:eastAsia="仿宋_GB2312"/>
                <w:b w:val="0"/>
                <w:color w:val="000000"/>
                <w:sz w:val="32"/>
              </w:rPr>
              <w:t>-16.84%</w:t>
            </w:r>
          </w:p>
        </w:tc>
      </w:tr>
      <w:tr>
        <w:tc>
          <w:tcPr>
            <w:tcW w:type="dxa" w:w="2494"/>
          </w:tcPr>
          <w:p>
            <w:pPr>
              <w:spacing w:lineRule="exact" w:line="600"/>
              <w:jc w:val="center"/>
            </w:pPr>
            <w:r/>
            <w:r>
              <w:rPr>
                <w:rFonts w:ascii="仿宋_GB2312" w:hAnsi="仿宋_GB2312" w:eastAsia="仿宋_GB2312"/>
                <w:b w:val="0"/>
                <w:color w:val="000000"/>
                <w:sz w:val="32"/>
              </w:rPr>
              <w:t>扣非归母净利润</w:t>
            </w:r>
          </w:p>
        </w:tc>
        <w:tc>
          <w:tcPr>
            <w:tcW w:type="dxa" w:w="1587"/>
          </w:tcPr>
          <w:p>
            <w:pPr>
              <w:spacing w:lineRule="exact" w:line="600"/>
              <w:jc w:val="center"/>
            </w:pPr>
            <w:r/>
            <w:r>
              <w:rPr>
                <w:rFonts w:ascii="仿宋_GB2312" w:hAnsi="仿宋_GB2312" w:eastAsia="仿宋_GB2312"/>
                <w:b w:val="0"/>
                <w:color w:val="000000"/>
                <w:sz w:val="32"/>
              </w:rPr>
              <w:t>—</w:t>
            </w:r>
          </w:p>
        </w:tc>
        <w:tc>
          <w:tcPr>
            <w:tcW w:type="dxa" w:w="1587"/>
          </w:tcPr>
          <w:p>
            <w:pPr>
              <w:spacing w:lineRule="exact" w:line="600"/>
              <w:jc w:val="center"/>
            </w:pPr>
            <w:r/>
            <w:r>
              <w:rPr>
                <w:rFonts w:ascii="仿宋_GB2312" w:hAnsi="仿宋_GB2312" w:eastAsia="仿宋_GB2312"/>
                <w:b w:val="0"/>
                <w:color w:val="000000"/>
                <w:sz w:val="32"/>
              </w:rPr>
              <w:t>2.43</w:t>
            </w:r>
          </w:p>
        </w:tc>
        <w:tc>
          <w:tcPr>
            <w:tcW w:type="dxa" w:w="1587"/>
          </w:tcPr>
          <w:p>
            <w:pPr>
              <w:spacing w:lineRule="exact" w:line="600"/>
              <w:jc w:val="center"/>
            </w:pPr>
            <w:r/>
            <w:r>
              <w:rPr>
                <w:rFonts w:ascii="仿宋_GB2312" w:hAnsi="仿宋_GB2312" w:eastAsia="仿宋_GB2312"/>
                <w:b w:val="0"/>
                <w:color w:val="000000"/>
                <w:sz w:val="32"/>
              </w:rPr>
              <w:t>—</w:t>
            </w:r>
          </w:p>
        </w:tc>
        <w:tc>
          <w:tcPr>
            <w:tcW w:type="dxa" w:w="1587"/>
          </w:tcPr>
          <w:p>
            <w:pPr>
              <w:spacing w:lineRule="exact" w:line="600"/>
              <w:jc w:val="center"/>
            </w:pPr>
            <w:r/>
            <w:r>
              <w:rPr>
                <w:rFonts w:ascii="仿宋_GB2312" w:hAnsi="仿宋_GB2312" w:eastAsia="仿宋_GB2312"/>
                <w:b w:val="0"/>
                <w:color w:val="000000"/>
                <w:sz w:val="32"/>
              </w:rPr>
              <w:t>1.31</w:t>
            </w:r>
          </w:p>
        </w:tc>
      </w:tr>
      <w:tr>
        <w:tc>
          <w:tcPr>
            <w:tcW w:type="dxa" w:w="2494"/>
          </w:tcPr>
          <w:p>
            <w:pPr>
              <w:spacing w:lineRule="exact" w:line="600"/>
              <w:jc w:val="center"/>
            </w:pPr>
            <w:r/>
            <w:r>
              <w:rPr>
                <w:rFonts w:ascii="仿宋_GB2312" w:hAnsi="仿宋_GB2312" w:eastAsia="仿宋_GB2312"/>
                <w:b w:val="0"/>
                <w:color w:val="000000"/>
                <w:sz w:val="32"/>
              </w:rPr>
              <w:t>基本每股收益（元）</w:t>
            </w:r>
          </w:p>
        </w:tc>
        <w:tc>
          <w:tcPr>
            <w:tcW w:type="dxa" w:w="1587"/>
          </w:tcPr>
          <w:p>
            <w:pPr>
              <w:spacing w:lineRule="exact" w:line="600"/>
              <w:jc w:val="center"/>
            </w:pPr>
            <w:r/>
            <w:r>
              <w:rPr>
                <w:rFonts w:ascii="仿宋_GB2312" w:hAnsi="仿宋_GB2312" w:eastAsia="仿宋_GB2312"/>
                <w:b w:val="0"/>
                <w:color w:val="000000"/>
                <w:sz w:val="32"/>
              </w:rPr>
              <w:t>0.30</w:t>
            </w:r>
          </w:p>
        </w:tc>
        <w:tc>
          <w:tcPr>
            <w:tcW w:type="dxa" w:w="1587"/>
          </w:tcPr>
          <w:p>
            <w:pPr>
              <w:spacing w:lineRule="exact" w:line="600"/>
              <w:jc w:val="center"/>
            </w:pPr>
            <w:r/>
            <w:r>
              <w:rPr>
                <w:rFonts w:ascii="仿宋_GB2312" w:hAnsi="仿宋_GB2312" w:eastAsia="仿宋_GB2312"/>
                <w:b w:val="0"/>
                <w:color w:val="000000"/>
                <w:sz w:val="32"/>
              </w:rPr>
              <w:t>0.58</w:t>
            </w:r>
          </w:p>
        </w:tc>
        <w:tc>
          <w:tcPr>
            <w:tcW w:type="dxa" w:w="1587"/>
          </w:tcPr>
          <w:p>
            <w:pPr>
              <w:spacing w:lineRule="exact" w:line="600"/>
              <w:jc w:val="center"/>
            </w:pPr>
            <w:r/>
            <w:r>
              <w:rPr>
                <w:rFonts w:ascii="仿宋_GB2312" w:hAnsi="仿宋_GB2312" w:eastAsia="仿宋_GB2312"/>
                <w:b w:val="0"/>
                <w:color w:val="000000"/>
                <w:sz w:val="32"/>
              </w:rPr>
              <w:t>0.40</w:t>
            </w:r>
          </w:p>
        </w:tc>
        <w:tc>
          <w:tcPr>
            <w:tcW w:type="dxa" w:w="1587"/>
          </w:tcPr>
          <w:p>
            <w:pPr>
              <w:spacing w:lineRule="exact" w:line="600"/>
              <w:jc w:val="center"/>
            </w:pPr>
            <w:r/>
            <w:r>
              <w:rPr>
                <w:rFonts w:ascii="仿宋_GB2312" w:hAnsi="仿宋_GB2312" w:eastAsia="仿宋_GB2312"/>
                <w:b w:val="0"/>
                <w:color w:val="000000"/>
                <w:sz w:val="32"/>
              </w:rPr>
              <w:t>0.33</w:t>
            </w:r>
          </w:p>
        </w:tc>
      </w:tr>
      <w:tr>
        <w:tc>
          <w:tcPr>
            <w:tcW w:type="dxa" w:w="2494"/>
          </w:tcPr>
          <w:p>
            <w:pPr>
              <w:spacing w:lineRule="exact" w:line="600"/>
              <w:jc w:val="center"/>
            </w:pPr>
            <w:r/>
            <w:r>
              <w:rPr>
                <w:rFonts w:ascii="仿宋_GB2312" w:hAnsi="仿宋_GB2312" w:eastAsia="仿宋_GB2312"/>
                <w:b w:val="0"/>
                <w:color w:val="000000"/>
                <w:sz w:val="32"/>
              </w:rPr>
              <w:t>销售毛利率</w:t>
            </w:r>
          </w:p>
        </w:tc>
        <w:tc>
          <w:tcPr>
            <w:tcW w:type="dxa" w:w="1587"/>
          </w:tcPr>
          <w:p>
            <w:pPr>
              <w:spacing w:lineRule="exact" w:line="600"/>
              <w:jc w:val="center"/>
            </w:pPr>
            <w:r/>
            <w:r>
              <w:rPr>
                <w:rFonts w:ascii="仿宋_GB2312" w:hAnsi="仿宋_GB2312" w:eastAsia="仿宋_GB2312"/>
                <w:b w:val="0"/>
                <w:color w:val="000000"/>
                <w:sz w:val="32"/>
              </w:rPr>
              <w:t>6.65%</w:t>
            </w:r>
          </w:p>
        </w:tc>
        <w:tc>
          <w:tcPr>
            <w:tcW w:type="dxa" w:w="1587"/>
          </w:tcPr>
          <w:p>
            <w:pPr>
              <w:spacing w:lineRule="exact" w:line="600"/>
              <w:jc w:val="center"/>
            </w:pPr>
            <w:r/>
            <w:r>
              <w:rPr>
                <w:rFonts w:ascii="仿宋_GB2312" w:hAnsi="仿宋_GB2312" w:eastAsia="仿宋_GB2312"/>
                <w:b w:val="0"/>
                <w:color w:val="000000"/>
                <w:sz w:val="32"/>
              </w:rPr>
              <w:t>7.61%</w:t>
            </w:r>
          </w:p>
        </w:tc>
        <w:tc>
          <w:tcPr>
            <w:tcW w:type="dxa" w:w="1587"/>
          </w:tcPr>
          <w:p>
            <w:pPr>
              <w:spacing w:lineRule="exact" w:line="600"/>
              <w:jc w:val="center"/>
            </w:pPr>
            <w:r/>
            <w:r>
              <w:rPr>
                <w:rFonts w:ascii="仿宋_GB2312" w:hAnsi="仿宋_GB2312" w:eastAsia="仿宋_GB2312"/>
                <w:b w:val="0"/>
                <w:color w:val="000000"/>
                <w:sz w:val="32"/>
              </w:rPr>
              <w:t>—</w:t>
            </w:r>
          </w:p>
        </w:tc>
        <w:tc>
          <w:tcPr>
            <w:tcW w:type="dxa" w:w="1587"/>
          </w:tcPr>
          <w:p>
            <w:pPr>
              <w:spacing w:lineRule="exact" w:line="600"/>
              <w:jc w:val="center"/>
            </w:pPr>
            <w:r/>
            <w:r>
              <w:rPr>
                <w:rFonts w:ascii="仿宋_GB2312" w:hAnsi="仿宋_GB2312" w:eastAsia="仿宋_GB2312"/>
                <w:b w:val="0"/>
                <w:color w:val="000000"/>
                <w:sz w:val="32"/>
              </w:rPr>
              <w:t>4.27%</w:t>
            </w:r>
          </w:p>
        </w:tc>
      </w:tr>
      <w:tr>
        <w:tc>
          <w:tcPr>
            <w:tcW w:type="dxa" w:w="2494"/>
          </w:tcPr>
          <w:p>
            <w:pPr>
              <w:spacing w:lineRule="exact" w:line="600"/>
              <w:jc w:val="center"/>
            </w:pPr>
            <w:r/>
            <w:r>
              <w:rPr>
                <w:rFonts w:ascii="仿宋_GB2312" w:hAnsi="仿宋_GB2312" w:eastAsia="仿宋_GB2312"/>
                <w:b w:val="0"/>
                <w:color w:val="000000"/>
                <w:sz w:val="32"/>
              </w:rPr>
              <w:t>销售净利率</w:t>
            </w:r>
          </w:p>
        </w:tc>
        <w:tc>
          <w:tcPr>
            <w:tcW w:type="dxa" w:w="1587"/>
          </w:tcPr>
          <w:p>
            <w:pPr>
              <w:spacing w:lineRule="exact" w:line="600"/>
              <w:jc w:val="center"/>
            </w:pPr>
            <w:r/>
            <w:r>
              <w:rPr>
                <w:rFonts w:ascii="仿宋_GB2312" w:hAnsi="仿宋_GB2312" w:eastAsia="仿宋_GB2312"/>
                <w:b w:val="0"/>
                <w:color w:val="000000"/>
                <w:sz w:val="32"/>
              </w:rPr>
              <w:t>4.01%</w:t>
            </w:r>
          </w:p>
        </w:tc>
        <w:tc>
          <w:tcPr>
            <w:tcW w:type="dxa" w:w="1587"/>
          </w:tcPr>
          <w:p>
            <w:pPr>
              <w:spacing w:lineRule="exact" w:line="600"/>
              <w:jc w:val="center"/>
            </w:pPr>
            <w:r/>
            <w:r>
              <w:rPr>
                <w:rFonts w:ascii="仿宋_GB2312" w:hAnsi="仿宋_GB2312" w:eastAsia="仿宋_GB2312"/>
                <w:b w:val="0"/>
                <w:color w:val="000000"/>
                <w:sz w:val="32"/>
              </w:rPr>
              <w:t>4.94%</w:t>
            </w:r>
          </w:p>
        </w:tc>
        <w:tc>
          <w:tcPr>
            <w:tcW w:type="dxa" w:w="1587"/>
          </w:tcPr>
          <w:p>
            <w:pPr>
              <w:spacing w:lineRule="exact" w:line="600"/>
              <w:jc w:val="center"/>
            </w:pPr>
            <w:r/>
            <w:r>
              <w:rPr>
                <w:rFonts w:ascii="仿宋_GB2312" w:hAnsi="仿宋_GB2312" w:eastAsia="仿宋_GB2312"/>
                <w:b w:val="0"/>
                <w:color w:val="000000"/>
                <w:sz w:val="32"/>
              </w:rPr>
              <w:t>—</w:t>
            </w:r>
          </w:p>
        </w:tc>
        <w:tc>
          <w:tcPr>
            <w:tcW w:type="dxa" w:w="1587"/>
          </w:tcPr>
          <w:p>
            <w:pPr>
              <w:spacing w:lineRule="exact" w:line="600"/>
              <w:jc w:val="center"/>
            </w:pPr>
            <w:r/>
            <w:r>
              <w:rPr>
                <w:rFonts w:ascii="仿宋_GB2312" w:hAnsi="仿宋_GB2312" w:eastAsia="仿宋_GB2312"/>
                <w:b w:val="0"/>
                <w:color w:val="000000"/>
                <w:sz w:val="32"/>
              </w:rPr>
              <w:t>2.22%</w:t>
            </w:r>
          </w:p>
        </w:tc>
      </w:tr>
      <w:tr>
        <w:tc>
          <w:tcPr>
            <w:tcW w:type="dxa" w:w="2494"/>
          </w:tcPr>
          <w:p>
            <w:pPr>
              <w:spacing w:lineRule="exact" w:line="600"/>
              <w:jc w:val="center"/>
            </w:pPr>
            <w:r/>
            <w:r>
              <w:rPr>
                <w:rFonts w:ascii="仿宋_GB2312" w:hAnsi="仿宋_GB2312" w:eastAsia="仿宋_GB2312"/>
                <w:b w:val="0"/>
                <w:color w:val="000000"/>
                <w:sz w:val="32"/>
              </w:rPr>
              <w:t>资产负债率</w:t>
            </w:r>
          </w:p>
        </w:tc>
        <w:tc>
          <w:tcPr>
            <w:tcW w:type="dxa" w:w="1587"/>
          </w:tcPr>
          <w:p>
            <w:pPr>
              <w:spacing w:lineRule="exact" w:line="600"/>
              <w:jc w:val="center"/>
            </w:pPr>
            <w:r/>
            <w:r>
              <w:rPr>
                <w:rFonts w:ascii="仿宋_GB2312" w:hAnsi="仿宋_GB2312" w:eastAsia="仿宋_GB2312"/>
                <w:b w:val="0"/>
                <w:color w:val="000000"/>
                <w:sz w:val="32"/>
              </w:rPr>
              <w:t>14.10%</w:t>
            </w:r>
          </w:p>
        </w:tc>
        <w:tc>
          <w:tcPr>
            <w:tcW w:type="dxa" w:w="1587"/>
          </w:tcPr>
          <w:p>
            <w:pPr>
              <w:spacing w:lineRule="exact" w:line="600"/>
              <w:jc w:val="center"/>
            </w:pPr>
            <w:r/>
            <w:r>
              <w:rPr>
                <w:rFonts w:ascii="仿宋_GB2312" w:hAnsi="仿宋_GB2312" w:eastAsia="仿宋_GB2312"/>
                <w:b w:val="0"/>
                <w:color w:val="000000"/>
                <w:sz w:val="32"/>
              </w:rPr>
              <w:t>30.30%</w:t>
            </w:r>
          </w:p>
        </w:tc>
        <w:tc>
          <w:tcPr>
            <w:tcW w:type="dxa" w:w="1587"/>
          </w:tcPr>
          <w:p>
            <w:pPr>
              <w:spacing w:lineRule="exact" w:line="600"/>
              <w:jc w:val="center"/>
            </w:pPr>
            <w:r/>
            <w:r>
              <w:rPr>
                <w:rFonts w:ascii="仿宋_GB2312" w:hAnsi="仿宋_GB2312" w:eastAsia="仿宋_GB2312"/>
                <w:b w:val="0"/>
                <w:color w:val="000000"/>
                <w:sz w:val="32"/>
              </w:rPr>
              <w:t>—</w:t>
            </w:r>
          </w:p>
        </w:tc>
        <w:tc>
          <w:tcPr>
            <w:tcW w:type="dxa" w:w="1587"/>
          </w:tcPr>
          <w:p>
            <w:pPr>
              <w:spacing w:lineRule="exact" w:line="600"/>
              <w:jc w:val="center"/>
            </w:pPr>
            <w:r/>
            <w:r>
              <w:rPr>
                <w:rFonts w:ascii="仿宋_GB2312" w:hAnsi="仿宋_GB2312" w:eastAsia="仿宋_GB2312"/>
                <w:b w:val="0"/>
                <w:color w:val="000000"/>
                <w:sz w:val="32"/>
              </w:rPr>
              <w:t>—</w:t>
            </w:r>
          </w:p>
        </w:tc>
      </w:tr>
      <w:tr>
        <w:tc>
          <w:tcPr>
            <w:tcW w:type="dxa" w:w="2494"/>
          </w:tcPr>
          <w:p>
            <w:pPr>
              <w:spacing w:lineRule="exact" w:line="600"/>
              <w:jc w:val="center"/>
            </w:pPr>
            <w:r/>
            <w:r>
              <w:rPr>
                <w:rFonts w:ascii="仿宋_GB2312" w:hAnsi="仿宋_GB2312" w:eastAsia="仿宋_GB2312"/>
                <w:b w:val="0"/>
                <w:color w:val="000000"/>
                <w:sz w:val="32"/>
              </w:rPr>
              <w:t>经营活动现金流量净额</w:t>
            </w:r>
          </w:p>
        </w:tc>
        <w:tc>
          <w:tcPr>
            <w:tcW w:type="dxa" w:w="1587"/>
          </w:tcPr>
          <w:p>
            <w:pPr>
              <w:spacing w:lineRule="exact" w:line="600"/>
              <w:jc w:val="center"/>
            </w:pPr>
            <w:r/>
            <w:r>
              <w:rPr>
                <w:rFonts w:ascii="仿宋_GB2312" w:hAnsi="仿宋_GB2312" w:eastAsia="仿宋_GB2312"/>
                <w:b w:val="0"/>
                <w:color w:val="000000"/>
                <w:sz w:val="32"/>
              </w:rPr>
              <w:t>2.12</w:t>
            </w:r>
          </w:p>
        </w:tc>
        <w:tc>
          <w:tcPr>
            <w:tcW w:type="dxa" w:w="1587"/>
          </w:tcPr>
          <w:p>
            <w:pPr>
              <w:spacing w:lineRule="exact" w:line="600"/>
              <w:jc w:val="center"/>
            </w:pPr>
            <w:r/>
            <w:r>
              <w:rPr>
                <w:rFonts w:ascii="仿宋_GB2312" w:hAnsi="仿宋_GB2312" w:eastAsia="仿宋_GB2312"/>
                <w:b w:val="0"/>
                <w:color w:val="000000"/>
                <w:sz w:val="32"/>
              </w:rPr>
              <w:t>2.37</w:t>
            </w:r>
          </w:p>
        </w:tc>
        <w:tc>
          <w:tcPr>
            <w:tcW w:type="dxa" w:w="1587"/>
          </w:tcPr>
          <w:p>
            <w:pPr>
              <w:spacing w:lineRule="exact" w:line="600"/>
              <w:jc w:val="center"/>
            </w:pPr>
            <w:r/>
            <w:r>
              <w:rPr>
                <w:rFonts w:ascii="仿宋_GB2312" w:hAnsi="仿宋_GB2312" w:eastAsia="仿宋_GB2312"/>
                <w:b w:val="0"/>
                <w:color w:val="000000"/>
                <w:sz w:val="32"/>
              </w:rPr>
              <w:t>—</w:t>
            </w:r>
          </w:p>
        </w:tc>
        <w:tc>
          <w:tcPr>
            <w:tcW w:type="dxa" w:w="1587"/>
          </w:tcPr>
          <w:p>
            <w:pPr>
              <w:spacing w:lineRule="exact" w:line="600"/>
              <w:jc w:val="center"/>
            </w:pPr>
            <w:r/>
            <w:r>
              <w:rPr>
                <w:rFonts w:ascii="仿宋_GB2312" w:hAnsi="仿宋_GB2312" w:eastAsia="仿宋_GB2312"/>
                <w:b w:val="0"/>
                <w:color w:val="000000"/>
                <w:sz w:val="32"/>
              </w:rPr>
              <w:t>—</w:t>
            </w:r>
          </w:p>
        </w:tc>
      </w:tr>
      <w:tr>
        <w:tc>
          <w:tcPr>
            <w:tcW w:type="dxa" w:w="2494"/>
          </w:tcPr>
          <w:p>
            <w:pPr>
              <w:spacing w:lineRule="exact" w:line="600"/>
              <w:jc w:val="center"/>
            </w:pPr>
            <w:r/>
            <w:r>
              <w:rPr>
                <w:rFonts w:ascii="仿宋_GB2312" w:hAnsi="仿宋_GB2312" w:eastAsia="仿宋_GB2312"/>
                <w:b w:val="0"/>
                <w:color w:val="000000"/>
                <w:sz w:val="32"/>
              </w:rPr>
              <w:t>加权平均净资产收益率</w:t>
            </w:r>
          </w:p>
        </w:tc>
        <w:tc>
          <w:tcPr>
            <w:tcW w:type="dxa" w:w="1587"/>
          </w:tcPr>
          <w:p>
            <w:pPr>
              <w:spacing w:lineRule="exact" w:line="600"/>
              <w:jc w:val="center"/>
            </w:pPr>
            <w:r/>
            <w:r>
              <w:rPr>
                <w:rFonts w:ascii="仿宋_GB2312" w:hAnsi="仿宋_GB2312" w:eastAsia="仿宋_GB2312"/>
                <w:b w:val="0"/>
                <w:color w:val="000000"/>
                <w:sz w:val="32"/>
              </w:rPr>
              <w:t>8.05%</w:t>
            </w:r>
          </w:p>
        </w:tc>
        <w:tc>
          <w:tcPr>
            <w:tcW w:type="dxa" w:w="1587"/>
          </w:tcPr>
          <w:p>
            <w:pPr>
              <w:spacing w:lineRule="exact" w:line="600"/>
              <w:jc w:val="center"/>
            </w:pPr>
            <w:r/>
            <w:r>
              <w:rPr>
                <w:rFonts w:ascii="仿宋_GB2312" w:hAnsi="仿宋_GB2312" w:eastAsia="仿宋_GB2312"/>
                <w:b w:val="0"/>
                <w:color w:val="000000"/>
                <w:sz w:val="32"/>
              </w:rPr>
              <w:t>14.28%</w:t>
            </w:r>
          </w:p>
        </w:tc>
        <w:tc>
          <w:tcPr>
            <w:tcW w:type="dxa" w:w="1587"/>
          </w:tcPr>
          <w:p>
            <w:pPr>
              <w:spacing w:lineRule="exact" w:line="600"/>
              <w:jc w:val="center"/>
            </w:pPr>
            <w:r/>
            <w:r>
              <w:rPr>
                <w:rFonts w:ascii="仿宋_GB2312" w:hAnsi="仿宋_GB2312" w:eastAsia="仿宋_GB2312"/>
                <w:b w:val="0"/>
                <w:color w:val="000000"/>
                <w:sz w:val="32"/>
              </w:rPr>
              <w:t>—</w:t>
            </w:r>
          </w:p>
        </w:tc>
        <w:tc>
          <w:tcPr>
            <w:tcW w:type="dxa" w:w="1587"/>
          </w:tcPr>
          <w:p>
            <w:pPr>
              <w:spacing w:lineRule="exact" w:line="600"/>
              <w:jc w:val="center"/>
            </w:pPr>
            <w:r/>
            <w:r>
              <w:rPr>
                <w:rFonts w:ascii="仿宋_GB2312" w:hAnsi="仿宋_GB2312" w:eastAsia="仿宋_GB2312"/>
                <w:b w:val="0"/>
                <w:color w:val="000000"/>
                <w:sz w:val="32"/>
              </w:rPr>
              <w:t>6.91%（摊薄）</w:t>
            </w:r>
          </w:p>
        </w:tc>
      </w:tr>
    </w:tbl>
    <w:p>
      <w:pPr>
        <w:spacing w:lineRule="exact" w:line="600" w:before="0" w:after="0"/>
        <w:ind w:firstLine="420"/>
        <w:jc w:val="both"/>
      </w:pPr>
      <w:r>
        <w:rPr>
          <w:rFonts w:ascii="仿宋_GB2312" w:hAnsi="仿宋_GB2312" w:eastAsia="仿宋_GB2312"/>
          <w:b w:val="0"/>
          <w:color w:val="000000"/>
          <w:sz w:val="32"/>
        </w:rPr>
        <w:t>注：表中2022年毛利率、净利率、资产负债率、ROE系依据2023年年报同比变动数据反推所得；2024年部分指标公司未在检索到的公开摘要中单独列示，以"—"标注，不作推定。2025年资产负债率与经营活动现金流量净额未在已获取的公开摘要中披露，以"—"标注。</w:t>
      </w:r>
    </w:p>
    <w:p>
      <w:pPr>
        <w:spacing w:lineRule="exact" w:line="600" w:before="0" w:after="0"/>
        <w:ind w:firstLine="420"/>
        <w:jc w:val="both"/>
      </w:pPr>
      <w:r>
        <w:rPr>
          <w:rFonts w:ascii="仿宋_GB2312" w:hAnsi="仿宋_GB2312" w:eastAsia="仿宋_GB2312"/>
          <w:b w:val="0"/>
          <w:color w:val="000000"/>
          <w:sz w:val="32"/>
        </w:rPr>
        <w:t>2026年一季度经营情况：营业收入19.89亿元，同比增长31.77%；归母净利润4668万元，同比下降18.28%；扣非归母净利润4419万元，同比下降8.92%。收入端延续高增长，利润端降幅收窄，POP聚醚、通用软泡聚醚、CASE聚醚毛利率分别为6.22%、2.98%、4.69%，较2025年全年均有所提升，显示盈利能力已现回暖迹象。</w:t>
      </w:r>
    </w:p>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公司盈利呈现"营收持续增长、利润连续两年下滑"的分化态势，这是本报告财务分析的核心问题。</w:t>
      </w:r>
    </w:p>
    <w:p>
      <w:pPr>
        <w:spacing w:lineRule="exact" w:line="600" w:before="0" w:after="0"/>
        <w:ind w:firstLine="420"/>
        <w:jc w:val="both"/>
      </w:pPr>
      <w:r>
        <w:rPr>
          <w:rFonts w:ascii="仿宋_GB2312" w:hAnsi="仿宋_GB2312" w:eastAsia="仿宋_GB2312"/>
          <w:b w:val="0"/>
          <w:color w:val="000000"/>
          <w:sz w:val="32"/>
        </w:rPr>
        <w:t>收入端表现优异：2022年至2025年营业收入由31.68亿元增长至63.20亿元，四年接近翻倍，年均复合增长率约25.9%；2023年更实现58.50%的高速增长。收入增长的主要驱动力是销量放大——2025年聚醚系列产品销量82.09万吨，同比增长25.10%，公司凭借产能优势持续抢占市场份额。</w:t>
      </w:r>
    </w:p>
    <w:p>
      <w:pPr>
        <w:spacing w:lineRule="exact" w:line="600" w:before="0" w:after="0"/>
        <w:ind w:firstLine="420"/>
        <w:jc w:val="both"/>
      </w:pPr>
      <w:r>
        <w:rPr>
          <w:rFonts w:ascii="仿宋_GB2312" w:hAnsi="仿宋_GB2312" w:eastAsia="仿宋_GB2312"/>
          <w:b w:val="0"/>
          <w:color w:val="000000"/>
          <w:sz w:val="32"/>
        </w:rPr>
        <w:t>利润端持续承压：归母净利润由2023年峰值2.48亿元下滑至2024年1.71亿元（-30.99%）、2025年1.43亿元（-16.84%）。毛利率由2023年7.61%大幅下滑至2025年4.27%，净利率由4.94%降至2.22%。</w:t>
      </w:r>
    </w:p>
    <w:p>
      <w:pPr>
        <w:spacing w:lineRule="exact" w:line="600" w:before="0" w:after="0"/>
        <w:ind w:firstLine="420"/>
        <w:jc w:val="both"/>
      </w:pPr>
      <w:r>
        <w:rPr>
          <w:rFonts w:ascii="仿宋_GB2312" w:hAnsi="仿宋_GB2312" w:eastAsia="仿宋_GB2312"/>
          <w:b w:val="0"/>
          <w:color w:val="000000"/>
          <w:sz w:val="32"/>
        </w:rPr>
        <w:t>利润下滑的原因，公司在2026年4月投资者关系活动中明确说明为两点：一是受行业市场因素影响，即聚醚行业产能过剩、竞争加剧导致产品价差收窄；二是工程项目转固计入固定资产折旧增加，端氨基聚醚项目、尼龙66项目等大额在建工程陆续转入固定资产后，折旧费用刚性上升，而新产能贡献的收入与利润尚未充分释放，形成典型的"折旧前置、收益后置"的剪刀差。</w:t>
      </w:r>
    </w:p>
    <w:p>
      <w:pPr>
        <w:spacing w:lineRule="exact" w:line="600" w:before="0" w:after="0"/>
        <w:ind w:firstLine="420"/>
        <w:jc w:val="both"/>
      </w:pPr>
      <w:r>
        <w:rPr>
          <w:rFonts w:ascii="仿宋_GB2312" w:hAnsi="仿宋_GB2312" w:eastAsia="仿宋_GB2312"/>
          <w:b w:val="0"/>
          <w:color w:val="000000"/>
          <w:sz w:val="32"/>
        </w:rPr>
        <w:t>值得注意的是，公司毛利率水平（4%—8%）在化工行业中属明显偏低区间，这是由其"上游集中、下游分散、产品同质化程度较高"的产业链地位决定的，属于结构性特征而非短期波动。公司通过极高的资产周转率（总资产周转率2.21次，行业平均0.67次）弥补低毛利，形成"薄利多销、高周转"的盈利模式，2023年ROE仍达14.28%，说明该模式在景气期具备良好的股东回报能力。</w:t>
      </w:r>
    </w:p>
    <w:p>
      <w:pPr>
        <w:spacing w:lineRule="exact" w:line="600" w:before="0" w:after="0"/>
        <w:ind w:firstLine="420"/>
        <w:jc w:val="both"/>
      </w:pPr>
      <w:r>
        <w:rPr>
          <w:rFonts w:ascii="仿宋_GB2312" w:hAnsi="仿宋_GB2312" w:eastAsia="仿宋_GB2312"/>
          <w:b w:val="0"/>
          <w:color w:val="000000"/>
          <w:sz w:val="32"/>
        </w:rPr>
        <w:t>据中邮证券2026年5月12日首次覆盖研究报告预测，公司2026—2028年归母净利润有望达4.84亿元、5.41亿元、6.41亿元，给予"买入"评级。需说明的是，上述为券商预测数据，与公司2025年实际1.43亿元的净利润存在较大跨度，实现依赖新产能放量与行业景气修复，本报告仅作参考引用，不作为判断依据。</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截至2025年末，公司总资产39.23亿元，较2023年末的26.45亿元增长48.3%，资产扩张主要来自在建工程转固与新项目投入。</w:t>
      </w:r>
    </w:p>
    <w:p>
      <w:pPr>
        <w:spacing w:lineRule="exact" w:line="600" w:before="0" w:after="0"/>
        <w:ind w:firstLine="420"/>
        <w:jc w:val="both"/>
      </w:pPr>
      <w:r>
        <w:rPr>
          <w:rFonts w:ascii="仿宋_GB2312" w:hAnsi="仿宋_GB2312" w:eastAsia="仿宋_GB2312"/>
          <w:b w:val="0"/>
          <w:color w:val="000000"/>
          <w:sz w:val="32"/>
        </w:rPr>
        <w:t>以数据最完整的2023年末为例分析资产结构：总资产26.45亿元，其中流动资产13.98亿元（占52.85%）、固定资产3.99亿元（占15.07%）、无形资产2.06亿元（占7.80%）、其他资产6.42亿元（占24.28%）。</w:t>
      </w:r>
    </w:p>
    <w:p>
      <w:pPr>
        <w:spacing w:lineRule="exact" w:line="600" w:before="0" w:after="0"/>
        <w:ind w:firstLine="420"/>
        <w:jc w:val="both"/>
      </w:pPr>
      <w:r>
        <w:rPr>
          <w:rFonts w:ascii="仿宋_GB2312" w:hAnsi="仿宋_GB2312" w:eastAsia="仿宋_GB2312"/>
          <w:b w:val="0"/>
          <w:color w:val="000000"/>
          <w:sz w:val="32"/>
        </w:rPr>
        <w:t>资产质量的突出优点有三：第一，应收账款极少，2023年末仅5812万元，占总资产2.2%，坏账风险极低；第二，货币资金充裕，2023年末货币资金4.42亿元，另有交易性金融资产3.28亿元、债权投资1.47亿元，流动性储备充足；第三，存货周转极快，2023年末存货2.52亿元，周转率20.75次，存货跌价准备计提比例仅1.12%，无明显减值压力。</w:t>
      </w:r>
    </w:p>
    <w:p>
      <w:pPr>
        <w:spacing w:lineRule="exact" w:line="600" w:before="0" w:after="0"/>
        <w:ind w:firstLine="420"/>
        <w:jc w:val="both"/>
      </w:pPr>
      <w:r>
        <w:rPr>
          <w:rFonts w:ascii="仿宋_GB2312" w:hAnsi="仿宋_GB2312" w:eastAsia="仿宋_GB2312"/>
          <w:b w:val="0"/>
          <w:color w:val="000000"/>
          <w:sz w:val="32"/>
        </w:rPr>
        <w:t>需要关注的变化是：2023年末在建工程4.25亿元，较上年末大幅增长441.54%，主要系8万吨端氨基聚醚项目和一期16万吨/年尼龙66项目投入增加；无形资产2.06亿元，较上年增长162.88%，主要系土地使用权增加。大规模在建工程意味着资本开支高峰，也预示后续折旧压力，这一判断已被2024—2025年的利润下滑所验证。</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2023年末公司总负债8.02亿元，资产负债率30.30%，较2022年末的14.10%大幅上升16.20个百分点；有息资产负债率15.55%，较上年末上升15.52个百分点。负债上升的原因是公司为支持项目建设新增了短期借款1.36亿元与长期借款2.71亿元。</w:t>
      </w:r>
    </w:p>
    <w:p>
      <w:pPr>
        <w:spacing w:lineRule="exact" w:line="600" w:before="0" w:after="0"/>
        <w:ind w:firstLine="420"/>
        <w:jc w:val="both"/>
      </w:pPr>
      <w:r>
        <w:rPr>
          <w:rFonts w:ascii="仿宋_GB2312" w:hAnsi="仿宋_GB2312" w:eastAsia="仿宋_GB2312"/>
          <w:b w:val="0"/>
          <w:color w:val="000000"/>
          <w:sz w:val="32"/>
        </w:rPr>
        <w:t>偿债能力方面，2023年末流动比率2.64、速动比率2.16、现金比率175.71%，各项短期偿债指标均处于安全区间，流动性充裕。产权比率0.43，财务杠杆运用较为审慎。</w:t>
      </w:r>
    </w:p>
    <w:p>
      <w:pPr>
        <w:spacing w:lineRule="exact" w:line="600" w:before="0" w:after="0"/>
        <w:ind w:firstLine="420"/>
        <w:jc w:val="both"/>
      </w:pPr>
      <w:r>
        <w:rPr>
          <w:rFonts w:ascii="仿宋_GB2312" w:hAnsi="仿宋_GB2312" w:eastAsia="仿宋_GB2312"/>
          <w:b w:val="0"/>
          <w:color w:val="000000"/>
          <w:sz w:val="32"/>
        </w:rPr>
        <w:t>总体判断：即便在负债率翻倍上升后，30.30%的资产负债率在重资产化工行业中仍属较低水平，公司财务结构稳健，尚有较大的举债空间。考虑到2024—2025年项目建设持续推进，公司当前资产负债率可能已进一步上升，但预计仍在可控区间。</w:t>
      </w:r>
    </w:p>
    <w:p>
      <w:pPr>
        <w:spacing w:lineRule="exact" w:line="600" w:before="0" w:after="0"/>
        <w:ind w:firstLine="420"/>
        <w:jc w:val="both"/>
      </w:pPr>
      <w:r>
        <w:rPr>
          <w:rFonts w:ascii="仿宋_GB2312" w:hAnsi="仿宋_GB2312" w:eastAsia="仿宋_GB2312"/>
          <w:b w:val="0"/>
          <w:color w:val="000000"/>
          <w:sz w:val="32"/>
        </w:rPr>
        <w:t>负债结构方面，2023年末流动负债5.30亿元占总负债66.07%、非流动负债2.72亿元占33.93%，其中合同负债1.55亿元属于经营性无息负债，实质是客户预付款，反映公司较强的销售话语权，是优质负债。</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经营活动现金流方面，2023年公司经营活动产生的现金流量净额2.37亿元，同比增长11.65%（2022年为2.12亿元）；净利润现金含量95.44%，营业收入现金比114.24%，说明公司利润的现金支撑度高，收入基本全部转化为现金流入，盈利质量真实可靠。这与其"款到发货、应收极少"的销售政策直接相关，是公司财务上最值得肯定的特征。</w:t>
      </w:r>
    </w:p>
    <w:p>
      <w:pPr>
        <w:spacing w:lineRule="exact" w:line="600" w:before="0" w:after="0"/>
        <w:ind w:firstLine="420"/>
        <w:jc w:val="both"/>
      </w:pPr>
      <w:r>
        <w:rPr>
          <w:rFonts w:ascii="仿宋_GB2312" w:hAnsi="仿宋_GB2312" w:eastAsia="仿宋_GB2312"/>
          <w:b w:val="0"/>
          <w:color w:val="000000"/>
          <w:sz w:val="32"/>
        </w:rPr>
        <w:t>投资活动现金流方面，2023年投资活动现金流净额-5.19亿元（2022年为-5.83亿元），持续大额净流出，反映公司处于产能扩张周期，资本开支强度大。</w:t>
      </w:r>
    </w:p>
    <w:p>
      <w:pPr>
        <w:spacing w:lineRule="exact" w:line="600" w:before="0" w:after="0"/>
        <w:ind w:firstLine="420"/>
        <w:jc w:val="both"/>
      </w:pPr>
      <w:r>
        <w:rPr>
          <w:rFonts w:ascii="仿宋_GB2312" w:hAnsi="仿宋_GB2312" w:eastAsia="仿宋_GB2312"/>
          <w:b w:val="0"/>
          <w:color w:val="000000"/>
          <w:sz w:val="32"/>
        </w:rPr>
        <w:t>筹资活动现金流方面，2023年筹资活动现金流净额3.26亿元，较上年增加3.70亿元，主要通过新增银行借款满足项目建设资金需求。</w:t>
      </w:r>
    </w:p>
    <w:p>
      <w:pPr>
        <w:spacing w:lineRule="exact" w:line="600" w:before="0" w:after="0"/>
        <w:ind w:firstLine="420"/>
        <w:jc w:val="both"/>
      </w:pPr>
      <w:r>
        <w:rPr>
          <w:rFonts w:ascii="仿宋_GB2312" w:hAnsi="仿宋_GB2312" w:eastAsia="仿宋_GB2312"/>
          <w:b w:val="0"/>
          <w:color w:val="000000"/>
          <w:sz w:val="32"/>
        </w:rPr>
        <w:t>自由现金流方面，2023年自由现金流为-2.97亿元（2022年为-2.68亿元），连续为负。这一指标清晰揭示了公司的核心财务特征：经营造血能力尚可（年经营现金流约2.4亿元），但资本开支强度更大（年投资净流出约5亿元），资金缺口需依赖外部融资填补。</w:t>
      </w:r>
    </w:p>
    <w:p>
      <w:pPr>
        <w:spacing w:lineRule="exact" w:line="600" w:before="0" w:after="0"/>
        <w:ind w:firstLine="420"/>
        <w:jc w:val="both"/>
      </w:pPr>
      <w:r>
        <w:rPr>
          <w:rFonts w:ascii="仿宋_GB2312" w:hAnsi="仿宋_GB2312" w:eastAsia="仿宋_GB2312"/>
          <w:b w:val="0"/>
          <w:color w:val="000000"/>
          <w:sz w:val="32"/>
        </w:rPr>
        <w:t>这一现金流结构对本报告第七部分的融资建议具有决定性意义：公司是典型的"经营健康但扩张期资金需求旺盛"的优质制造业客户，融资需求真实、持续且规模可观。</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与行业对标：2023年公司总资产周转率2.21次，行业平均0.67次，位居同行业3/74；固定资产周转率13.19次，行业平均3.43次，位居同行业5/74。周转效率显著领先。近三年营业总收入复合增长率27.67%，在其他化学制品行业已披露2023年数据的18家公司中排名第4；近三年净利润复合增长率32.49%，排名11/18。收入成长性突出，利润成长性中游。</w:t>
      </w:r>
    </w:p>
    <w:p>
      <w:pPr>
        <w:spacing w:lineRule="exact" w:line="600" w:before="0" w:after="0"/>
        <w:ind w:firstLine="420"/>
        <w:jc w:val="both"/>
      </w:pPr>
      <w:r>
        <w:rPr>
          <w:rFonts w:ascii="仿宋_GB2312" w:hAnsi="仿宋_GB2312" w:eastAsia="仿宋_GB2312"/>
          <w:b w:val="0"/>
          <w:color w:val="000000"/>
          <w:sz w:val="32"/>
        </w:rPr>
        <w:t>与集群内企业对标：在高青县新材料特色产业集群中，隆华新材是唯一的A股上市公司，营业收入规模（63.20亿元）、总资产规模（39.23亿元）、员工数量（615人）均远超集群内其他企业，是当之无愧的龙头与链主，也是高青县首家主板上市企业，对集群具有极强的品牌带动与产业集聚效应。</w:t>
      </w:r>
    </w:p>
    <w:p>
      <w:pPr>
        <w:spacing w:lineRule="exact" w:line="600" w:before="0" w:after="0"/>
        <w:ind w:firstLine="420"/>
        <w:jc w:val="both"/>
      </w:pPr>
      <w:r>
        <w:rPr>
          <w:rFonts w:ascii="仿宋_GB2312" w:hAnsi="仿宋_GB2312" w:eastAsia="仿宋_GB2312"/>
          <w:b w:val="0"/>
          <w:color w:val="000000"/>
          <w:sz w:val="32"/>
        </w:rPr>
        <w:t>与聚醚行业头部企业对标：公司聚醚产能129万吨/年位居国内前列，但相较于万华化学等具备全产业链一体化能力（自产环氧丙烷）的综合性巨头，公司缺乏上游原料自给能力，成本控制与抗周期能力存在差距，这是其毛利率长期偏低的根本原因。</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公司为上市公司，已建立规范的"股东大会—董事会—监事会—经理层"治理架构，并按创业板监管要求设置独立董事、董事会秘书、专门委员会等机制。</w:t>
      </w:r>
    </w:p>
    <w:p>
      <w:pPr>
        <w:spacing w:lineRule="exact" w:line="600" w:before="0" w:after="0"/>
        <w:ind w:firstLine="420"/>
        <w:jc w:val="both"/>
      </w:pPr>
      <w:r>
        <w:rPr>
          <w:rFonts w:ascii="仿宋_GB2312" w:hAnsi="仿宋_GB2312" w:eastAsia="仿宋_GB2312"/>
          <w:b w:val="0"/>
          <w:color w:val="000000"/>
          <w:sz w:val="32"/>
        </w:rPr>
        <w:t>董事会构成：董事长韩志刚（非独立董事），非独立董事韩润泽、张萍，职工代表董事薛荣刚，独立董事乔贵涛（博士）、李丽君（博士）。独立董事均具博士学历，年薪6万元。董事会中独立董事占比约三分之一，符合监管要求。</w:t>
      </w:r>
    </w:p>
    <w:p>
      <w:pPr>
        <w:spacing w:lineRule="exact" w:line="600" w:before="0" w:after="0"/>
        <w:ind w:firstLine="420"/>
        <w:jc w:val="both"/>
      </w:pPr>
      <w:r>
        <w:rPr>
          <w:rFonts w:ascii="仿宋_GB2312" w:hAnsi="仿宋_GB2312" w:eastAsia="仿宋_GB2312"/>
          <w:b w:val="0"/>
          <w:color w:val="000000"/>
          <w:sz w:val="32"/>
        </w:rPr>
        <w:t>控制权特征：韩志刚与韩润泽签订一致行动协议，合计持股52.12%，为控股股东暨共同实际控制人，形成绝对控股。这种父子一致行动的安排既保证了控制权的高度稳定与决策效率，也带来"一股独大"下中小股东权益保护的常规关注点。公司通过独立董事、董事会秘书、信息披露等上市公司制度形成外部约束。</w:t>
      </w:r>
    </w:p>
    <w:p>
      <w:pPr>
        <w:spacing w:lineRule="exact" w:line="600" w:before="0" w:after="0"/>
        <w:ind w:firstLine="420"/>
        <w:jc w:val="both"/>
      </w:pPr>
      <w:r>
        <w:rPr>
          <w:rFonts w:ascii="仿宋_GB2312" w:hAnsi="仿宋_GB2312" w:eastAsia="仿宋_GB2312"/>
          <w:b w:val="0"/>
          <w:color w:val="000000"/>
          <w:sz w:val="32"/>
        </w:rPr>
        <w:t>值得注意的是，公司实行了所有权与经营权的适度分离：董事长韩志刚（家族核心）主导战略与治理，而总经理兼法定代表人由职业经理人张萍担任并负责日常经营，张萍年薪163.27万元，为管理层最高薪酬之一。这种安排在家族控股上市公司中体现了较好的治理成熟度。</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公司核心管理团队构成如下：韩志刚，董事长，大专学历，持股33.05%—33.88%，2024年11月最新任职公告；张萍，法定代表人、总经理、非独立董事，大专学历，年薪163.27万元，2021年12月任职；齐春青，副总经理兼财务总监，大专学历，年薪157.20万元，2015年11月起任职，任期最长，财务体系稳定；徐伟，副总经理兼董事会秘书，本科学历，2017年12月起任职；陈昌卫，副总经理，本科学历，年薪417.45万元，为管理团队薪酬最高者，2021年12月任职；韩润泽，非独立董事，本科学历，年薪56.14万元；薛荣刚，职工代表董事，本科学历，年薪30.60万元，2025年9月新任。</w:t>
      </w:r>
    </w:p>
    <w:p>
      <w:pPr>
        <w:spacing w:lineRule="exact" w:line="600" w:before="0" w:after="0"/>
        <w:ind w:firstLine="420"/>
        <w:jc w:val="both"/>
      </w:pPr>
      <w:r>
        <w:rPr>
          <w:rFonts w:ascii="仿宋_GB2312" w:hAnsi="仿宋_GB2312" w:eastAsia="仿宋_GB2312"/>
          <w:b w:val="0"/>
          <w:color w:val="000000"/>
          <w:sz w:val="32"/>
        </w:rPr>
        <w:t>管理团队特征：一是稳定性强，财务总监、董秘等关键岗位任职均超过八年；二是薪酬市场化程度高，副总经理陈昌卫年薪417.45万元、总经理张萍163.27万元，显著高于一般县域企业水平，反映公司愿意以市场化薪酬吸引和留住职业经理人；三是家族成员与职业经理人有机结合，家族把控战略与股权，经营交由专业团队。</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公司作为上市公司，需执行《公司法》《证券法》《创业板股票上市规则》等法规要求的内控制度，定期报告经容诚会计师事务所审计并出具标准无保留意见，财务报告内控可靠性较高。2025年获评税务信用A级，纳税合规状况良好。</w:t>
      </w:r>
    </w:p>
    <w:p>
      <w:pPr>
        <w:spacing w:lineRule="exact" w:line="600" w:before="0" w:after="0"/>
        <w:ind w:firstLine="420"/>
        <w:jc w:val="both"/>
      </w:pPr>
      <w:r>
        <w:rPr>
          <w:rFonts w:ascii="仿宋_GB2312" w:hAnsi="仿宋_GB2312" w:eastAsia="仿宋_GB2312"/>
          <w:b w:val="0"/>
          <w:color w:val="000000"/>
          <w:sz w:val="32"/>
        </w:rPr>
        <w:t>生产管理方面，公司深化数字化、智能化、自动化革新，建设绿色、低碳、高效的智慧工厂，获评绿色工厂称号，安全环保与能耗管理达到较高标准。危险化学品生产企业的安全管理要求极高，公司持续通过安全生产标准化与体系认证维持合规运营。</w:t>
      </w:r>
    </w:p>
    <w:p>
      <w:pPr>
        <w:spacing w:lineRule="exact" w:line="600" w:before="0" w:after="0"/>
        <w:ind w:firstLine="420"/>
        <w:jc w:val="both"/>
      </w:pPr>
      <w:r>
        <w:rPr>
          <w:rFonts w:ascii="仿宋_GB2312" w:hAnsi="仿宋_GB2312" w:eastAsia="仿宋_GB2312"/>
          <w:b w:val="0"/>
          <w:color w:val="000000"/>
          <w:sz w:val="32"/>
        </w:rPr>
        <w:t>需要关注的风险信号：第三方平台显示公司自身风险49条，司法案件46起、涉诉关系31条、立案信息23条、开庭公告26条、法律文书50份，历史被执行人记录5条，风险总量121条（含关联风险52条）。对于一家年营收63亿元、客户高度分散的化工企业而言，一定数量的买卖合同纠纷属正常经营范畴，但46起司法案件的绝对数量仍属偏多，建议在授信前逐案核查案由、标的金额与判决执行情况，重点关注是否存在产品质量、环保处罚、安全事故等实质性风险案件。</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公司2025年合并报表口径员工615人，2024年社保人数442人，集团口径社保人数总和571人。2023年末员工总数527人，人均创收952.75万元、人均创利47.06万元、人均薪酬14.72万元。</w:t>
      </w:r>
    </w:p>
    <w:p>
      <w:pPr>
        <w:spacing w:lineRule="exact" w:line="600" w:before="0" w:after="0"/>
        <w:ind w:firstLine="420"/>
        <w:jc w:val="both"/>
      </w:pPr>
      <w:r>
        <w:rPr>
          <w:rFonts w:ascii="仿宋_GB2312" w:hAnsi="仿宋_GB2312" w:eastAsia="仿宋_GB2312"/>
          <w:b w:val="0"/>
          <w:color w:val="000000"/>
          <w:sz w:val="32"/>
        </w:rPr>
        <w:t>人均创收接近千万元，在制造业中属极高水平，主要源于化工连续生产装置的高度自动化与大宗商品的高单价属性。人均薪酬14.72万元，在高青县域范围内具备较强吸引力，但2023年较上年下降10.92%，需关注薪酬竞争力变化对人才稳定性的影响。</w:t>
      </w:r>
    </w:p>
    <w:p>
      <w:pPr>
        <w:spacing w:lineRule="exact" w:line="600" w:before="0" w:after="0"/>
        <w:ind w:firstLine="420"/>
        <w:jc w:val="both"/>
      </w:pPr>
      <w:r>
        <w:rPr>
          <w:rFonts w:ascii="仿宋_GB2312" w:hAnsi="仿宋_GB2312" w:eastAsia="仿宋_GB2312"/>
          <w:b w:val="0"/>
          <w:color w:val="000000"/>
          <w:sz w:val="32"/>
        </w:rPr>
        <w:t>人才结构方面，公司为高新技术企业，研发投入2023年达1.65亿元、同比增长61.60%、占营业收入3.28%，研发人员规模应有相当基础；启信宝显示公司科研团队43人。研发方向集中于聚醚配方改性、聚醚胺工艺、尼龙66聚合技术等。</w:t>
      </w:r>
    </w:p>
    <w:p>
      <w:pPr>
        <w:spacing w:lineRule="exact" w:line="600" w:before="0" w:after="0"/>
        <w:ind w:firstLine="420"/>
        <w:jc w:val="both"/>
      </w:pPr>
      <w:r>
        <w:rPr>
          <w:rFonts w:ascii="仿宋_GB2312" w:hAnsi="仿宋_GB2312" w:eastAsia="仿宋_GB2312"/>
          <w:b w:val="0"/>
          <w:color w:val="000000"/>
          <w:sz w:val="32"/>
        </w:rPr>
        <w:t>人力资源挑战在于：高青县为县域地区，对高端化工研发人才（尤其是聚合物合成、催化剂方向的博士）吸引力有限；随着尼龙66等新业务展开，需要引进相应的技术与市场人才，人才储备是新业务成败的关键变量之一。</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一是规模壁垒。公司聚醚系列产品总产能达129万吨/年，聚醚类总产能达到百万吨级，产能规模位居国内行业前列，POP产能居国内首位。在同质化程度较高的通用聚醚市场，规模是最直接的竞争力：规模带来原料集中采购的议价能力、单位固定成本的摊薄、以及大客户对稳定供应能力的认可。新进入者要达到百万吨级产能，需投入数十亿元资本并经历数年建设期，壁垒显著。</w:t>
      </w:r>
    </w:p>
    <w:p>
      <w:pPr>
        <w:spacing w:lineRule="exact" w:line="600" w:before="0" w:after="0"/>
        <w:ind w:firstLine="420"/>
        <w:jc w:val="both"/>
      </w:pPr>
      <w:r>
        <w:rPr>
          <w:rFonts w:ascii="仿宋_GB2312" w:hAnsi="仿宋_GB2312" w:eastAsia="仿宋_GB2312"/>
          <w:b w:val="0"/>
          <w:color w:val="000000"/>
          <w:sz w:val="32"/>
        </w:rPr>
        <w:t>二是运营效率壁垒。公司总资产周转率2.21次（行业平均0.67次）、固定资产周转率13.19次（行业平均3.43次），运营效率位居行业前五。在低毛利行业中，效率就是利润。这种效率来自装置的高负荷运行、自动化水平、以及极短的产销周期，是长期积累形成的运营know-how。</w:t>
      </w:r>
    </w:p>
    <w:p>
      <w:pPr>
        <w:spacing w:lineRule="exact" w:line="600" w:before="0" w:after="0"/>
        <w:ind w:firstLine="420"/>
        <w:jc w:val="both"/>
      </w:pPr>
      <w:r>
        <w:rPr>
          <w:rFonts w:ascii="仿宋_GB2312" w:hAnsi="仿宋_GB2312" w:eastAsia="仿宋_GB2312"/>
          <w:b w:val="0"/>
          <w:color w:val="000000"/>
          <w:sz w:val="32"/>
        </w:rPr>
        <w:t>三是销售与回款壁垒。前五大客户占比仅14.42%，客户高度分散；应收账款周转率107.78次、应收账款余额仅占收入1.16%，实行款到发货政策；同时拥有1.55亿元合同负债（客户预付款）。能够在高度竞争的市场中坚持先款后货并保持销量高速增长，本身即证明了产品品质与供应稳定性的不可替代性，这是最扎实的竞争力体现。</w:t>
      </w:r>
    </w:p>
    <w:p>
      <w:pPr>
        <w:spacing w:lineRule="exact" w:line="600" w:before="0" w:after="0"/>
        <w:ind w:firstLine="420"/>
        <w:jc w:val="both"/>
      </w:pPr>
      <w:r>
        <w:rPr>
          <w:rFonts w:ascii="仿宋_GB2312" w:hAnsi="仿宋_GB2312" w:eastAsia="仿宋_GB2312"/>
          <w:b w:val="0"/>
          <w:color w:val="000000"/>
          <w:sz w:val="32"/>
        </w:rPr>
        <w:t>四是产品谱系与结构升级能力。公司产品覆盖POP、通用软泡聚醚、CASE聚醚、聚醚胺、聚酰胺树脂五大品类，能够满足客户"一站式采购"需求。更重要的是，公司持续向高附加值品类升级：聚醚胺2025年收入已达2.75亿元并成为国内重要供应商，尼龙66等特种聚酰胺开始市场导入，产品结构优化路径清晰。</w:t>
      </w:r>
    </w:p>
    <w:p>
      <w:pPr>
        <w:spacing w:lineRule="exact" w:line="600" w:before="0" w:after="0"/>
        <w:ind w:firstLine="420"/>
        <w:jc w:val="both"/>
      </w:pPr>
      <w:r>
        <w:rPr>
          <w:rFonts w:ascii="仿宋_GB2312" w:hAnsi="仿宋_GB2312" w:eastAsia="仿宋_GB2312"/>
          <w:b w:val="0"/>
          <w:color w:val="000000"/>
          <w:sz w:val="32"/>
        </w:rPr>
        <w:t>五是资本市场平台优势。作为高青县首家A股上市企业（创业板301149），公司拥有直接融资渠道、品牌背书与人才吸引力，这是集群内其他企业不具备的战略资源。上市地位也倒逼公司在治理、内控、信息披露方面保持规范。</w:t>
      </w:r>
    </w:p>
    <w:p>
      <w:pPr>
        <w:spacing w:lineRule="exact" w:line="600" w:before="0" w:after="0"/>
        <w:ind w:firstLine="420"/>
        <w:jc w:val="both"/>
      </w:pPr>
      <w:r>
        <w:rPr>
          <w:rFonts w:ascii="仿宋_GB2312" w:hAnsi="仿宋_GB2312" w:eastAsia="仿宋_GB2312"/>
          <w:b w:val="0"/>
          <w:color w:val="000000"/>
          <w:sz w:val="32"/>
        </w:rPr>
        <w:t>六是财务稳健性。2023年资产负债率仅30.30%、流动比率2.64、速动比率2.16、现金比率175.71%，即便在大规模扩张期仍保持稳健的财务结构，抗风险能力强，具备继续加杠杆支持扩张的空间。</w:t>
      </w:r>
    </w:p>
    <w:p>
      <w:pPr>
        <w:spacing w:lineRule="exact" w:line="600" w:before="0" w:after="0"/>
        <w:ind w:firstLine="420"/>
        <w:jc w:val="both"/>
      </w:pPr>
      <w:r>
        <w:rPr>
          <w:rFonts w:ascii="仿宋_GB2312" w:hAnsi="仿宋_GB2312" w:eastAsia="仿宋_GB2312"/>
          <w:b w:val="0"/>
          <w:color w:val="000000"/>
          <w:sz w:val="32"/>
        </w:rPr>
        <w:t>七是绿色低碳与合规优势。公司获评绿色工厂、省级制造业单项冠军、国家高新技术企业、税务信用A级，在环保监管日趋严格的化工行业中，合规能力本身就是准入门槛与竞争优势。</w:t>
      </w:r>
    </w:p>
    <w:p>
      <w:pPr>
        <w:spacing w:lineRule="exact" w:line="600" w:before="120" w:after="120"/>
        <w:ind w:firstLine="420"/>
        <w:jc w:val="left"/>
      </w:pPr>
      <w:r>
        <w:rPr>
          <w:rFonts w:ascii="黑体" w:hAnsi="黑体" w:eastAsia="黑体"/>
          <w:b w:val="0"/>
          <w:color w:val="000000"/>
          <w:sz w:val="32"/>
        </w:rPr>
        <w:t>六、风险分析（重点）</w:t>
      </w:r>
    </w:p>
    <w:p>
      <w:pPr>
        <w:spacing w:lineRule="exact" w:line="600" w:before="120" w:after="120"/>
        <w:ind w:firstLine="420"/>
        <w:jc w:val="left"/>
      </w:pPr>
      <w:r>
        <w:rPr>
          <w:rFonts w:ascii="楷体_GB2312" w:hAnsi="楷体_GB2312" w:eastAsia="楷体_GB2312"/>
          <w:b w:val="0"/>
          <w:color w:val="000000"/>
          <w:sz w:val="32"/>
        </w:rPr>
        <w:t>（一）行业风险</w:t>
      </w:r>
    </w:p>
    <w:p>
      <w:pPr>
        <w:spacing w:lineRule="exact" w:line="600" w:before="0" w:after="0"/>
        <w:ind w:firstLine="420"/>
        <w:jc w:val="both"/>
      </w:pPr>
      <w:r>
        <w:rPr>
          <w:rFonts w:ascii="仿宋_GB2312" w:hAnsi="仿宋_GB2312" w:eastAsia="仿宋_GB2312"/>
          <w:b w:val="0"/>
          <w:color w:val="000000"/>
          <w:sz w:val="32"/>
        </w:rPr>
        <w:t>第一，聚醚行业产能过剩风险。这是中邮证券研报明确提示的首要风险。近年国内聚醚多元醇产能快速扩张，行业整体供大于求，价格战导致产品价差持续收窄，直接体现为公司毛利率由2023年7.61%降至2025年4.27%。若行业新增产能继续释放而需求增长乏力，公司盈利将进一步承压。</w:t>
      </w:r>
    </w:p>
    <w:p>
      <w:pPr>
        <w:spacing w:lineRule="exact" w:line="600" w:before="0" w:after="0"/>
        <w:ind w:firstLine="420"/>
        <w:jc w:val="both"/>
      </w:pPr>
      <w:r>
        <w:rPr>
          <w:rFonts w:ascii="仿宋_GB2312" w:hAnsi="仿宋_GB2312" w:eastAsia="仿宋_GB2312"/>
          <w:b w:val="0"/>
          <w:color w:val="000000"/>
          <w:sz w:val="32"/>
        </w:rPr>
        <w:t>第二，下游需求疲弱风险。聚醚主要用于家具海绵、床垫、鞋材等消费领域，与房地产、家居消费景气度高度相关。房地产市场调整已对软体家具、床垫需求形成压制，若消费复苏不及预期，公司销量增长将面临天花板。</w:t>
      </w:r>
    </w:p>
    <w:p>
      <w:pPr>
        <w:spacing w:lineRule="exact" w:line="600" w:before="0" w:after="0"/>
        <w:ind w:firstLine="420"/>
        <w:jc w:val="both"/>
      </w:pPr>
      <w:r>
        <w:rPr>
          <w:rFonts w:ascii="仿宋_GB2312" w:hAnsi="仿宋_GB2312" w:eastAsia="仿宋_GB2312"/>
          <w:b w:val="0"/>
          <w:color w:val="000000"/>
          <w:sz w:val="32"/>
        </w:rPr>
        <w:t>第三，聚醚出口增速下降风险。2025年公司境外收入8.13亿元、占比12.87%，出口是消化过剩产能的重要出口。若全球贸易保护主义加剧、目标市场反倾销调查增加或海外需求走弱，出口业务将受冲击。</w:t>
      </w:r>
    </w:p>
    <w:p>
      <w:pPr>
        <w:spacing w:lineRule="exact" w:line="600" w:before="0" w:after="0"/>
        <w:ind w:firstLine="420"/>
        <w:jc w:val="both"/>
      </w:pPr>
      <w:r>
        <w:rPr>
          <w:rFonts w:ascii="仿宋_GB2312" w:hAnsi="仿宋_GB2312" w:eastAsia="仿宋_GB2312"/>
          <w:b w:val="0"/>
          <w:color w:val="000000"/>
          <w:sz w:val="32"/>
        </w:rPr>
        <w:t>第四，原料供应与价格波动风险。环氧丙烷为核心原料，公司无上游一体化配套，完全外购。若原料价格上涨或供应紧张，成本压力难以向分散的下游客户完全转嫁。中邮证券亦将"原料供应不足的风险"列为主要风险之一。</w:t>
      </w:r>
    </w:p>
    <w:p>
      <w:pPr>
        <w:spacing w:lineRule="exact" w:line="600" w:before="120" w:after="120"/>
        <w:ind w:firstLine="420"/>
        <w:jc w:val="left"/>
      </w:pPr>
      <w:r>
        <w:rPr>
          <w:rFonts w:ascii="楷体_GB2312" w:hAnsi="楷体_GB2312" w:eastAsia="楷体_GB2312"/>
          <w:b w:val="0"/>
          <w:color w:val="000000"/>
          <w:sz w:val="32"/>
        </w:rPr>
        <w:t>（二）经营风险</w:t>
      </w:r>
    </w:p>
    <w:p>
      <w:pPr>
        <w:spacing w:lineRule="exact" w:line="600" w:before="0" w:after="0"/>
        <w:ind w:firstLine="420"/>
        <w:jc w:val="both"/>
      </w:pPr>
      <w:r>
        <w:rPr>
          <w:rFonts w:ascii="仿宋_GB2312" w:hAnsi="仿宋_GB2312" w:eastAsia="仿宋_GB2312"/>
          <w:b w:val="0"/>
          <w:color w:val="000000"/>
          <w:sz w:val="32"/>
        </w:rPr>
        <w:t>第一，供应商高度集中风险。前五名供应商采购占比高达56.77%，若主要供应商发生装置检修、事故停产或调整供货政策，将直接影响公司生产连续性；同时采购议价能力弱，成本控制主动权不足。</w:t>
      </w:r>
    </w:p>
    <w:p>
      <w:pPr>
        <w:spacing w:lineRule="exact" w:line="600" w:before="0" w:after="0"/>
        <w:ind w:firstLine="420"/>
        <w:jc w:val="both"/>
      </w:pPr>
      <w:r>
        <w:rPr>
          <w:rFonts w:ascii="仿宋_GB2312" w:hAnsi="仿宋_GB2312" w:eastAsia="仿宋_GB2312"/>
          <w:b w:val="0"/>
          <w:color w:val="000000"/>
          <w:sz w:val="32"/>
        </w:rPr>
        <w:t>第二，产能利用率不足风险。2025年销量82.09万吨对应129万吨产能，利用率约63.6%。在建及规划项目（8万吨端氨基聚醚、16万吨尼龙66、20万吨环保型聚醚）投产后，若销量增速跟不上产能增速，利用率将进一步下降，固定成本摊薄效应恶化。</w:t>
      </w:r>
    </w:p>
    <w:p>
      <w:pPr>
        <w:spacing w:lineRule="exact" w:line="600" w:before="0" w:after="0"/>
        <w:ind w:firstLine="420"/>
        <w:jc w:val="both"/>
      </w:pPr>
      <w:r>
        <w:rPr>
          <w:rFonts w:ascii="仿宋_GB2312" w:hAnsi="仿宋_GB2312" w:eastAsia="仿宋_GB2312"/>
          <w:b w:val="0"/>
          <w:color w:val="000000"/>
          <w:sz w:val="32"/>
        </w:rPr>
        <w:t>第三，新业务培育风险。尼龙66业务2025年仅实现收入1406万元，尚处市场导入期。尼龙66市场竞争激烈，且下游纺丝与工程塑料客户认证周期长，公司作为后来者能否打开市场存在不确定性。前期4万吨已投产、8万吨在建的产能，若不能有效消化将形成资产闲置。</w:t>
      </w:r>
    </w:p>
    <w:p>
      <w:pPr>
        <w:spacing w:lineRule="exact" w:line="600" w:before="0" w:after="0"/>
        <w:ind w:firstLine="420"/>
        <w:jc w:val="both"/>
      </w:pPr>
      <w:r>
        <w:rPr>
          <w:rFonts w:ascii="仿宋_GB2312" w:hAnsi="仿宋_GB2312" w:eastAsia="仿宋_GB2312"/>
          <w:b w:val="0"/>
          <w:color w:val="000000"/>
          <w:sz w:val="32"/>
        </w:rPr>
        <w:t>第四，安全生产风险。公司为危险化学品生产企业，涉及环氧丙烷、环氧乙烷等易燃易爆物质，一旦发生安全事故，将面临停产整顿、巨额赔偿与声誉损失。</w:t>
      </w:r>
    </w:p>
    <w:p>
      <w:pPr>
        <w:spacing w:lineRule="exact" w:line="600" w:before="120" w:after="120"/>
        <w:ind w:firstLine="420"/>
        <w:jc w:val="left"/>
      </w:pPr>
      <w:r>
        <w:rPr>
          <w:rFonts w:ascii="楷体_GB2312" w:hAnsi="楷体_GB2312" w:eastAsia="楷体_GB2312"/>
          <w:b w:val="0"/>
          <w:color w:val="000000"/>
          <w:sz w:val="32"/>
        </w:rPr>
        <w:t>（三）财务风险</w:t>
      </w:r>
    </w:p>
    <w:p>
      <w:pPr>
        <w:spacing w:lineRule="exact" w:line="600" w:before="0" w:after="0"/>
        <w:ind w:firstLine="420"/>
        <w:jc w:val="both"/>
      </w:pPr>
      <w:r>
        <w:rPr>
          <w:rFonts w:ascii="仿宋_GB2312" w:hAnsi="仿宋_GB2312" w:eastAsia="仿宋_GB2312"/>
          <w:b w:val="0"/>
          <w:color w:val="000000"/>
          <w:sz w:val="32"/>
        </w:rPr>
        <w:t>第一，折旧压力持续风险。这是当前最现实的财务风险。公司大量在建工程陆续转固，固定资产折旧刚性增加，已成为2024—2025年利润下滑的直接原因之一。随着尼龙66、端氨基聚醚等项目继续转固，未来2—3年折旧压力将持续存在，若新产能收入贡献滞后，利润仍将承压。</w:t>
      </w:r>
    </w:p>
    <w:p>
      <w:pPr>
        <w:spacing w:lineRule="exact" w:line="600" w:before="0" w:after="0"/>
        <w:ind w:firstLine="420"/>
        <w:jc w:val="both"/>
      </w:pPr>
      <w:r>
        <w:rPr>
          <w:rFonts w:ascii="仿宋_GB2312" w:hAnsi="仿宋_GB2312" w:eastAsia="仿宋_GB2312"/>
          <w:b w:val="0"/>
          <w:color w:val="000000"/>
          <w:sz w:val="32"/>
        </w:rPr>
        <w:t>第二，自由现金流持续为负风险。2022年、2023年自由现金流分别为-2.68亿元、-2.97亿元，连续为负，扩张依赖外部融资。若融资环境收紧或经营现金流恶化，项目建设资金链将面临压力。</w:t>
      </w:r>
    </w:p>
    <w:p>
      <w:pPr>
        <w:spacing w:lineRule="exact" w:line="600" w:before="0" w:after="0"/>
        <w:ind w:firstLine="420"/>
        <w:jc w:val="both"/>
      </w:pPr>
      <w:r>
        <w:rPr>
          <w:rFonts w:ascii="仿宋_GB2312" w:hAnsi="仿宋_GB2312" w:eastAsia="仿宋_GB2312"/>
          <w:b w:val="0"/>
          <w:color w:val="000000"/>
          <w:sz w:val="32"/>
        </w:rPr>
        <w:t>第三，杠杆上升风险。资产负债率已由2022年14.10%升至2023年30.30%，有息负债4.12亿元。随着后续项目投入，负债率将继续上升，财务费用增加将进一步侵蚀本已微薄的利润。</w:t>
      </w:r>
    </w:p>
    <w:p>
      <w:pPr>
        <w:spacing w:lineRule="exact" w:line="600" w:before="0" w:after="0"/>
        <w:ind w:firstLine="420"/>
        <w:jc w:val="both"/>
      </w:pPr>
      <w:r>
        <w:rPr>
          <w:rFonts w:ascii="仿宋_GB2312" w:hAnsi="仿宋_GB2312" w:eastAsia="仿宋_GB2312"/>
          <w:b w:val="0"/>
          <w:color w:val="000000"/>
          <w:sz w:val="32"/>
        </w:rPr>
        <w:t>第四，毛利率结构性偏低风险。4%—8%的毛利率意味着极低的安全边际，原料价格上涨2—3个百分点即可能使公司陷入亏损，盈利脆弱性高。</w:t>
      </w:r>
    </w:p>
    <w:p>
      <w:pPr>
        <w:spacing w:lineRule="exact" w:line="600" w:before="120" w:after="120"/>
        <w:ind w:firstLine="420"/>
        <w:jc w:val="left"/>
      </w:pPr>
      <w:r>
        <w:rPr>
          <w:rFonts w:ascii="楷体_GB2312" w:hAnsi="楷体_GB2312" w:eastAsia="楷体_GB2312"/>
          <w:b w:val="0"/>
          <w:color w:val="000000"/>
          <w:sz w:val="32"/>
        </w:rPr>
        <w:t>（四）合规与法律风险</w:t>
      </w:r>
    </w:p>
    <w:p>
      <w:pPr>
        <w:spacing w:lineRule="exact" w:line="600" w:before="0" w:after="0"/>
        <w:ind w:firstLine="420"/>
        <w:jc w:val="both"/>
      </w:pPr>
      <w:r>
        <w:rPr>
          <w:rFonts w:ascii="仿宋_GB2312" w:hAnsi="仿宋_GB2312" w:eastAsia="仿宋_GB2312"/>
          <w:b w:val="0"/>
          <w:color w:val="000000"/>
          <w:sz w:val="32"/>
        </w:rPr>
        <w:t>第一，司法涉诉数量偏多。第三方平台显示公司司法案件46起、立案信息23条、开庭公告26条、法律文书50份、自身风险49条、历史被执行人5条。虽然对于63亿元收入体量、客户高度分散的企业而言部分诉讼属正常经营纠纷，但绝对数量仍需重点核查。</w:t>
      </w:r>
    </w:p>
    <w:p>
      <w:pPr>
        <w:spacing w:lineRule="exact" w:line="600" w:before="0" w:after="0"/>
        <w:ind w:firstLine="420"/>
        <w:jc w:val="both"/>
      </w:pPr>
      <w:r>
        <w:rPr>
          <w:rFonts w:ascii="仿宋_GB2312" w:hAnsi="仿宋_GB2312" w:eastAsia="仿宋_GB2312"/>
          <w:b w:val="0"/>
          <w:color w:val="000000"/>
          <w:sz w:val="32"/>
        </w:rPr>
        <w:t>第二，环保合规风险。公司为化工生产企业，持有排污许可证，山东省对化工行业环保监管严格。公司多个项目正在进行环评公示（POP技改、端氨基聚醚技改、20万吨环保型聚醚项目），若环评审批延迟或不通过，将影响项目进度。</w:t>
      </w:r>
    </w:p>
    <w:p>
      <w:pPr>
        <w:spacing w:lineRule="exact" w:line="600" w:before="0" w:after="0"/>
        <w:ind w:firstLine="420"/>
        <w:jc w:val="both"/>
      </w:pPr>
      <w:r>
        <w:rPr>
          <w:rFonts w:ascii="仿宋_GB2312" w:hAnsi="仿宋_GB2312" w:eastAsia="仿宋_GB2312"/>
          <w:b w:val="0"/>
          <w:color w:val="000000"/>
          <w:sz w:val="32"/>
        </w:rPr>
        <w:t>第三，危化品经营合规风险。危险化学品生产与经营许可需定期换证，运输、储存、使用环节均受严格监管，任何违规都可能导致许可证被吊销。</w:t>
      </w:r>
    </w:p>
    <w:p>
      <w:pPr>
        <w:spacing w:lineRule="exact" w:line="600" w:before="0" w:after="0"/>
        <w:ind w:firstLine="420"/>
        <w:jc w:val="both"/>
      </w:pPr>
      <w:r>
        <w:rPr>
          <w:rFonts w:ascii="仿宋_GB2312" w:hAnsi="仿宋_GB2312" w:eastAsia="仿宋_GB2312"/>
          <w:b w:val="0"/>
          <w:color w:val="000000"/>
          <w:sz w:val="32"/>
        </w:rPr>
        <w:t>第四，股东股份冻结风险。股东杲鑫所持10,158,237股（占总股本2.36%）全部处于冻结状态，若被司法处置将对股价形成压力，也反映股东层面存在外部债务问题。</w:t>
      </w:r>
    </w:p>
    <w:p>
      <w:pPr>
        <w:spacing w:lineRule="exact" w:line="600" w:before="120" w:after="120"/>
        <w:ind w:firstLine="420"/>
        <w:jc w:val="left"/>
      </w:pPr>
      <w:r>
        <w:rPr>
          <w:rFonts w:ascii="楷体_GB2312" w:hAnsi="楷体_GB2312" w:eastAsia="楷体_GB2312"/>
          <w:b w:val="0"/>
          <w:color w:val="000000"/>
          <w:sz w:val="32"/>
        </w:rPr>
        <w:t>（五）管理风险</w:t>
      </w:r>
    </w:p>
    <w:p>
      <w:pPr>
        <w:spacing w:lineRule="exact" w:line="600" w:before="0" w:after="0"/>
        <w:ind w:firstLine="420"/>
        <w:jc w:val="both"/>
      </w:pPr>
      <w:r>
        <w:rPr>
          <w:rFonts w:ascii="仿宋_GB2312" w:hAnsi="仿宋_GB2312" w:eastAsia="仿宋_GB2312"/>
          <w:b w:val="0"/>
          <w:color w:val="000000"/>
          <w:sz w:val="32"/>
        </w:rPr>
        <w:t>公司实际控制人为韩志刚、韩润泽父子，合计持股52.12%，家族控股比例高，存在"一股独大"下的决策集中风险；同时家族三代（韩曰曾—韩志刚—韩润泽）均在股东名册，代际传承安排需要长期规划。所幸公司已引入职业经理人担任总经理并给予市场化薪酬，一定程度上缓解了家族管理的局限。</w:t>
      </w:r>
    </w:p>
    <w:p>
      <w:pPr>
        <w:spacing w:lineRule="exact" w:line="600" w:before="120" w:after="120"/>
        <w:ind w:firstLine="420"/>
        <w:jc w:val="left"/>
      </w:pPr>
      <w:r>
        <w:rPr>
          <w:rFonts w:ascii="楷体_GB2312" w:hAnsi="楷体_GB2312" w:eastAsia="楷体_GB2312"/>
          <w:b w:val="0"/>
          <w:color w:val="000000"/>
          <w:sz w:val="32"/>
        </w:rPr>
        <w:t>（六）现有应对措施</w:t>
      </w:r>
    </w:p>
    <w:p>
      <w:pPr>
        <w:spacing w:lineRule="exact" w:line="600" w:before="0" w:after="0"/>
        <w:ind w:firstLine="420"/>
        <w:jc w:val="both"/>
      </w:pPr>
      <w:r>
        <w:rPr>
          <w:rFonts w:ascii="仿宋_GB2312" w:hAnsi="仿宋_GB2312" w:eastAsia="仿宋_GB2312"/>
          <w:b w:val="0"/>
          <w:color w:val="000000"/>
          <w:sz w:val="32"/>
        </w:rPr>
        <w:t>公司已采取的应对措施包括：一是产品结构升级，大力发展聚醚胺（2025年收入2.75亿元）与聚酰胺树脂，向高附加值、高技术壁垒品类转型，摆脱通用聚醚的价格战泥潭；二是持续技改降本，推进POP技改项目与端氨基聚醚技改项目，提升装置效率与产品品质；三是坚持款到发货的销售政策，牢牢守住现金流安全底线；四是保持稳健的财务结构（资产负债率30%左右），预留举债空间；五是深化数字化、智能化、自动化改造，建设智慧工厂，降低单位能耗与用工成本；六是拓展海外市场，产品出口六十多个国家和地区，分散单一市场风险；七是通过资本市场融资渠道支持项目建设，降低对银行债务的依赖。</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120" w:after="120"/>
        <w:ind w:firstLine="420"/>
        <w:jc w:val="left"/>
      </w:pPr>
      <w:r>
        <w:rPr>
          <w:rFonts w:ascii="楷体_GB2312" w:hAnsi="楷体_GB2312" w:eastAsia="楷体_GB2312"/>
          <w:b w:val="0"/>
          <w:color w:val="000000"/>
          <w:sz w:val="32"/>
        </w:rPr>
        <w:t>（一）融资需求总体判断</w:t>
      </w:r>
    </w:p>
    <w:p>
      <w:pPr>
        <w:spacing w:lineRule="exact" w:line="600" w:before="0" w:after="0"/>
        <w:ind w:firstLine="420"/>
        <w:jc w:val="both"/>
      </w:pPr>
      <w:r>
        <w:rPr>
          <w:rFonts w:ascii="仿宋_GB2312" w:hAnsi="仿宋_GB2312" w:eastAsia="仿宋_GB2312"/>
          <w:b w:val="0"/>
          <w:color w:val="000000"/>
          <w:sz w:val="32"/>
        </w:rPr>
        <w:t>公司融资需求特征极为清晰：经营性现金流健康（年约2.4亿元净流入）但投资性现金流缺口巨大（年约5亿元净流出），自由现金流连续为负（2022年-2.68亿元、2023年-2.97亿元），扩张期资金需求持续、规模可观。</w:t>
      </w:r>
    </w:p>
    <w:p>
      <w:pPr>
        <w:spacing w:lineRule="exact" w:line="600" w:before="0" w:after="0"/>
        <w:ind w:firstLine="420"/>
        <w:jc w:val="both"/>
      </w:pPr>
      <w:r>
        <w:rPr>
          <w:rFonts w:ascii="仿宋_GB2312" w:hAnsi="仿宋_GB2312" w:eastAsia="仿宋_GB2312"/>
          <w:b w:val="0"/>
          <w:color w:val="000000"/>
          <w:sz w:val="32"/>
        </w:rPr>
        <w:t>在建及规划项目包括8万吨端氨基聚醚项目、16万吨/年尼龙66项目（一期）、POP技改项目、端氨基聚醚技改项目、年产20万吨环保型聚醚系列产品建设项目，资本开支强度将在未来2—3年持续保持高位。</w:t>
      </w:r>
    </w:p>
    <w:p>
      <w:pPr>
        <w:spacing w:lineRule="exact" w:line="600" w:before="0" w:after="0"/>
        <w:ind w:firstLine="420"/>
        <w:jc w:val="both"/>
      </w:pPr>
      <w:r>
        <w:rPr>
          <w:rFonts w:ascii="仿宋_GB2312" w:hAnsi="仿宋_GB2312" w:eastAsia="仿宋_GB2312"/>
          <w:b w:val="0"/>
          <w:color w:val="000000"/>
          <w:sz w:val="32"/>
        </w:rPr>
        <w:t>同时，公司作为上市公司具备定向增发、可转债等直接融资渠道，资产负债率仅30%左右仍有加杠杆空间，属于"优质但已被充分覆盖"的客户，金融机构竞争激烈，山东投资需以差异化产品与服务切入。</w:t>
      </w:r>
    </w:p>
    <w:p>
      <w:pPr>
        <w:spacing w:lineRule="exact" w:line="600" w:before="120" w:after="120"/>
        <w:ind w:firstLine="420"/>
        <w:jc w:val="left"/>
      </w:pPr>
      <w:r>
        <w:rPr>
          <w:rFonts w:ascii="楷体_GB2312" w:hAnsi="楷体_GB2312" w:eastAsia="楷体_GB2312"/>
          <w:b w:val="0"/>
          <w:color w:val="000000"/>
          <w:sz w:val="32"/>
        </w:rPr>
        <w:t>（二）保理业务</w:t>
      </w:r>
    </w:p>
    <w:p>
      <w:pPr>
        <w:spacing w:lineRule="exact" w:line="600" w:before="0" w:after="0"/>
        <w:ind w:firstLine="420"/>
        <w:jc w:val="both"/>
      </w:pPr>
      <w:r>
        <w:rPr>
          <w:rFonts w:ascii="仿宋_GB2312" w:hAnsi="仿宋_GB2312" w:eastAsia="仿宋_GB2312"/>
          <w:b w:val="0"/>
          <w:color w:val="000000"/>
          <w:sz w:val="32"/>
        </w:rPr>
        <w:t>客观而言，保理业务与该公司的适配度相对有限，原因在于公司实行款到发货政策，2023年末应收账款仅5812万元、周转率高达107.78次，应收资产池规模很小，缺乏可保理的基础资产。</w:t>
      </w:r>
    </w:p>
    <w:p>
      <w:pPr>
        <w:spacing w:lineRule="exact" w:line="600" w:before="0" w:after="0"/>
        <w:ind w:firstLine="420"/>
        <w:jc w:val="both"/>
      </w:pPr>
      <w:r>
        <w:rPr>
          <w:rFonts w:ascii="仿宋_GB2312" w:hAnsi="仿宋_GB2312" w:eastAsia="仿宋_GB2312"/>
          <w:b w:val="0"/>
          <w:color w:val="000000"/>
          <w:sz w:val="32"/>
        </w:rPr>
        <w:t>可行的切入方向有二：一是应收票据保理，2023年末公司应收票据1.60亿元、应收款项融资0.42亿元，合计约2亿元票据资产，可提供票据贴现、票据池质押融资等服务，帮助公司提前变现票据、优化流动性；二是出口保理，公司境外收入8.13亿元、客户遍及六十多个国家，出口业务通常给予海外客户一定账期，可联合中国出口信用保险公司开展出口保理，覆盖海外买方信用风险与汇率风险，这一方向的业务空间明显大于国内保理。</w:t>
      </w:r>
    </w:p>
    <w:p>
      <w:pPr>
        <w:spacing w:lineRule="exact" w:line="600" w:before="120" w:after="120"/>
        <w:ind w:firstLine="420"/>
        <w:jc w:val="left"/>
      </w:pPr>
      <w:r>
        <w:rPr>
          <w:rFonts w:ascii="楷体_GB2312" w:hAnsi="楷体_GB2312" w:eastAsia="楷体_GB2312"/>
          <w:b w:val="0"/>
          <w:color w:val="000000"/>
          <w:sz w:val="32"/>
        </w:rPr>
        <w:t>（三）供应链金融（重点推荐）</w:t>
      </w:r>
    </w:p>
    <w:p>
      <w:pPr>
        <w:spacing w:lineRule="exact" w:line="600" w:before="0" w:after="0"/>
        <w:ind w:firstLine="420"/>
        <w:jc w:val="both"/>
      </w:pPr>
      <w:r>
        <w:rPr>
          <w:rFonts w:ascii="仿宋_GB2312" w:hAnsi="仿宋_GB2312" w:eastAsia="仿宋_GB2312"/>
          <w:b w:val="0"/>
          <w:color w:val="000000"/>
          <w:sz w:val="32"/>
        </w:rPr>
        <w:t>供应链金融是与该公司协同价值最高的方向之一，理由在于其独特的产业链地位：上游供应商高度集中（前五名占采购额56.77%）、下游客户高度分散（前五名仅占销售额14.42%）。</w:t>
      </w:r>
    </w:p>
    <w:p>
      <w:pPr>
        <w:spacing w:lineRule="exact" w:line="600" w:before="0" w:after="0"/>
        <w:ind w:firstLine="420"/>
        <w:jc w:val="both"/>
      </w:pPr>
      <w:r>
        <w:rPr>
          <w:rFonts w:ascii="仿宋_GB2312" w:hAnsi="仿宋_GB2312" w:eastAsia="仿宋_GB2312"/>
          <w:b w:val="0"/>
          <w:color w:val="000000"/>
          <w:sz w:val="32"/>
        </w:rPr>
        <w:t>向上游方向：公司年采购额约45亿元（以2023年采购总额推算），应付账款2023年末1.32亿元并增长60.81%（主要为设备款及工程款）。可为公司提供采购端融资，如订单融资、预付款融资，帮助其在原料价格低位时集中采购锁定成本；同时，公司作为大型采购方，可与其核心供应商合作开展应付账款确权融资。</w:t>
      </w:r>
    </w:p>
    <w:p>
      <w:pPr>
        <w:spacing w:lineRule="exact" w:line="600" w:before="0" w:after="0"/>
        <w:ind w:firstLine="420"/>
        <w:jc w:val="both"/>
      </w:pPr>
      <w:r>
        <w:rPr>
          <w:rFonts w:ascii="仿宋_GB2312" w:hAnsi="仿宋_GB2312" w:eastAsia="仿宋_GB2312"/>
          <w:b w:val="0"/>
          <w:color w:val="000000"/>
          <w:sz w:val="32"/>
        </w:rPr>
        <w:t>向下游方向：公司下游有数以千计的中小型聚氨酯制品加工企业，这些企业规模小、融资难，且需向隆华新材预付货款，资金压力大。建议以隆华新材为核心企业，为其下游经销商与终端客户提供"采购贷"类产品——由山东投资向下游客户提供短期融资用于向隆华新材付款，隆华新材提供交易背景确认与部分风险分担。这一模式的价值在于：既帮助公司下游客户解决资金难题、从而扩大公司销量，又基于真实交易背景控制风险，是典型的"N＋1＋N"链式金融，市场空间大、协同效应强。</w:t>
      </w:r>
    </w:p>
    <w:p>
      <w:pPr>
        <w:spacing w:lineRule="exact" w:line="600" w:before="120" w:after="120"/>
        <w:ind w:firstLine="420"/>
        <w:jc w:val="left"/>
      </w:pPr>
      <w:r>
        <w:rPr>
          <w:rFonts w:ascii="楷体_GB2312" w:hAnsi="楷体_GB2312" w:eastAsia="楷体_GB2312"/>
          <w:b w:val="0"/>
          <w:color w:val="000000"/>
          <w:sz w:val="32"/>
        </w:rPr>
        <w:t>（四）融资租赁（重点推荐）</w:t>
      </w:r>
    </w:p>
    <w:p>
      <w:pPr>
        <w:spacing w:lineRule="exact" w:line="600" w:before="0" w:after="0"/>
        <w:ind w:firstLine="420"/>
        <w:jc w:val="both"/>
      </w:pPr>
      <w:r>
        <w:rPr>
          <w:rFonts w:ascii="仿宋_GB2312" w:hAnsi="仿宋_GB2312" w:eastAsia="仿宋_GB2312"/>
          <w:b w:val="0"/>
          <w:color w:val="000000"/>
          <w:sz w:val="32"/>
        </w:rPr>
        <w:t>融资租赁是最契合公司当前需求的产品，理由有三：</w:t>
      </w:r>
    </w:p>
    <w:p>
      <w:pPr>
        <w:spacing w:lineRule="exact" w:line="600" w:before="0" w:after="0"/>
        <w:ind w:firstLine="420"/>
        <w:jc w:val="both"/>
      </w:pPr>
      <w:r>
        <w:rPr>
          <w:rFonts w:ascii="仿宋_GB2312" w:hAnsi="仿宋_GB2312" w:eastAsia="仿宋_GB2312"/>
          <w:b w:val="0"/>
          <w:color w:val="000000"/>
          <w:sz w:val="32"/>
        </w:rPr>
        <w:t>第一，需求匹配度高。公司正处于大规模产能建设期，8万吨端氨基聚醚、16万吨尼龙66、20万吨环保型聚醚等项目均需巨额设备投资。化工装置设备（反应釜、精馏塔、压缩机、DCS控制系统等）单值高、总额大，通过直接租赁方式可将一次性资本开支转化为分期租金，直接缓解自由现金流为负的压力。</w:t>
      </w:r>
    </w:p>
    <w:p>
      <w:pPr>
        <w:spacing w:lineRule="exact" w:line="600" w:before="0" w:after="0"/>
        <w:ind w:firstLine="420"/>
        <w:jc w:val="both"/>
      </w:pPr>
      <w:r>
        <w:rPr>
          <w:rFonts w:ascii="仿宋_GB2312" w:hAnsi="仿宋_GB2312" w:eastAsia="仿宋_GB2312"/>
          <w:b w:val="0"/>
          <w:color w:val="000000"/>
          <w:sz w:val="32"/>
        </w:rPr>
        <w:t>第二，存量设备回租空间大。2023年末公司固定资产账面价值3.99亿元，且2024—2025年大量在建工程转固，固定资产规模已显著增长。可通过售后回租盘活存量化工装置，一次性获得较大规模资金支持新项目建设。</w:t>
      </w:r>
    </w:p>
    <w:p>
      <w:pPr>
        <w:spacing w:lineRule="exact" w:line="600" w:before="0" w:after="0"/>
        <w:ind w:firstLine="420"/>
        <w:jc w:val="both"/>
      </w:pPr>
      <w:r>
        <w:rPr>
          <w:rFonts w:ascii="仿宋_GB2312" w:hAnsi="仿宋_GB2312" w:eastAsia="仿宋_GB2312"/>
          <w:b w:val="0"/>
          <w:color w:val="000000"/>
          <w:sz w:val="32"/>
        </w:rPr>
        <w:t>第三，风险可控。承租人为A股上市公司，信息透明、审计规范、资产负债率仅30%、经营现金流稳定为正，信用资质在集群内属最优；租赁物为化工生产装置，虽专用性较强、二手处置有一定难度，但可通过与上市公司主体信用相结合的方式控制风险。</w:t>
      </w:r>
    </w:p>
    <w:p>
      <w:pPr>
        <w:spacing w:lineRule="exact" w:line="600" w:before="0" w:after="0"/>
        <w:ind w:firstLine="420"/>
        <w:jc w:val="both"/>
      </w:pPr>
      <w:r>
        <w:rPr>
          <w:rFonts w:ascii="仿宋_GB2312" w:hAnsi="仿宋_GB2312" w:eastAsia="仿宋_GB2312"/>
          <w:b w:val="0"/>
          <w:color w:val="000000"/>
          <w:sz w:val="32"/>
        </w:rPr>
        <w:t>建议方案：以"新增项目设备直租为主、存量设备售后回租为辅"的组合，租期5—8年（匹配化工装置折旧年限），争取成为公司新一轮产能建设的主要设备融资服务商。</w:t>
      </w:r>
    </w:p>
    <w:p>
      <w:pPr>
        <w:spacing w:lineRule="exact" w:line="600" w:before="120" w:after="120"/>
        <w:ind w:firstLine="420"/>
        <w:jc w:val="left"/>
      </w:pPr>
      <w:r>
        <w:rPr>
          <w:rFonts w:ascii="楷体_GB2312" w:hAnsi="楷体_GB2312" w:eastAsia="楷体_GB2312"/>
          <w:b w:val="0"/>
          <w:color w:val="000000"/>
          <w:sz w:val="32"/>
        </w:rPr>
        <w:t>（五）小额贷款</w:t>
      </w:r>
    </w:p>
    <w:p>
      <w:pPr>
        <w:spacing w:lineRule="exact" w:line="600" w:before="0" w:after="0"/>
        <w:ind w:firstLine="420"/>
        <w:jc w:val="both"/>
      </w:pPr>
      <w:r>
        <w:rPr>
          <w:rFonts w:ascii="仿宋_GB2312" w:hAnsi="仿宋_GB2312" w:eastAsia="仿宋_GB2312"/>
          <w:b w:val="0"/>
          <w:color w:val="000000"/>
          <w:sz w:val="32"/>
        </w:rPr>
        <w:t>小额贷款额度对上市公司本体而言过小，不具适配性。适用方向为公司产业链上的中小主体：一是下游中小型聚氨酯制品加工企业的采购备货融资，单户50万—500万元，以对隆华新材的采购合同为交易背景；二是上游中小配套服务商（物流、包装、检修）的周转融资。此类业务应依托与隆华新材的供应链金融合作统一开展，形成规模效应。</w:t>
      </w:r>
    </w:p>
    <w:p>
      <w:pPr>
        <w:spacing w:lineRule="exact" w:line="600" w:before="120" w:after="120"/>
        <w:ind w:firstLine="420"/>
        <w:jc w:val="left"/>
      </w:pPr>
      <w:r>
        <w:rPr>
          <w:rFonts w:ascii="楷体_GB2312" w:hAnsi="楷体_GB2312" w:eastAsia="楷体_GB2312"/>
          <w:b w:val="0"/>
          <w:color w:val="000000"/>
          <w:sz w:val="32"/>
        </w:rPr>
        <w:t>（六）综合建议与风控要点</w:t>
      </w:r>
    </w:p>
    <w:p>
      <w:pPr>
        <w:spacing w:lineRule="exact" w:line="600" w:before="0" w:after="0"/>
        <w:ind w:firstLine="420"/>
        <w:jc w:val="both"/>
      </w:pPr>
      <w:r>
        <w:rPr>
          <w:rFonts w:ascii="仿宋_GB2312" w:hAnsi="仿宋_GB2312" w:eastAsia="仿宋_GB2312"/>
          <w:b w:val="0"/>
          <w:color w:val="000000"/>
          <w:sz w:val="32"/>
        </w:rPr>
        <w:t>业务切入优先级：第一，融资租赁（新增设备直租＋存量回租），规模大、需求真实、可长期绑定；第二，供应链金融（下游客户采购融资为主），协同效应最强、市场空间最大；第三，票据与出口保理，作为补充产品增强客户粘性；第四，小额贷款仅面向其产业链中小主体。</w:t>
      </w:r>
    </w:p>
    <w:p>
      <w:pPr>
        <w:spacing w:lineRule="exact" w:line="600" w:before="0" w:after="0"/>
        <w:ind w:firstLine="420"/>
        <w:jc w:val="both"/>
      </w:pPr>
      <w:r>
        <w:rPr>
          <w:rFonts w:ascii="仿宋_GB2312" w:hAnsi="仿宋_GB2312" w:eastAsia="仿宋_GB2312"/>
          <w:b w:val="0"/>
          <w:color w:val="000000"/>
          <w:sz w:val="32"/>
        </w:rPr>
        <w:t>差异化策略建议：鉴于上市公司融资渠道多元、银行授信充裕，山东投资应避免与银行在标准化流贷上正面竞争，而应发挥"产业＋金融"的综合服务优势，重点提供银行难以覆盖的服务——一是下游中小客户的批量化链式融资（银行难以逐户授信）；二是设备租赁的灵活期限结构（匹配项目建设与产能爬坡节奏）；三是出口买方信用支持。</w:t>
      </w:r>
    </w:p>
    <w:p>
      <w:pPr>
        <w:spacing w:lineRule="exact" w:line="600" w:before="0" w:after="0"/>
        <w:ind w:firstLine="420"/>
        <w:jc w:val="both"/>
      </w:pPr>
      <w:r>
        <w:rPr>
          <w:rFonts w:ascii="仿宋_GB2312" w:hAnsi="仿宋_GB2312" w:eastAsia="仿宋_GB2312"/>
          <w:b w:val="0"/>
          <w:color w:val="000000"/>
          <w:sz w:val="32"/>
        </w:rPr>
        <w:t>风控要点：一是持续跟踪毛利率变化，公司毛利率已降至4.27%，安全边际薄，需将毛利率与原料价格作为核心监控指标；二是核查46起司法案件的具体案由与影响；三是关注在建项目的投产进度与产能利用率，警惕产能过剩背景下的项目效益不及预期；四是监控资产负债率上升趋势与有息负债规模；五是关注股东杲鑫股份冻结事项的后续处置；六是对下游客户融资应严格核验交易真实性，防范虚构贸易背景。</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120" w:after="120"/>
        <w:ind w:firstLine="420"/>
        <w:jc w:val="left"/>
      </w:pPr>
      <w:r>
        <w:rPr>
          <w:rFonts w:ascii="楷体_GB2312" w:hAnsi="楷体_GB2312" w:eastAsia="楷体_GB2312"/>
          <w:b w:val="0"/>
          <w:color w:val="000000"/>
          <w:sz w:val="32"/>
        </w:rPr>
        <w:t>（一）综合评价</w:t>
      </w:r>
    </w:p>
    <w:p>
      <w:pPr>
        <w:spacing w:lineRule="exact" w:line="600" w:before="0" w:after="0"/>
        <w:ind w:firstLine="420"/>
        <w:jc w:val="both"/>
      </w:pPr>
      <w:r>
        <w:rPr>
          <w:rFonts w:ascii="仿宋_GB2312" w:hAnsi="仿宋_GB2312" w:eastAsia="仿宋_GB2312"/>
          <w:b w:val="0"/>
          <w:color w:val="000000"/>
          <w:sz w:val="32"/>
        </w:rPr>
        <w:t>山东隆华新材料股份有限公司（集群名录记载为山东隆华高分子材料股份有限公司）是高青县新材料特色产业集群的绝对龙头与链主企业，也是高青县首家A股上市企业。公司深耕聚醚多元醇领域十五年，已建成129万吨/年的聚醚产能规模，位居国内行业前列，POP产能居国内首位，2025年营业收入达63.20亿元，是集群内唯一的百亿级规模潜力企业。</w:t>
      </w:r>
    </w:p>
    <w:p>
      <w:pPr>
        <w:spacing w:lineRule="exact" w:line="600" w:before="0" w:after="0"/>
        <w:ind w:firstLine="420"/>
        <w:jc w:val="both"/>
      </w:pPr>
      <w:r>
        <w:rPr>
          <w:rFonts w:ascii="仿宋_GB2312" w:hAnsi="仿宋_GB2312" w:eastAsia="仿宋_GB2312"/>
          <w:b w:val="0"/>
          <w:color w:val="000000"/>
          <w:sz w:val="32"/>
        </w:rPr>
        <w:t>公司的核心优势可概括为"三高一低"：高产能规模（聚醚百万吨级、POP国内第一）、高运营效率（总资产周转率2.21次为行业平均3.3倍）、高回款质量（款到发货、应收账款周转率107.78次、经营现金流持续为正）、低财务杠杆（资产负债率30.30%）。这四项特征共同构成了一家财务健康、经营扎实的规模化制造企业形象。</w:t>
      </w:r>
    </w:p>
    <w:p>
      <w:pPr>
        <w:spacing w:lineRule="exact" w:line="600" w:before="0" w:after="0"/>
        <w:ind w:firstLine="420"/>
        <w:jc w:val="both"/>
      </w:pPr>
      <w:r>
        <w:rPr>
          <w:rFonts w:ascii="仿宋_GB2312" w:hAnsi="仿宋_GB2312" w:eastAsia="仿宋_GB2312"/>
          <w:b w:val="0"/>
          <w:color w:val="000000"/>
          <w:sz w:val="32"/>
        </w:rPr>
        <w:t>公司面临的核心矛盾是"规模扩张与盈利下滑的背离"：2022—2025年收入由31.68亿元增至63.20亿元、接近翻倍，而归母净利润却由2023年峰值2.48亿元回落至1.43亿元。根源在于聚醚行业产能过剩导致的价差收窄，叠加大规模在建工程转固带来的折旧前置。这是一个典型的"重资产扩张期阵痛"，能否走出，取决于新产能（聚醚胺、尼龙66）的差异化贡献与行业景气度的修复。</w:t>
      </w:r>
    </w:p>
    <w:p>
      <w:pPr>
        <w:spacing w:lineRule="exact" w:line="600" w:before="0" w:after="0"/>
        <w:ind w:firstLine="420"/>
        <w:jc w:val="both"/>
      </w:pPr>
      <w:r>
        <w:rPr>
          <w:rFonts w:ascii="仿宋_GB2312" w:hAnsi="仿宋_GB2312" w:eastAsia="仿宋_GB2312"/>
          <w:b w:val="0"/>
          <w:color w:val="000000"/>
          <w:sz w:val="32"/>
        </w:rPr>
        <w:t>积极信号是：2026年一季度收入同比增长31.77%，各主要产品毛利率较2025年全年均有回升（POP 6.22%、通用软泡2.98%、CASE 4.69%），盈利拐点或已临近；聚醚胺业务2025年已实现2.75亿元收入并跻身国内重要供应商行列，产品结构升级初见成效。</w:t>
      </w:r>
    </w:p>
    <w:p>
      <w:pPr>
        <w:spacing w:lineRule="exact" w:line="600" w:before="120" w:after="120"/>
        <w:ind w:firstLine="420"/>
        <w:jc w:val="left"/>
      </w:pPr>
      <w:r>
        <w:rPr>
          <w:rFonts w:ascii="楷体_GB2312" w:hAnsi="楷体_GB2312" w:eastAsia="楷体_GB2312"/>
          <w:b w:val="0"/>
          <w:color w:val="000000"/>
          <w:sz w:val="32"/>
        </w:rPr>
        <w:t>（二）发展展望</w:t>
      </w:r>
    </w:p>
    <w:p>
      <w:pPr>
        <w:spacing w:lineRule="exact" w:line="600" w:before="0" w:after="0"/>
        <w:ind w:firstLine="420"/>
        <w:jc w:val="both"/>
      </w:pPr>
      <w:r>
        <w:rPr>
          <w:rFonts w:ascii="仿宋_GB2312" w:hAnsi="仿宋_GB2312" w:eastAsia="仿宋_GB2312"/>
          <w:b w:val="0"/>
          <w:color w:val="000000"/>
          <w:sz w:val="32"/>
        </w:rPr>
        <w:t>据公司规划与行业趋势，未来发展呈现三条清晰主线：</w:t>
      </w:r>
    </w:p>
    <w:p>
      <w:pPr>
        <w:spacing w:lineRule="exact" w:line="600" w:before="0" w:after="0"/>
        <w:ind w:firstLine="420"/>
        <w:jc w:val="both"/>
      </w:pPr>
      <w:r>
        <w:rPr>
          <w:rFonts w:ascii="仿宋_GB2312" w:hAnsi="仿宋_GB2312" w:eastAsia="仿宋_GB2312"/>
          <w:b w:val="0"/>
          <w:color w:val="000000"/>
          <w:sz w:val="32"/>
        </w:rPr>
        <w:t>第一条，聚醚主业的"稳规模、提结构"。通过POP技改项目提升高毛利产品比重，通过年产20万吨环保型聚醚项目巩固规模优势，在行业出清过程中凭借成本与效率优势扩大市场份额。</w:t>
      </w:r>
    </w:p>
    <w:p>
      <w:pPr>
        <w:spacing w:lineRule="exact" w:line="600" w:before="0" w:after="0"/>
        <w:ind w:firstLine="420"/>
        <w:jc w:val="both"/>
      </w:pPr>
      <w:r>
        <w:rPr>
          <w:rFonts w:ascii="仿宋_GB2312" w:hAnsi="仿宋_GB2312" w:eastAsia="仿宋_GB2312"/>
          <w:b w:val="0"/>
          <w:color w:val="000000"/>
          <w:sz w:val="32"/>
        </w:rPr>
        <w:t>第二条，聚醚胺的国产替代放量。聚醚胺是环氧固化剂核心原料，广泛用于风电叶片与复合材料，长期被国际巨头垄断。公司8万吨端氨基聚醚项目投产后，产能将居国内前列，2025年2.75亿元的收入基数有望快速放大，这是毛利率修复最重要的抓手。</w:t>
      </w:r>
    </w:p>
    <w:p>
      <w:pPr>
        <w:spacing w:lineRule="exact" w:line="600" w:before="0" w:after="0"/>
        <w:ind w:firstLine="420"/>
        <w:jc w:val="both"/>
      </w:pPr>
      <w:r>
        <w:rPr>
          <w:rFonts w:ascii="仿宋_GB2312" w:hAnsi="仿宋_GB2312" w:eastAsia="仿宋_GB2312"/>
          <w:b w:val="0"/>
          <w:color w:val="000000"/>
          <w:sz w:val="32"/>
        </w:rPr>
        <w:t>第三条，尼龙66产业链的从零到一。全资子公司隆华高材承载尼龙66业务，一期4万吨已建成试生产、8万吨在建、规划一期总规模16万吨/年，产品涵盖纤维级树脂与工程塑料树脂，并延伸至长碳链尼龙（生物基）、透明尼龙、高温尼龙等特种品类。随着国内己二腈国产化突破，尼龙66产业链迎来发展窗口，若公司能成功打开市场，将形成与聚醚并驾齐驱的第二主业。</w:t>
      </w:r>
    </w:p>
    <w:p>
      <w:pPr>
        <w:spacing w:lineRule="exact" w:line="600" w:before="0" w:after="0"/>
        <w:ind w:firstLine="420"/>
        <w:jc w:val="both"/>
      </w:pPr>
      <w:r>
        <w:rPr>
          <w:rFonts w:ascii="仿宋_GB2312" w:hAnsi="仿宋_GB2312" w:eastAsia="仿宋_GB2312"/>
          <w:b w:val="0"/>
          <w:color w:val="000000"/>
          <w:sz w:val="32"/>
        </w:rPr>
        <w:t>据中邮证券2026年5月研究报告预测，公司2026—2028年归母净利润有望达到4.84亿元、5.41亿元、6.41亿元，对应市盈率12/11/9倍，给予"买入"评级。上述为机构预测，实际实现情况需以公司定期报告为准。</w:t>
      </w:r>
    </w:p>
    <w:p>
      <w:pPr>
        <w:spacing w:lineRule="exact" w:line="600" w:before="120" w:after="120"/>
        <w:ind w:firstLine="420"/>
        <w:jc w:val="left"/>
      </w:pPr>
      <w:r>
        <w:rPr>
          <w:rFonts w:ascii="楷体_GB2312" w:hAnsi="楷体_GB2312" w:eastAsia="楷体_GB2312"/>
          <w:b w:val="0"/>
          <w:color w:val="000000"/>
          <w:sz w:val="32"/>
        </w:rPr>
        <w:t>（三）主要挑战</w:t>
      </w:r>
    </w:p>
    <w:p>
      <w:pPr>
        <w:spacing w:lineRule="exact" w:line="600" w:before="0" w:after="0"/>
        <w:ind w:firstLine="420"/>
        <w:jc w:val="both"/>
      </w:pPr>
      <w:r>
        <w:rPr>
          <w:rFonts w:ascii="仿宋_GB2312" w:hAnsi="仿宋_GB2312" w:eastAsia="仿宋_GB2312"/>
          <w:b w:val="0"/>
          <w:color w:val="000000"/>
          <w:sz w:val="32"/>
        </w:rPr>
        <w:t>一是聚醚行业产能过剩的持续时间与出清力度存在不确定性，价格战可能长期化；二是折旧压力在未来2—3年将持续存在，新产能收益释放需要时间；三是尼龙66作为全新领域，市场开拓与客户认证难度大，2025年仅1406万元收入显示导入缓慢；四是缺乏上游环氧丙烷一体化配套，成本控制受制于人，与万华化学等一体化巨头的差距难以短期弥补；五是自由现金流持续为负，扩张对外部融资依赖度高；六是4%左右的毛利率安全边际过薄，抗原料涨价冲击能力弱。</w:t>
      </w:r>
    </w:p>
    <w:p>
      <w:pPr>
        <w:spacing w:lineRule="exact" w:line="600" w:before="120" w:after="120"/>
        <w:ind w:firstLine="420"/>
        <w:jc w:val="left"/>
      </w:pPr>
      <w:r>
        <w:rPr>
          <w:rFonts w:ascii="楷体_GB2312" w:hAnsi="楷体_GB2312" w:eastAsia="楷体_GB2312"/>
          <w:b w:val="0"/>
          <w:color w:val="000000"/>
          <w:sz w:val="32"/>
        </w:rPr>
        <w:t>（四）结论与建议</w:t>
      </w:r>
    </w:p>
    <w:p>
      <w:pPr>
        <w:spacing w:lineRule="exact" w:line="600" w:before="0" w:after="0"/>
        <w:ind w:firstLine="420"/>
        <w:jc w:val="both"/>
      </w:pPr>
      <w:r>
        <w:rPr>
          <w:rFonts w:ascii="仿宋_GB2312" w:hAnsi="仿宋_GB2312" w:eastAsia="仿宋_GB2312"/>
          <w:b w:val="0"/>
          <w:color w:val="000000"/>
          <w:sz w:val="32"/>
        </w:rPr>
        <w:t>结论：公司是集群内乃至山东省县域新材料领域的标杆企业，具备规模、效率、回款、财务四方面的扎实基础，属于优质的大型制造业客户，信用风险低。当前处于"扩张期阵痛"阶段，盈利承压但经营质态健康，融资需求真实且规模可观，是山东投资应当重点争取的战略客户。</w:t>
      </w:r>
    </w:p>
    <w:p>
      <w:pPr>
        <w:spacing w:lineRule="exact" w:line="600" w:before="0" w:after="0"/>
        <w:ind w:firstLine="420"/>
        <w:jc w:val="both"/>
      </w:pPr>
      <w:r>
        <w:rPr>
          <w:rFonts w:ascii="仿宋_GB2312" w:hAnsi="仿宋_GB2312" w:eastAsia="仿宋_GB2312"/>
          <w:b w:val="0"/>
          <w:color w:val="000000"/>
          <w:sz w:val="32"/>
        </w:rPr>
        <w:t>对企业的建议：一是坚定推进产品结构升级，将资源向聚醚胺、CASE聚醚、特种尼龙等高毛利品类倾斜，减少对通用软泡聚醚（毛利率仅2.33%）的资源投入；二是审慎控制资本开支节奏，在行业过剩背景下，20万吨新增聚醚产能项目应充分论证市场消化能力，避免加剧供给过剩；三是加快尼龙66的市场开拓与客户认证，可考虑与下游龙头纺丝或改性塑料企业建立战略合作以快速导入；四是研究向上游延伸的可行性，或与环氧丙烷生产商建立长期战略合作以锁定原料成本；五是清理化解存量诉讼，优化合规形象；六是充分利用上市公司平台，通过定向增发、可转债等直接融资方式补充项目资本金，改善资本结构，降低对债务融资的依赖。</w:t>
      </w:r>
    </w:p>
    <w:p>
      <w:pPr>
        <w:spacing w:lineRule="exact" w:line="600" w:before="0" w:after="0"/>
        <w:ind w:firstLine="420"/>
        <w:jc w:val="both"/>
      </w:pPr>
      <w:r>
        <w:rPr>
          <w:rFonts w:ascii="仿宋_GB2312" w:hAnsi="仿宋_GB2312" w:eastAsia="仿宋_GB2312"/>
          <w:b w:val="0"/>
          <w:color w:val="000000"/>
          <w:sz w:val="32"/>
        </w:rPr>
        <w:t>对山东投资的建议：将该企业列为集群内的首要战略客户与旗舰级合作对象。近期以融资租赁介入新一轮产能建设的设备融资，争取成为其主要设备融资服务商；中期重点开发以隆华新材为核心的下游中小客户链式金融业务，这是银行难以覆盖、协同价值最高的差异化蓝海；同时以票据与出口保理增强客户粘性。在合作定位上，应超越单纯的资金提供者角色，发挥山东省属投资平台的产业资源优势，协助其对接省内风电、汽车、家居等下游龙头客户，以及在尼龙66原料保障、下游拓展方面提供产业撮合，构建长期战略伙伴关系。</w:t>
      </w:r>
    </w:p>
    <w:p>
      <w:pPr>
        <w:spacing w:lineRule="exact" w:line="600" w:before="120" w:after="120"/>
        <w:ind w:firstLine="420"/>
        <w:jc w:val="left"/>
      </w:pPr>
      <w:r>
        <w:rPr>
          <w:rFonts w:ascii="黑体" w:hAnsi="黑体" w:eastAsia="黑体"/>
          <w:b w:val="0"/>
          <w:color w:val="000000"/>
          <w:sz w:val="32"/>
        </w:rPr>
        <w:t>数据来源说明</w:t>
      </w:r>
    </w:p>
    <w:p>
      <w:pPr>
        <w:spacing w:lineRule="exact" w:line="600" w:before="0" w:after="0"/>
        <w:ind w:firstLine="420"/>
        <w:jc w:val="both"/>
      </w:pPr>
      <w:r>
        <w:rPr>
          <w:rFonts w:ascii="仿宋_GB2312" w:hAnsi="仿宋_GB2312" w:eastAsia="仿宋_GB2312"/>
          <w:b w:val="0"/>
          <w:color w:val="000000"/>
          <w:sz w:val="32"/>
        </w:rPr>
        <w:t>本报告财务数据（2022—2025年营业收入、归母净利润、扣非净利润、每股收益、毛利率、净利率、资产负债率、经营活动现金流量净额、净资产收益率、资产负债结构、现金流量结构、运营能力指标）来源于公司在巨潮资讯网披露的2023年年度报告及《2023年度财务决算报告》（容诚会计师事务所审计，标准无保留意见）、2025年年度报告及年度报告摘要，以及公开财务数据库整理的A股财务指标。</w:t>
      </w:r>
    </w:p>
    <w:p>
      <w:pPr>
        <w:spacing w:lineRule="exact" w:line="600" w:before="0" w:after="0"/>
        <w:ind w:firstLine="420"/>
        <w:jc w:val="both"/>
      </w:pPr>
      <w:r>
        <w:rPr>
          <w:rFonts w:ascii="仿宋_GB2312" w:hAnsi="仿宋_GB2312" w:eastAsia="仿宋_GB2312"/>
          <w:b w:val="0"/>
          <w:color w:val="000000"/>
          <w:sz w:val="32"/>
        </w:rPr>
        <w:t>股东结构、控股股东与实际控制人一致行动关系、前十名股东持股与限售冻结情况、股东总数等信息，来源于公司2025年年度报告摘要（巨潮资讯网，2026年4月29日披露）。</w:t>
      </w:r>
    </w:p>
    <w:p>
      <w:pPr>
        <w:spacing w:lineRule="exact" w:line="600" w:before="0" w:after="0"/>
        <w:ind w:firstLine="420"/>
        <w:jc w:val="both"/>
      </w:pPr>
      <w:r>
        <w:rPr>
          <w:rFonts w:ascii="仿宋_GB2312" w:hAnsi="仿宋_GB2312" w:eastAsia="仿宋_GB2312"/>
          <w:b w:val="0"/>
          <w:color w:val="000000"/>
          <w:sz w:val="32"/>
        </w:rPr>
        <w:t>产品结构、产能规模、销量、分产品收入与毛利率、聚醚胺与聚酰胺业务进展、2026年一季度经营情况等信息，来源于公司2026年4月29日《投资者关系活动记录表》（编号IR2026-001，新浪财经披露）及中邮证券2026年5月12日发布的首次覆盖研究报告。</w:t>
      </w:r>
    </w:p>
    <w:p>
      <w:pPr>
        <w:spacing w:lineRule="exact" w:line="600" w:before="0" w:after="0"/>
        <w:ind w:firstLine="420"/>
        <w:jc w:val="both"/>
      </w:pPr>
      <w:r>
        <w:rPr>
          <w:rFonts w:ascii="仿宋_GB2312" w:hAnsi="仿宋_GB2312" w:eastAsia="仿宋_GB2312"/>
          <w:b w:val="0"/>
          <w:color w:val="000000"/>
          <w:sz w:val="32"/>
        </w:rPr>
        <w:t>工商登记信息（成立时间、统一社会信用代码、曾用名、注册资本、注册地址、经营范围、企业类型、登记机关、分支机构、子公司、员工与社保人数、资质荣誉、司法涉诉数量）来源于国家企业信用信息公示系统及天眼查、企查查、启信宝公开快照。</w:t>
      </w:r>
    </w:p>
    <w:p>
      <w:pPr>
        <w:spacing w:lineRule="exact" w:line="600" w:before="0" w:after="0"/>
        <w:ind w:firstLine="420"/>
        <w:jc w:val="both"/>
      </w:pPr>
      <w:r>
        <w:rPr>
          <w:rFonts w:ascii="仿宋_GB2312" w:hAnsi="仿宋_GB2312" w:eastAsia="仿宋_GB2312"/>
          <w:b w:val="0"/>
          <w:color w:val="000000"/>
          <w:sz w:val="32"/>
        </w:rPr>
        <w:t>企业简介、发展理念、产品应用领域、出口国家数量、专利数量、在建与规划项目环评公示信息，来源于公司官方网站（www.longhuapu.com.cn）。上市发行信息（上市日期、发行股数、发行价格、发行市盈率、主承销商）来源于公开证券资料数据库。</w:t>
      </w:r>
    </w:p>
    <w:p>
      <w:pPr>
        <w:spacing w:lineRule="exact" w:line="600" w:before="0" w:after="0"/>
        <w:ind w:firstLine="420"/>
        <w:jc w:val="both"/>
      </w:pPr>
      <w:r>
        <w:rPr>
          <w:rFonts w:ascii="仿宋_GB2312" w:hAnsi="仿宋_GB2312" w:eastAsia="仿宋_GB2312"/>
          <w:b w:val="0"/>
          <w:color w:val="000000"/>
          <w:sz w:val="32"/>
        </w:rPr>
        <w:t>本报告中标注为"机构预测"的2026—2028年盈利预测数据引自中邮证券研究报告，仅供参考，不构成投资建议；标注为"—"的指标系公开渠道未披露，本报告不作推定。以上信息统计时点截至2026年8月公开可查范围。</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