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高青县新材料特色产业集群</w:t>
      </w:r>
    </w:p>
    <w:p>
      <w:pPr>
        <w:spacing w:lineRule="exact" w:line="600" w:before="240" w:after="240"/>
        <w:ind w:firstLine="0"/>
        <w:jc w:val="center"/>
      </w:pPr>
      <w:r>
        <w:rPr>
          <w:rFonts w:ascii="方正小标宋简体" w:hAnsi="方正小标宋简体" w:eastAsia="方正小标宋简体"/>
          <w:b w:val="0"/>
          <w:color w:val="000000"/>
          <w:sz w:val="44"/>
        </w:rPr>
        <w:t>淄博飞源化工有限公司企业分析报告</w:t>
      </w:r>
    </w:p>
    <w:p>
      <w:pPr>
        <w:spacing w:lineRule="exact" w:line="600" w:before="0" w:after="0"/>
        <w:jc w:val="left"/>
      </w:pPr>
      <w:r>
        <w:rPr>
          <w:rFonts w:ascii="仿宋_GB2312" w:hAnsi="仿宋_GB2312" w:eastAsia="仿宋_GB2312"/>
          <w:b w:val="0"/>
          <w:color w:val="000000"/>
          <w:sz w:val="28"/>
        </w:rPr>
        <w:t>（说明：淄博飞源化工有限公司为高青县含氟新材料产业链"链主"企业。经核查国家企业信用信息公示系统、天眼查、企查查及巨化股份（上海证券交易所上市公司，证券代码600160）公开披露信息，2024年1月浙江巨化股份有限公司以13.94亿元取得飞源化工51%股权，飞源化工由此成为浙江省属国有控股企业（实际控制人为浙江省人民政府国有资产监督管理委员会，经由巨化集团有限公司—浙江巨化股份有限公司逐级持有）。本报告文件名与集群名录保持一致，分析对象为飞源化工及其所依托的飞源集团含氟化工产业体系。本报告数据来源于国家企业信用信息公示系统、天眼查/企查查/启信宝公开快照、巨化股份2024年关于收购飞源化工股权的公告、大众日报/新华网等公开报道、飞源集团官网及高青县政府公开信息，统计时点截至2026年8月公开可查范围。）</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淄博飞源化工有限公司成立于2004年11月11日，统一社会信用代码为91370300768718941F，工商注册号370300228073295，企业登记状态为存续，登记机关为淄博市市场监督管理局（高青县属地），企业类型为其他有限责任公司（国有控股）。</w:t>
      </w:r>
    </w:p>
    <w:p>
      <w:pPr>
        <w:spacing w:lineRule="exact" w:line="600" w:before="0" w:after="0"/>
        <w:ind w:firstLine="420"/>
        <w:jc w:val="both"/>
      </w:pPr>
      <w:r>
        <w:rPr>
          <w:rFonts w:ascii="仿宋_GB2312" w:hAnsi="仿宋_GB2312" w:eastAsia="仿宋_GB2312"/>
          <w:b w:val="0"/>
          <w:color w:val="000000"/>
          <w:sz w:val="32"/>
        </w:rPr>
        <w:t>公司法定代表人为余宏滔，注册地址与生产经营地址位于山东省淄博市高青县高青化工产业园高淄路1983号（邮编256300），公司占地1000余亩，设有东、西两个生产厂区，属省级化工园区内的重点化工生产企业。</w:t>
      </w:r>
    </w:p>
    <w:p>
      <w:pPr>
        <w:spacing w:lineRule="exact" w:line="600" w:before="0" w:after="0"/>
        <w:ind w:firstLine="420"/>
        <w:jc w:val="both"/>
      </w:pPr>
      <w:r>
        <w:rPr>
          <w:rFonts w:ascii="仿宋_GB2312" w:hAnsi="仿宋_GB2312" w:eastAsia="仿宋_GB2312"/>
          <w:b w:val="0"/>
          <w:color w:val="000000"/>
          <w:sz w:val="32"/>
        </w:rPr>
        <w:t>公司注册资本为25865.5598万元人民币，实缴资本与注册资本一致，均已到位。公司主营业务为含氟精细化工与基础氟化工产品的研发、生产和销售，主要产品包括无水氟化氢、氟化氢铵、二氟甲烷（R32）、四氟乙烷（R134a）、五氟乙烷（R125）、硫酸、环氧氯丙烷等；并依托旗下山东飞源气体有限公司、山东飞源新材料有限公司等子公司延伸至含氟电子化学品、含氟医药农药中间体等高端含氟精细化工领域。</w:t>
      </w:r>
    </w:p>
    <w:p>
      <w:pPr>
        <w:spacing w:lineRule="exact" w:line="600" w:before="0" w:after="0"/>
        <w:ind w:firstLine="420"/>
        <w:jc w:val="both"/>
      </w:pPr>
      <w:r>
        <w:rPr>
          <w:rFonts w:ascii="仿宋_GB2312" w:hAnsi="仿宋_GB2312" w:eastAsia="仿宋_GB2312"/>
          <w:b w:val="0"/>
          <w:color w:val="000000"/>
          <w:sz w:val="32"/>
        </w:rPr>
        <w:t>公司持有危险化学品生产与经营许可证，系持牌经营的氟化工企业，并取得排污许可证，安全生产与环保合规资质齐备。公司为国家高新技术企业、山东省省级企业技术中心、淄博市工业设计中心、淄博市工程研究中心，连续多年位列"淄博市工业企业50强"，并获评"安全生产先进单位""环境保护工作先进集体""诚信企业""十佳工业企业"等荣誉称号。</w:t>
      </w:r>
    </w:p>
    <w:p>
      <w:pPr>
        <w:spacing w:lineRule="exact" w:line="600" w:before="120" w:after="120"/>
        <w:ind w:firstLine="420"/>
        <w:jc w:val="left"/>
      </w:pPr>
      <w:r>
        <w:rPr>
          <w:rFonts w:ascii="楷体_GB2312" w:hAnsi="楷体_GB2312" w:eastAsia="楷体_GB2312"/>
          <w:b w:val="0"/>
          <w:color w:val="000000"/>
          <w:sz w:val="32"/>
        </w:rPr>
        <w:t>（二）股权结构与实际控制人</w:t>
      </w:r>
    </w:p>
    <w:p>
      <w:pPr>
        <w:spacing w:lineRule="exact" w:line="600" w:before="0" w:after="0"/>
        <w:ind w:firstLine="420"/>
        <w:jc w:val="both"/>
      </w:pPr>
      <w:r>
        <w:rPr>
          <w:rFonts w:ascii="仿宋_GB2312" w:hAnsi="仿宋_GB2312" w:eastAsia="仿宋_GB2312"/>
          <w:b w:val="0"/>
          <w:color w:val="000000"/>
          <w:sz w:val="32"/>
        </w:rPr>
        <w:t>根据公开工商与上市公司披露信息，公司股权结构自2024年1月起发生根本性变化：浙江巨化股份有限公司（上海证券交易所上市公司，证券代码600160，简称"巨化股份"）以13.94亿元现金收购飞源化工51%股权，成为控股股东；原实际控制人、创始人邢汉银及其一致行动人等合计持有剩余约49%股权，其中邢汉银个人持股约27.45%，为第二大股东。</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3175"/>
          </w:tcPr>
          <w:p>
            <w:pPr>
              <w:spacing w:lineRule="exact" w:line="600"/>
              <w:jc w:val="center"/>
            </w:pPr>
            <w:r/>
            <w:r>
              <w:rPr>
                <w:rFonts w:ascii="黑体" w:hAnsi="黑体" w:eastAsia="黑体"/>
                <w:b/>
                <w:color w:val="000000"/>
                <w:sz w:val="32"/>
              </w:rPr>
              <w:t>股东名称</w:t>
            </w:r>
          </w:p>
        </w:tc>
        <w:tc>
          <w:tcPr>
            <w:tcW w:type="dxa" w:w="2268"/>
          </w:tcPr>
          <w:p>
            <w:pPr>
              <w:spacing w:lineRule="exact" w:line="600"/>
              <w:jc w:val="center"/>
            </w:pPr>
            <w:r/>
            <w:r>
              <w:rPr>
                <w:rFonts w:ascii="黑体" w:hAnsi="黑体" w:eastAsia="黑体"/>
                <w:b/>
                <w:color w:val="000000"/>
                <w:sz w:val="32"/>
              </w:rPr>
              <w:t>股东性质</w:t>
            </w:r>
          </w:p>
        </w:tc>
        <w:tc>
          <w:tcPr>
            <w:tcW w:type="dxa" w:w="1474"/>
          </w:tcPr>
          <w:p>
            <w:pPr>
              <w:spacing w:lineRule="exact" w:line="600"/>
              <w:jc w:val="center"/>
            </w:pPr>
            <w:r/>
            <w:r>
              <w:rPr>
                <w:rFonts w:ascii="黑体" w:hAnsi="黑体" w:eastAsia="黑体"/>
                <w:b/>
                <w:color w:val="000000"/>
                <w:sz w:val="32"/>
              </w:rPr>
              <w:t>持股比例</w:t>
            </w:r>
          </w:p>
        </w:tc>
        <w:tc>
          <w:tcPr>
            <w:tcW w:type="dxa" w:w="2381"/>
          </w:tcPr>
          <w:p>
            <w:pPr>
              <w:spacing w:lineRule="exact" w:line="600"/>
              <w:jc w:val="center"/>
            </w:pPr>
            <w:r/>
            <w:r>
              <w:rPr>
                <w:rFonts w:ascii="黑体" w:hAnsi="黑体" w:eastAsia="黑体"/>
                <w:b/>
                <w:color w:val="000000"/>
                <w:sz w:val="32"/>
              </w:rPr>
              <w:t>备注</w:t>
            </w:r>
          </w:p>
        </w:tc>
      </w:tr>
      <w:tr>
        <w:tc>
          <w:tcPr>
            <w:tcW w:type="dxa" w:w="3175"/>
          </w:tcPr>
          <w:p>
            <w:pPr>
              <w:spacing w:lineRule="exact" w:line="600"/>
              <w:jc w:val="center"/>
            </w:pPr>
            <w:r/>
            <w:r>
              <w:rPr>
                <w:rFonts w:ascii="仿宋_GB2312" w:hAnsi="仿宋_GB2312" w:eastAsia="仿宋_GB2312"/>
                <w:b w:val="0"/>
                <w:color w:val="000000"/>
                <w:sz w:val="32"/>
              </w:rPr>
              <w:t>浙江巨化股份有限公司</w:t>
            </w:r>
          </w:p>
        </w:tc>
        <w:tc>
          <w:tcPr>
            <w:tcW w:type="dxa" w:w="2268"/>
          </w:tcPr>
          <w:p>
            <w:pPr>
              <w:spacing w:lineRule="exact" w:line="600"/>
              <w:jc w:val="center"/>
            </w:pPr>
            <w:r/>
            <w:r>
              <w:rPr>
                <w:rFonts w:ascii="仿宋_GB2312" w:hAnsi="仿宋_GB2312" w:eastAsia="仿宋_GB2312"/>
                <w:b w:val="0"/>
                <w:color w:val="000000"/>
                <w:sz w:val="32"/>
              </w:rPr>
              <w:t>国有控股上市公司</w:t>
            </w:r>
          </w:p>
        </w:tc>
        <w:tc>
          <w:tcPr>
            <w:tcW w:type="dxa" w:w="1474"/>
          </w:tcPr>
          <w:p>
            <w:pPr>
              <w:spacing w:lineRule="exact" w:line="600"/>
              <w:jc w:val="center"/>
            </w:pPr>
            <w:r/>
            <w:r>
              <w:rPr>
                <w:rFonts w:ascii="仿宋_GB2312" w:hAnsi="仿宋_GB2312" w:eastAsia="仿宋_GB2312"/>
                <w:b w:val="0"/>
                <w:color w:val="000000"/>
                <w:sz w:val="32"/>
              </w:rPr>
              <w:t>51.00%</w:t>
            </w:r>
          </w:p>
        </w:tc>
        <w:tc>
          <w:tcPr>
            <w:tcW w:type="dxa" w:w="2381"/>
          </w:tcPr>
          <w:p>
            <w:pPr>
              <w:spacing w:lineRule="exact" w:line="600"/>
              <w:jc w:val="center"/>
            </w:pPr>
            <w:r/>
            <w:r>
              <w:rPr>
                <w:rFonts w:ascii="仿宋_GB2312" w:hAnsi="仿宋_GB2312" w:eastAsia="仿宋_GB2312"/>
                <w:b w:val="0"/>
                <w:color w:val="000000"/>
                <w:sz w:val="32"/>
              </w:rPr>
              <w:t>2024年1月以13.94亿元收购取得控股权</w:t>
            </w:r>
          </w:p>
        </w:tc>
      </w:tr>
      <w:tr>
        <w:tc>
          <w:tcPr>
            <w:tcW w:type="dxa" w:w="3175"/>
          </w:tcPr>
          <w:p>
            <w:pPr>
              <w:spacing w:lineRule="exact" w:line="600"/>
              <w:jc w:val="center"/>
            </w:pPr>
            <w:r/>
            <w:r>
              <w:rPr>
                <w:rFonts w:ascii="仿宋_GB2312" w:hAnsi="仿宋_GB2312" w:eastAsia="仿宋_GB2312"/>
                <w:b w:val="0"/>
                <w:color w:val="000000"/>
                <w:sz w:val="32"/>
              </w:rPr>
              <w:t>邢汉银（及一致行动人）</w:t>
            </w:r>
          </w:p>
        </w:tc>
        <w:tc>
          <w:tcPr>
            <w:tcW w:type="dxa" w:w="2268"/>
          </w:tcPr>
          <w:p>
            <w:pPr>
              <w:spacing w:lineRule="exact" w:line="600"/>
              <w:jc w:val="center"/>
            </w:pPr>
            <w:r/>
            <w:r>
              <w:rPr>
                <w:rFonts w:ascii="仿宋_GB2312" w:hAnsi="仿宋_GB2312" w:eastAsia="仿宋_GB2312"/>
                <w:b w:val="0"/>
                <w:color w:val="000000"/>
                <w:sz w:val="32"/>
              </w:rPr>
              <w:t>境内自然人</w:t>
            </w:r>
          </w:p>
        </w:tc>
        <w:tc>
          <w:tcPr>
            <w:tcW w:type="dxa" w:w="1474"/>
          </w:tcPr>
          <w:p>
            <w:pPr>
              <w:spacing w:lineRule="exact" w:line="600"/>
              <w:jc w:val="center"/>
            </w:pPr>
            <w:r/>
            <w:r>
              <w:rPr>
                <w:rFonts w:ascii="仿宋_GB2312" w:hAnsi="仿宋_GB2312" w:eastAsia="仿宋_GB2312"/>
                <w:b w:val="0"/>
                <w:color w:val="000000"/>
                <w:sz w:val="32"/>
              </w:rPr>
              <w:t>约27.45%</w:t>
            </w:r>
          </w:p>
        </w:tc>
        <w:tc>
          <w:tcPr>
            <w:tcW w:type="dxa" w:w="2381"/>
          </w:tcPr>
          <w:p>
            <w:pPr>
              <w:spacing w:lineRule="exact" w:line="600"/>
              <w:jc w:val="center"/>
            </w:pPr>
            <w:r/>
            <w:r>
              <w:rPr>
                <w:rFonts w:ascii="仿宋_GB2312" w:hAnsi="仿宋_GB2312" w:eastAsia="仿宋_GB2312"/>
                <w:b w:val="0"/>
                <w:color w:val="000000"/>
                <w:sz w:val="32"/>
              </w:rPr>
              <w:t>原实际控制人、现任副董事长</w:t>
            </w:r>
          </w:p>
        </w:tc>
      </w:tr>
      <w:tr>
        <w:tc>
          <w:tcPr>
            <w:tcW w:type="dxa" w:w="3175"/>
          </w:tcPr>
          <w:p>
            <w:pPr>
              <w:spacing w:lineRule="exact" w:line="600"/>
              <w:jc w:val="center"/>
            </w:pPr>
            <w:r/>
            <w:r>
              <w:rPr>
                <w:rFonts w:ascii="仿宋_GB2312" w:hAnsi="仿宋_GB2312" w:eastAsia="仿宋_GB2312"/>
                <w:b w:val="0"/>
                <w:color w:val="000000"/>
                <w:sz w:val="32"/>
              </w:rPr>
              <w:t>其他自然人/实体股东</w:t>
            </w:r>
          </w:p>
        </w:tc>
        <w:tc>
          <w:tcPr>
            <w:tcW w:type="dxa" w:w="2268"/>
          </w:tcPr>
          <w:p>
            <w:pPr>
              <w:spacing w:lineRule="exact" w:line="600"/>
              <w:jc w:val="center"/>
            </w:pPr>
            <w:r/>
            <w:r>
              <w:rPr>
                <w:rFonts w:ascii="仿宋_GB2312" w:hAnsi="仿宋_GB2312" w:eastAsia="仿宋_GB2312"/>
                <w:b w:val="0"/>
                <w:color w:val="000000"/>
                <w:sz w:val="32"/>
              </w:rPr>
              <w:t>境内自然人/法人</w:t>
            </w:r>
          </w:p>
        </w:tc>
        <w:tc>
          <w:tcPr>
            <w:tcW w:type="dxa" w:w="1474"/>
          </w:tcPr>
          <w:p>
            <w:pPr>
              <w:spacing w:lineRule="exact" w:line="600"/>
              <w:jc w:val="center"/>
            </w:pPr>
            <w:r/>
            <w:r>
              <w:rPr>
                <w:rFonts w:ascii="仿宋_GB2312" w:hAnsi="仿宋_GB2312" w:eastAsia="仿宋_GB2312"/>
                <w:b w:val="0"/>
                <w:color w:val="000000"/>
                <w:sz w:val="32"/>
              </w:rPr>
              <w:t>约21.55%</w:t>
            </w:r>
          </w:p>
        </w:tc>
        <w:tc>
          <w:tcPr>
            <w:tcW w:type="dxa" w:w="2381"/>
          </w:tcPr>
          <w:p>
            <w:pPr>
              <w:spacing w:lineRule="exact" w:line="600"/>
              <w:jc w:val="center"/>
            </w:pPr>
            <w:r/>
            <w:r>
              <w:rPr>
                <w:rFonts w:ascii="仿宋_GB2312" w:hAnsi="仿宋_GB2312" w:eastAsia="仿宋_GB2312"/>
                <w:b w:val="0"/>
                <w:color w:val="000000"/>
                <w:sz w:val="32"/>
              </w:rPr>
              <w:t>—</w:t>
            </w:r>
          </w:p>
        </w:tc>
      </w:tr>
    </w:tbl>
    <w:p>
      <w:pPr>
        <w:spacing w:lineRule="exact" w:line="600" w:before="0" w:after="0"/>
        <w:ind w:firstLine="420"/>
        <w:jc w:val="both"/>
      </w:pPr>
      <w:r>
        <w:rPr>
          <w:rFonts w:ascii="仿宋_GB2312" w:hAnsi="仿宋_GB2312" w:eastAsia="仿宋_GB2312"/>
          <w:b w:val="0"/>
          <w:color w:val="000000"/>
          <w:sz w:val="32"/>
        </w:rPr>
        <w:t>国资层级方面，巨化股份的直接控股股东为巨化集团有限公司，巨化集团为浙江省人民政府国有资产监督管理委员会全资持有的省属国有企业，故飞源化工的实际控制人为浙江省国资委，公司性质为浙江省属国有控股企业。这一股权变更使飞源化工由一家扎根高青的民营氟化工企业，转变为央企/省属国资体系下、由巨化集团垂直管理的国有控股成员企业。</w:t>
      </w:r>
    </w:p>
    <w:p>
      <w:pPr>
        <w:spacing w:lineRule="exact" w:line="600" w:before="0" w:after="0"/>
        <w:ind w:firstLine="420"/>
        <w:jc w:val="both"/>
      </w:pPr>
      <w:r>
        <w:rPr>
          <w:rFonts w:ascii="仿宋_GB2312" w:hAnsi="仿宋_GB2312" w:eastAsia="仿宋_GB2312"/>
          <w:b w:val="0"/>
          <w:color w:val="000000"/>
          <w:sz w:val="32"/>
        </w:rPr>
        <w:t>控制权安排上，股权合作完成后，巨化股份方面仅委派一名财务总监进驻飞源化工（财务总监匡传云），日常生产经营仍由原团队负责，创始人邢汉银由董事长改任副董事长，体现"国资控股、原团队经营"的平稳过渡与互相赋能思路：国资提供国家级技术中心、市场渠道与融资支撑，民营企业保留灵活机制与产业情怀。</w:t>
      </w:r>
    </w:p>
    <w:p>
      <w:pPr>
        <w:spacing w:lineRule="exact" w:line="600" w:before="120" w:after="120"/>
        <w:ind w:firstLine="420"/>
        <w:jc w:val="left"/>
      </w:pPr>
      <w:r>
        <w:rPr>
          <w:rFonts w:ascii="楷体_GB2312" w:hAnsi="楷体_GB2312" w:eastAsia="楷体_GB2312"/>
          <w:b w:val="0"/>
          <w:color w:val="000000"/>
          <w:sz w:val="32"/>
        </w:rPr>
        <w:t>（三）组织架构</w:t>
      </w:r>
    </w:p>
    <w:p>
      <w:pPr>
        <w:spacing w:lineRule="exact" w:line="600" w:before="0" w:after="0"/>
        <w:ind w:firstLine="420"/>
        <w:jc w:val="both"/>
      </w:pPr>
      <w:r>
        <w:rPr>
          <w:rFonts w:ascii="仿宋_GB2312" w:hAnsi="仿宋_GB2312" w:eastAsia="仿宋_GB2312"/>
          <w:b w:val="0"/>
          <w:color w:val="000000"/>
          <w:sz w:val="32"/>
        </w:rPr>
        <w:t>飞源化工是山东飞源集团有限公司（始建于2004年，坐落于高青化工产业园）的核心企业与旗舰平台。飞源集团是以含氟精细化工为主业的产业集团，旗下现拥有淄博飞源化工有限公司、山东飞源气体有限公司、山东飞源新材料有限公司等高新技术化工企业，集团现有员工700余人，其中高级经济管理人员35人、高级工程师16人、工程师28人，技术与管理人才储备较为充实。</w:t>
      </w:r>
    </w:p>
    <w:p>
      <w:pPr>
        <w:spacing w:lineRule="exact" w:line="600" w:before="0" w:after="0"/>
        <w:ind w:firstLine="420"/>
        <w:jc w:val="both"/>
      </w:pPr>
      <w:r>
        <w:rPr>
          <w:rFonts w:ascii="仿宋_GB2312" w:hAnsi="仿宋_GB2312" w:eastAsia="仿宋_GB2312"/>
          <w:b w:val="0"/>
          <w:color w:val="000000"/>
          <w:sz w:val="32"/>
        </w:rPr>
        <w:t>其中，山东飞源气体有限公司成立于2015年4月，注册资金5500万元，主营电解氟化系列含氟电子化学品（电子级六氟化硫、四氟化碳、三氟化氮、三氟甲磺酸等）；山东飞源新材料有限公司成立于2016年4月，注册资金5000万元，主营含氟医药、农药中间体等含氟精细化学品。飞源化工通过集团化布局，形成了从萤石—氢氟酸—含氟制冷剂—含氟电子特气—含氟高端材料的较完整产业链条。</w:t>
      </w:r>
    </w:p>
    <w:p>
      <w:pPr>
        <w:spacing w:lineRule="exact" w:line="600" w:before="0" w:after="0"/>
        <w:ind w:firstLine="420"/>
        <w:jc w:val="both"/>
      </w:pPr>
      <w:r>
        <w:rPr>
          <w:rFonts w:ascii="仿宋_GB2312" w:hAnsi="仿宋_GB2312" w:eastAsia="仿宋_GB2312"/>
          <w:b w:val="0"/>
          <w:color w:val="000000"/>
          <w:sz w:val="32"/>
        </w:rPr>
        <w:t>巨化股份控股后，公司治理架构向国有控股企业规范运作靠拢：在股东会、董事会层面引入国资股东意志，财务总监由巨化股份委派，重大投资、融资、资产处置等事项需按照国有企业"三重一大"决策制度履行集体决策与上报程序。</w:t>
      </w:r>
    </w:p>
    <w:p>
      <w:pPr>
        <w:spacing w:lineRule="exact" w:line="600" w:before="120" w:after="120"/>
        <w:ind w:firstLine="420"/>
        <w:jc w:val="left"/>
      </w:pPr>
      <w:r>
        <w:rPr>
          <w:rFonts w:ascii="楷体_GB2312" w:hAnsi="楷体_GB2312" w:eastAsia="楷体_GB2312"/>
          <w:b w:val="0"/>
          <w:color w:val="000000"/>
          <w:sz w:val="32"/>
        </w:rPr>
        <w:t>（四）发展沿革</w:t>
      </w:r>
    </w:p>
    <w:p>
      <w:pPr>
        <w:spacing w:lineRule="exact" w:line="600" w:before="0" w:after="0"/>
        <w:ind w:firstLine="420"/>
        <w:jc w:val="both"/>
      </w:pPr>
      <w:r>
        <w:rPr>
          <w:rFonts w:ascii="仿宋_GB2312" w:hAnsi="仿宋_GB2312" w:eastAsia="仿宋_GB2312"/>
          <w:b w:val="0"/>
          <w:color w:val="000000"/>
          <w:sz w:val="32"/>
        </w:rPr>
        <w:t>2004年8月，飞源化工启动建设；2004年11月完成工商设立；2005年6月正式投产运行，起步于无水氟化氢等基础氟化工产品。</w:t>
      </w:r>
    </w:p>
    <w:p>
      <w:pPr>
        <w:spacing w:lineRule="exact" w:line="600" w:before="0" w:after="0"/>
        <w:ind w:firstLine="420"/>
        <w:jc w:val="both"/>
      </w:pPr>
      <w:r>
        <w:rPr>
          <w:rFonts w:ascii="仿宋_GB2312" w:hAnsi="仿宋_GB2312" w:eastAsia="仿宋_GB2312"/>
          <w:b w:val="0"/>
          <w:color w:val="000000"/>
          <w:sz w:val="32"/>
        </w:rPr>
        <w:t>2016年起，公司先后设立山东飞源新材料有限公司（2016年4月）、山东飞源气体有限公司（2015年4月设立）等子公司，业务由基础氟化工延伸至含氟电子化学品与含氟医药农药中间体，产业层级逐步抬升。</w:t>
      </w:r>
    </w:p>
    <w:p>
      <w:pPr>
        <w:spacing w:lineRule="exact" w:line="600" w:before="0" w:after="0"/>
        <w:ind w:firstLine="420"/>
        <w:jc w:val="both"/>
      </w:pPr>
      <w:r>
        <w:rPr>
          <w:rFonts w:ascii="仿宋_GB2312" w:hAnsi="仿宋_GB2312" w:eastAsia="仿宋_GB2312"/>
          <w:b w:val="0"/>
          <w:color w:val="000000"/>
          <w:sz w:val="32"/>
        </w:rPr>
        <w:t>历经数年深耕，飞源化工成长为高青县含氟新材料产业链"链主"企业。以商招商，先后为高青县招引南大光电（淄博）有限公司、东方飞源（山东）电子材料有限公司、山东飞源合成材料有限公司、山东飞源东泰高分子材料有限公司、山东中泰天盟新材料有限公司等6—8家链上企业落户，形成年产值约35亿元的氟化工产业集群。</w:t>
      </w:r>
    </w:p>
    <w:p>
      <w:pPr>
        <w:spacing w:lineRule="exact" w:line="600" w:before="0" w:after="0"/>
        <w:ind w:firstLine="420"/>
        <w:jc w:val="both"/>
      </w:pPr>
      <w:r>
        <w:rPr>
          <w:rFonts w:ascii="仿宋_GB2312" w:hAnsi="仿宋_GB2312" w:eastAsia="仿宋_GB2312"/>
          <w:b w:val="0"/>
          <w:color w:val="000000"/>
          <w:sz w:val="32"/>
        </w:rPr>
        <w:t>2023年6月起，公司启动与巨化股份的股权合作洽谈，9月签署合作框架协议；2024年1月20日，巨化股份与飞源化工正式签约，巨化股份以13.94亿元取得飞源化工51%股权，飞源化工成为巨化股份控股子公司。此次强强联合被定位为氟化工龙头企业的产业协同，总投资6亿元的新型电子级含氟精细化学品项目随后加快推进。</w:t>
      </w:r>
    </w:p>
    <w:p>
      <w:pPr>
        <w:spacing w:lineRule="exact" w:line="600" w:before="120" w:after="120"/>
        <w:ind w:firstLine="420"/>
        <w:jc w:val="left"/>
      </w:pPr>
      <w:r>
        <w:rPr>
          <w:rFonts w:ascii="楷体_GB2312" w:hAnsi="楷体_GB2312" w:eastAsia="楷体_GB2312"/>
          <w:b w:val="0"/>
          <w:color w:val="000000"/>
          <w:sz w:val="32"/>
        </w:rPr>
        <w:t>（五）企业定位与主营业务</w:t>
      </w:r>
    </w:p>
    <w:p>
      <w:pPr>
        <w:spacing w:lineRule="exact" w:line="600" w:before="0" w:after="0"/>
        <w:ind w:firstLine="420"/>
        <w:jc w:val="both"/>
      </w:pPr>
      <w:r>
        <w:rPr>
          <w:rFonts w:ascii="仿宋_GB2312" w:hAnsi="仿宋_GB2312" w:eastAsia="仿宋_GB2312"/>
          <w:b w:val="0"/>
          <w:color w:val="000000"/>
          <w:sz w:val="32"/>
        </w:rPr>
        <w:t>公司战略定位为高青县含氟新材料产业链"链主"企业与山东省重要的含氟精细化工生产基地，专注于无水氟化氢、含氟制冷剂、含氟电子化学品及含氟高端精细化学品的研发、生产与销售，秉持"以技术为核心、以市场为导向、以质量为根本"的经营理念，致力于建设"技术创新化、产业集群化、制造信息化、标准国际化、资源集约化"的先进氟化工产业制造基地。</w:t>
      </w:r>
    </w:p>
    <w:p>
      <w:pPr>
        <w:spacing w:lineRule="exact" w:line="600" w:before="0" w:after="0"/>
        <w:ind w:firstLine="420"/>
        <w:jc w:val="both"/>
      </w:pPr>
      <w:r>
        <w:rPr>
          <w:rFonts w:ascii="仿宋_GB2312" w:hAnsi="仿宋_GB2312" w:eastAsia="仿宋_GB2312"/>
          <w:b w:val="0"/>
          <w:color w:val="000000"/>
          <w:sz w:val="32"/>
        </w:rPr>
        <w:t>主营业务涵盖两大板块：一是基础与大宗氟化工板块，以无水氟化氢、氟化氢铵、R32/R134a/R125等含氟制冷剂、硫酸、环氧氯丙烷为主，是园区氟化工产业的"产业原点"与原料保障；二是含氟精细与电子化学品板块（经子公司），以含氟电子特气、含氟医药农药中间体为主，面向半导体、显示面板、医药农药等高端应用领域。</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飞源化工（含集团体系）业务结构以基础氟化工为体量基础、以含氟精细化工为价值升级方向。基础板块中，无水氟化氢是核心大宗产品，也是下游制冷剂、含氟电子化学品的共同原料；制冷剂（R32/R134a/R125）为公司主要收入来源之一；含氟电子化学品与医药农药中间体毛利率相对较高，是公司面向半导体、面板、医药等高端领域的战略增量。</w:t>
      </w:r>
    </w:p>
    <w:p>
      <w:pPr>
        <w:spacing w:lineRule="exact" w:line="600" w:before="0" w:after="0"/>
        <w:ind w:firstLine="420"/>
        <w:jc w:val="both"/>
      </w:pPr>
      <w:r>
        <w:rPr>
          <w:rFonts w:ascii="仿宋_GB2312" w:hAnsi="仿宋_GB2312" w:eastAsia="仿宋_GB2312"/>
          <w:b w:val="0"/>
          <w:color w:val="000000"/>
          <w:sz w:val="32"/>
        </w:rPr>
        <w:t>财务层面，飞源化工为飞源化工（非上市）单体及其集团体系，单体经审计财务数据未公开披露，故无法列示各产品收入占比的精确数值。可公开印证的是：以飞源化工为链主形成的氟化工产业集群合计年产值约35亿元（据新华社等公开报道），公司在园区氟化工体系中处于原料与产能的核心地位。</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第一，无水氟化氢（AHF）。系氟化工最基础的原料，用于生产制冷剂、含氟聚合物、含氟电子化学品等，是公司产业链的"源头"产品。公司规划建成12万吨/年无水氟化氢及配套2万吨/年氟化氢铵生产项目，是园区含氟产业链的原料保障核心。</w:t>
      </w:r>
    </w:p>
    <w:p>
      <w:pPr>
        <w:spacing w:lineRule="exact" w:line="600" w:before="0" w:after="0"/>
        <w:ind w:firstLine="420"/>
        <w:jc w:val="both"/>
      </w:pPr>
      <w:r>
        <w:rPr>
          <w:rFonts w:ascii="仿宋_GB2312" w:hAnsi="仿宋_GB2312" w:eastAsia="仿宋_GB2312"/>
          <w:b w:val="0"/>
          <w:color w:val="000000"/>
          <w:sz w:val="32"/>
        </w:rPr>
        <w:t>第二，含氟制冷剂系列。包括二氟甲烷（R32）、四氟乙烷（R134a）、五氟乙烷（R125）等，广泛应用于空调、制冷、发泡等领域，是公司传统主力收入板块，同质化程度较高、规模与成本为竞争关键。</w:t>
      </w:r>
    </w:p>
    <w:p>
      <w:pPr>
        <w:spacing w:lineRule="exact" w:line="600" w:before="0" w:after="0"/>
        <w:ind w:firstLine="420"/>
        <w:jc w:val="both"/>
      </w:pPr>
      <w:r>
        <w:rPr>
          <w:rFonts w:ascii="仿宋_GB2312" w:hAnsi="仿宋_GB2312" w:eastAsia="仿宋_GB2312"/>
          <w:b w:val="0"/>
          <w:color w:val="000000"/>
          <w:sz w:val="32"/>
        </w:rPr>
        <w:t>第三，硫酸与环氧氯丙烷。硫酸为萤石制酸联产产品，与氢氟酸生产形成资源综合利用的循环经济；环氧氯丙烷属重要有机化工原料，延伸公司产品谱系。</w:t>
      </w:r>
    </w:p>
    <w:p>
      <w:pPr>
        <w:spacing w:lineRule="exact" w:line="600" w:before="0" w:after="0"/>
        <w:ind w:firstLine="420"/>
        <w:jc w:val="both"/>
      </w:pPr>
      <w:r>
        <w:rPr>
          <w:rFonts w:ascii="仿宋_GB2312" w:hAnsi="仿宋_GB2312" w:eastAsia="仿宋_GB2312"/>
          <w:b w:val="0"/>
          <w:color w:val="000000"/>
          <w:sz w:val="32"/>
        </w:rPr>
        <w:t>第四，含氟电子化学品（经山东飞源气体等子公司）。包括电子级六氟化硫、四氟化碳、三氟化氮、三氟甲磺酸等，主要面向半导体与显示面板行业，是公司高附加值方向。其中三氟化氮已实现对中芯国际等头部客户的供货，技术壁垒与毛利率显著高于基础氟化工。</w:t>
      </w:r>
    </w:p>
    <w:p>
      <w:pPr>
        <w:spacing w:lineRule="exact" w:line="600" w:before="0" w:after="0"/>
        <w:ind w:firstLine="420"/>
        <w:jc w:val="both"/>
      </w:pPr>
      <w:r>
        <w:rPr>
          <w:rFonts w:ascii="仿宋_GB2312" w:hAnsi="仿宋_GB2312" w:eastAsia="仿宋_GB2312"/>
          <w:b w:val="0"/>
          <w:color w:val="000000"/>
          <w:sz w:val="32"/>
        </w:rPr>
        <w:t>第五，含氟医药农药中间体（经山东飞源新材料）。包括2,6-二氯-4-三氟甲基苯胺、二氟乙醇、二氟乙胺、二氟溴乙酸乙酯等含氟精细化学品，服务于国内外大型农药与医药生产商，定制化、高毛利特征明显。</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下游客户覆盖制冷剂贸易与终端制冷家电企业、氟化工深加工企业、半导体与显示面板用电子特气客户、医药农药生产企业等。其中含氟电子化学品客户层次较高，部分产品进入中芯国际等头部半导体供应链，体现公司技术能力的认可度。</w:t>
      </w:r>
    </w:p>
    <w:p>
      <w:pPr>
        <w:spacing w:lineRule="exact" w:line="600" w:before="0" w:after="0"/>
        <w:ind w:firstLine="420"/>
        <w:jc w:val="both"/>
      </w:pPr>
      <w:r>
        <w:rPr>
          <w:rFonts w:ascii="仿宋_GB2312" w:hAnsi="仿宋_GB2312" w:eastAsia="仿宋_GB2312"/>
          <w:b w:val="0"/>
          <w:color w:val="000000"/>
          <w:sz w:val="32"/>
        </w:rPr>
        <w:t>由于飞源化工单体财务数据未公开披露，前五大客户集中度的精确数值无法核实。从产业逻辑看，基础氟化工产品（氢氟酸、制冷剂）客户相对分散、以贸易商与下游加工企业为主；含氟电子特气与医药中间体客户则相对集中、粘性强、认证壁垒高。</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上游核心原料为萤石（氟化钙），萤石资源的保障与成本直接决定氢氟酸及全链条产品的成本竞争力。公司注重"萤石资源综合利用"，强化氟化工副产和三废的综合利用，发展循环经济，以提高原料自给率与副产附加值。</w:t>
      </w:r>
    </w:p>
    <w:p>
      <w:pPr>
        <w:spacing w:lineRule="exact" w:line="600" w:before="0" w:after="0"/>
        <w:ind w:firstLine="420"/>
        <w:jc w:val="both"/>
      </w:pPr>
      <w:r>
        <w:rPr>
          <w:rFonts w:ascii="仿宋_GB2312" w:hAnsi="仿宋_GB2312" w:eastAsia="仿宋_GB2312"/>
          <w:b w:val="0"/>
          <w:color w:val="000000"/>
          <w:sz w:val="32"/>
        </w:rPr>
        <w:t>作为国有控股企业，公司在原料采购端可借助巨化股份的集中采购规模与国家级技术中心支撑，强化对萤石等大宗原料的成本控制与供应保障，这是国资入股后最现实的协同红利之一。</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产能方面，公司规划建成12万吨/年无水氟化氢及配套2万吨/年氟化氢铵项目，并布局三氟氯乙烯、三氟乙酸、三氟乙醇等含氟精细产品；含氟电子化学品（飞源气体）已建成4300吨/年电子产品用高纯新材料项目（含电子级六氟化硫、四氟化碳、三氟化氮、三氟甲磺酸等）；含氟医药中间体（飞源新材料）具备多系列含氟中间体产能。</w:t>
      </w:r>
    </w:p>
    <w:p>
      <w:pPr>
        <w:spacing w:lineRule="exact" w:line="600" w:before="0" w:after="0"/>
        <w:ind w:firstLine="420"/>
        <w:jc w:val="both"/>
      </w:pPr>
      <w:r>
        <w:rPr>
          <w:rFonts w:ascii="仿宋_GB2312" w:hAnsi="仿宋_GB2312" w:eastAsia="仿宋_GB2312"/>
          <w:b w:val="0"/>
          <w:color w:val="000000"/>
          <w:sz w:val="32"/>
        </w:rPr>
        <w:t>资源方面，公司的核心资源为萤石资源综合利用能力、省级化工园区内的千亩土地与东西双厂区布局、以及巨化股份入主带来的国资信用与产业链协同资源。</w:t>
      </w:r>
    </w:p>
    <w:p>
      <w:pPr>
        <w:spacing w:lineRule="exact" w:line="600" w:before="0" w:after="0"/>
        <w:ind w:firstLine="420"/>
        <w:jc w:val="both"/>
      </w:pPr>
      <w:r>
        <w:rPr>
          <w:rFonts w:ascii="仿宋_GB2312" w:hAnsi="仿宋_GB2312" w:eastAsia="仿宋_GB2312"/>
          <w:b w:val="0"/>
          <w:color w:val="000000"/>
          <w:sz w:val="32"/>
        </w:rPr>
        <w:t>牌照资质方面，公司持有危险化学品生产许可证与经营许可证、排污许可证，具备货物进出口资质，为高新技术企业、山东省省级企业技术中心、淄博市工业设计中心与工程研究中心，行政许可与资质体系完整，是园区内合规水平较高的重点化工企业。</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用"生产基地在高青、市场面向全国及海外"的销售格局，基础氟化工产品以国内贸易与下游加工企业直销为主，含氟电子化学品与医药中间体面向半导体、面板、医药农药行业的直供与定制渠道。公司拥有自营进出口权，部分含氟精细化工产品出口海外。</w:t>
      </w:r>
    </w:p>
    <w:p>
      <w:pPr>
        <w:spacing w:lineRule="exact" w:line="600" w:before="0" w:after="0"/>
        <w:ind w:firstLine="420"/>
        <w:jc w:val="both"/>
      </w:pPr>
      <w:r>
        <w:rPr>
          <w:rFonts w:ascii="仿宋_GB2312" w:hAnsi="仿宋_GB2312" w:eastAsia="仿宋_GB2312"/>
          <w:b w:val="0"/>
          <w:color w:val="000000"/>
          <w:sz w:val="32"/>
        </w:rPr>
        <w:t>作为链主企业，飞源化工还承担"以商招商"的集群组织职能，通过原料供应、产业配套吸引下游与关联企业落户高青，形成"产业原点+集群生态"的独特销售与产业协同模式。</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经营规模方面，飞源集团现有员工700余人，以飞源化工为链主形成的氟化工产业集群合计年产值约35亿元（公开报道口径）。公司在高青县含氟新材料产业链中处于绝对龙头地位，是园区唯一具备氢氟酸—制冷剂—含氟电子特气完整链条的链主企业。</w:t>
      </w:r>
    </w:p>
    <w:p>
      <w:pPr>
        <w:spacing w:lineRule="exact" w:line="600" w:before="0" w:after="0"/>
        <w:ind w:firstLine="420"/>
        <w:jc w:val="both"/>
      </w:pPr>
      <w:r>
        <w:rPr>
          <w:rFonts w:ascii="仿宋_GB2312" w:hAnsi="仿宋_GB2312" w:eastAsia="仿宋_GB2312"/>
          <w:b w:val="0"/>
          <w:color w:val="000000"/>
          <w:sz w:val="32"/>
        </w:rPr>
        <w:t>市场地位方面，在巨化股份入主后，飞源化工成为国内氟化工龙头（巨化集团）体系的重要成员，借助巨化在制冷剂等16大类产品全球市场占有率达第一的产业地位，飞源化工的产品市场通道与品牌背书显著增强。</w:t>
      </w:r>
    </w:p>
    <w:p>
      <w:pPr>
        <w:spacing w:lineRule="exact" w:line="600" w:before="0" w:after="0"/>
        <w:ind w:firstLine="420"/>
        <w:jc w:val="both"/>
      </w:pPr>
      <w:r>
        <w:rPr>
          <w:rFonts w:ascii="仿宋_GB2312" w:hAnsi="仿宋_GB2312" w:eastAsia="仿宋_GB2312"/>
          <w:b w:val="0"/>
          <w:color w:val="000000"/>
          <w:sz w:val="32"/>
        </w:rPr>
        <w:t>需说明的是，上述产值、员工等数据来自公开新闻报道与集团口径，未经飞源化工单体审计财务报表验证；飞源化工单体经审计的营业收入、利润等核心财务指标未公开披露，故本节不作精确量化列示。</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（一）数据可获取性说明</w:t>
      </w:r>
    </w:p>
    <w:p>
      <w:pPr>
        <w:spacing w:lineRule="exact" w:line="600" w:before="0" w:after="0"/>
        <w:ind w:firstLine="420"/>
        <w:jc w:val="both"/>
      </w:pPr>
      <w:r>
        <w:rPr>
          <w:rFonts w:ascii="仿宋_GB2312" w:hAnsi="仿宋_GB2312" w:eastAsia="仿宋_GB2312"/>
          <w:b w:val="0"/>
          <w:color w:val="000000"/>
          <w:sz w:val="32"/>
        </w:rPr>
        <w:t>飞源化工为非上市的国有控股企业，其单体经审计的财务报表未向社会公开披露。同时，飞源化工为浙江巨化股份有限公司（600160）的控股子公司，其财务数据纳入巨化股份合并报表范围，但飞源化工单体财务数据未在巨化股份定期报告中单独列示。据此，本报告无法提供飞源化工经审计的资产负债表、利润表、现金流量表等具体科目数据，亦不对未披露财务指标作任何推定或估算，特此说明。</w:t>
      </w:r>
    </w:p>
    <w:p>
      <w:pPr>
        <w:spacing w:lineRule="exact" w:line="600" w:before="120" w:after="120"/>
        <w:ind w:firstLine="420"/>
        <w:jc w:val="left"/>
      </w:pPr>
      <w:r>
        <w:rPr>
          <w:rFonts w:ascii="楷体_GB2312" w:hAnsi="楷体_GB2312" w:eastAsia="楷体_GB2312"/>
          <w:b w:val="0"/>
          <w:color w:val="000000"/>
          <w:sz w:val="32"/>
        </w:rPr>
        <w:t>（二）可公开印证的经营规模</w:t>
      </w:r>
    </w:p>
    <w:p>
      <w:pPr>
        <w:spacing w:lineRule="exact" w:line="600" w:before="0" w:after="0"/>
        <w:ind w:firstLine="420"/>
        <w:jc w:val="both"/>
      </w:pPr>
      <w:r>
        <w:rPr>
          <w:rFonts w:ascii="仿宋_GB2312" w:hAnsi="仿宋_GB2312" w:eastAsia="仿宋_GB2312"/>
          <w:b w:val="0"/>
          <w:color w:val="000000"/>
          <w:sz w:val="32"/>
        </w:rPr>
        <w:t>基于公开报道与集团口径，可确认以下非审计的经营规模信息：飞源集团员工700余人；以飞源化工为链主形成的氟化工产业集群年产值约35亿元；公司占地1000余亩、东西双厂区、规划氢氟酸产能12万吨/年。上述数据为产业集群口径，不代表飞源化工单体，仅作经营背景参考。</w:t>
      </w:r>
    </w:p>
    <w:p>
      <w:pPr>
        <w:spacing w:lineRule="exact" w:line="600" w:before="120" w:after="120"/>
        <w:ind w:firstLine="420"/>
        <w:jc w:val="left"/>
      </w:pPr>
      <w:r>
        <w:rPr>
          <w:rFonts w:ascii="楷体_GB2312" w:hAnsi="楷体_GB2312" w:eastAsia="楷体_GB2312"/>
          <w:b w:val="0"/>
          <w:color w:val="000000"/>
          <w:sz w:val="32"/>
        </w:rPr>
        <w:t>（三）财务特征研判</w:t>
      </w:r>
    </w:p>
    <w:p>
      <w:pPr>
        <w:spacing w:lineRule="exact" w:line="600" w:before="0" w:after="0"/>
        <w:ind w:firstLine="420"/>
        <w:jc w:val="both"/>
      </w:pPr>
      <w:r>
        <w:rPr>
          <w:rFonts w:ascii="仿宋_GB2312" w:hAnsi="仿宋_GB2312" w:eastAsia="仿宋_GB2312"/>
          <w:b w:val="0"/>
          <w:color w:val="000000"/>
          <w:sz w:val="32"/>
        </w:rPr>
        <w:t>结合行业属性与国资入股背景，可对公司财务特征作方向性研判（非精确数据）：第一，氟化工属重资产行业，公司千亩厂区、双生产区及多个在建/规划项目意味着较高的固定资产与资本开支强度；第二，2024年巨化股份以13.94亿元现金收购51%股权，对应整体估值约27.3亿元，反映国资对公司资产质量与产业地位的认可；第三，成为国有控股企业后，公司融资渠道由主要依靠民营体系转为可获得银行授信、国资信用背书及巨化股份体系内资金协同，融资可得性与成本有望改善。</w:t>
      </w:r>
    </w:p>
    <w:p>
      <w:pPr>
        <w:spacing w:lineRule="exact" w:line="600" w:before="0" w:after="0"/>
        <w:ind w:firstLine="420"/>
        <w:jc w:val="both"/>
      </w:pPr>
      <w:r>
        <w:rPr>
          <w:rFonts w:ascii="仿宋_GB2312" w:hAnsi="仿宋_GB2312" w:eastAsia="仿宋_GB2312"/>
          <w:b w:val="0"/>
          <w:color w:val="000000"/>
          <w:sz w:val="32"/>
        </w:rPr>
        <w:t>需强调的是，上述研判不构成财务数据披露，飞源化工单体真实盈利、负债与现金流状况，应在取得其经审计财务报表或巨化股份专项披露后另行核实。</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股权变更后，飞源化工由民营控股转为国有控股企业，治理结构相应调整：股东会层面巨化股份作为持股51%的控股股东拥有主导权；董事会层面引入国资股东委派席位，重大经营与投资决策需符合国有企业监管框架；财务总监由巨化股份委派（现任财务总监匡传云），实现财务管控的垂直穿透。</w:t>
      </w:r>
    </w:p>
    <w:p>
      <w:pPr>
        <w:spacing w:lineRule="exact" w:line="600" w:before="0" w:after="0"/>
        <w:ind w:firstLine="420"/>
        <w:jc w:val="both"/>
      </w:pPr>
      <w:r>
        <w:rPr>
          <w:rFonts w:ascii="仿宋_GB2312" w:hAnsi="仿宋_GB2312" w:eastAsia="仿宋_GB2312"/>
          <w:b w:val="0"/>
          <w:color w:val="000000"/>
          <w:sz w:val="32"/>
        </w:rPr>
        <w:t>作为国有控股企业，公司应建立健全党组织，落实"三重一大"（重大事项决策、重要干部任免、重大项目投资决策、大额资金使用）集体决策制度，重大投资、资产处置、融资担保等事项须履行党组织前置研究讨论与董事会/股东会决策程序，并接受巨化集团及浙江省国资委体系的国有资产监管。</w:t>
      </w:r>
    </w:p>
    <w:p>
      <w:pPr>
        <w:spacing w:lineRule="exact" w:line="600" w:before="0" w:after="0"/>
        <w:ind w:firstLine="420"/>
        <w:jc w:val="both"/>
      </w:pPr>
      <w:r>
        <w:rPr>
          <w:rFonts w:ascii="仿宋_GB2312" w:hAnsi="仿宋_GB2312" w:eastAsia="仿宋_GB2312"/>
          <w:b w:val="0"/>
          <w:color w:val="000000"/>
          <w:sz w:val="32"/>
        </w:rPr>
        <w:t>控制权安排体现"国资控股、原团队经营"的平稳过渡：巨化股份仅委派财务总监一人，日常生产经营仍由原创始团队负责，创始人邢汉银由董事长改任副董事长，既保证了国资对财务与重大事项的管控，又保留了民营机制的灵活性与团队稳定性。</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公司法定代表人、总经理为余宏滔，负责公司日常经营；副董事长邢汉银为原实际控制人、创始人，现任副董事长并继续主导产业运营与以商招商；财务总监由巨化股份委派（匡传云），负责财务管控与国资对接。核心管理团队在氟化工领域深耕多年，产业经验与资源整合能力较强。</w:t>
      </w:r>
    </w:p>
    <w:p>
      <w:pPr>
        <w:spacing w:lineRule="exact" w:line="600" w:before="0" w:after="0"/>
        <w:ind w:firstLine="420"/>
        <w:jc w:val="both"/>
      </w:pPr>
      <w:r>
        <w:rPr>
          <w:rFonts w:ascii="仿宋_GB2312" w:hAnsi="仿宋_GB2312" w:eastAsia="仿宋_GB2312"/>
          <w:b w:val="0"/>
          <w:color w:val="000000"/>
          <w:sz w:val="32"/>
        </w:rPr>
        <w:t>管理特征：一是国资入股后治理规范性提升，财务与重大事项纳入国资管控；二是原民营团队保持经营连续性，减少控制权变更带来的经营波动；三是依托巨化股份的国家级技术中心与管理体系，管理与技术水平有望进一步跃升。</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作为国有控股化工企业，需执行国有企业内部控制与合规管理要求，财务管理、招标采购、安全生产、环保合规均纳入更严格的监管体系。公司是高新技术企业、省级企业技术中心，管理体系通过高新技术企业、工业设计中心等资质认证。</w:t>
      </w:r>
    </w:p>
    <w:p>
      <w:pPr>
        <w:spacing w:lineRule="exact" w:line="600" w:before="0" w:after="0"/>
        <w:ind w:firstLine="420"/>
        <w:jc w:val="both"/>
      </w:pPr>
      <w:r>
        <w:rPr>
          <w:rFonts w:ascii="仿宋_GB2312" w:hAnsi="仿宋_GB2312" w:eastAsia="仿宋_GB2312"/>
          <w:b w:val="0"/>
          <w:color w:val="000000"/>
          <w:sz w:val="32"/>
        </w:rPr>
        <w:t>生产安全方面，公司涉及氢氟酸、制冷剂等多种危险化学品，属安全生产与环保监管重点企业，需持续通过安全生产标准化与体系认证维持合规运营。公司获评"安全生产先进单位""环境保护工作先进集体"，合规表现总体良好。</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飞源集团现有员工700余人，其中高级经济管理人员35人、高级工程师16人、工程师28人，技术及管理人才储备在县域氟化工企业中较为突出。公司注重研发与工艺队伍建设，拥有省级企业技术中心、市级工程研究中心等研发平台。</w:t>
      </w:r>
    </w:p>
    <w:p>
      <w:pPr>
        <w:spacing w:lineRule="exact" w:line="600" w:before="0" w:after="0"/>
        <w:ind w:firstLine="420"/>
        <w:jc w:val="both"/>
      </w:pPr>
      <w:r>
        <w:rPr>
          <w:rFonts w:ascii="仿宋_GB2312" w:hAnsi="仿宋_GB2312" w:eastAsia="仿宋_GB2312"/>
          <w:b w:val="0"/>
          <w:color w:val="000000"/>
          <w:sz w:val="32"/>
        </w:rPr>
        <w:t>人力资源挑战在于：高青县为县域地区，对高端氟化工研发人才（尤其是含氟电子化学品、催化剂方向的博士与领军人才）吸引力有限；随着巨化股份入主及新型电子级含氟精细化学品项目（总投资6亿元）推进，对高端人才与复合型人才的需求将进一步上升，人才引进与保留是新阶段的关键变量。</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产业链链主地位。飞源化工是高青县含氟新材料产业链唯一具备"萤石—氢氟酸—含氟制冷剂—含氟电子特气—含氟高端材料"较完整链条的链主企业，既是园区氟化工的"产业原点"与原料保障核心，又通过以商招商聚合了6—8家链上企业，集群生态控制力强。</w:t>
      </w:r>
    </w:p>
    <w:p>
      <w:pPr>
        <w:spacing w:lineRule="exact" w:line="600" w:before="0" w:after="0"/>
        <w:ind w:firstLine="420"/>
        <w:jc w:val="both"/>
      </w:pPr>
      <w:r>
        <w:rPr>
          <w:rFonts w:ascii="仿宋_GB2312" w:hAnsi="仿宋_GB2312" w:eastAsia="仿宋_GB2312"/>
          <w:b w:val="0"/>
          <w:color w:val="000000"/>
          <w:sz w:val="32"/>
        </w:rPr>
        <w:t>二是国资信用与产业协同壁垒。巨化股份（浙江省属国企、国内氟化工龙头）入主后，公司获得国家级技术中心、庞大市场份额与融资支撑，实际控制人层级升至浙江省国资委，信用资质与产业资源实现跃升，这是一般民营氟化工企业难以复制的壁垒。</w:t>
      </w:r>
    </w:p>
    <w:p>
      <w:pPr>
        <w:spacing w:lineRule="exact" w:line="600" w:before="0" w:after="0"/>
        <w:ind w:firstLine="420"/>
        <w:jc w:val="both"/>
      </w:pPr>
      <w:r>
        <w:rPr>
          <w:rFonts w:ascii="仿宋_GB2312" w:hAnsi="仿宋_GB2312" w:eastAsia="仿宋_GB2312"/>
          <w:b w:val="0"/>
          <w:color w:val="000000"/>
          <w:sz w:val="32"/>
        </w:rPr>
        <w:t>三是资源与资质壁垒。公司拥有千亩土地、东西双厂区、省级化工园区准入、危险化学品生产/经营许可、排污许可等稀缺资质，以及萤石资源综合利用与循环经济能力，新进入者获取同等资源与资质的门槛极高。</w:t>
      </w:r>
    </w:p>
    <w:p>
      <w:pPr>
        <w:spacing w:lineRule="exact" w:line="600" w:before="0" w:after="0"/>
        <w:ind w:firstLine="420"/>
        <w:jc w:val="both"/>
      </w:pPr>
      <w:r>
        <w:rPr>
          <w:rFonts w:ascii="仿宋_GB2312" w:hAnsi="仿宋_GB2312" w:eastAsia="仿宋_GB2312"/>
          <w:b w:val="0"/>
          <w:color w:val="000000"/>
          <w:sz w:val="32"/>
        </w:rPr>
        <w:t>四是技术与客户壁垒。含氟电子化学品（三氟化氮等）已实现对中芯国际等头部半导体客户供货，含氟医药农药中间体服务国内外大型客户，认证壁垒高、客户粘性强，构成高附加值业务的护城河。</w:t>
      </w:r>
    </w:p>
    <w:p>
      <w:pPr>
        <w:spacing w:lineRule="exact" w:line="600" w:before="0" w:after="0"/>
        <w:ind w:firstLine="420"/>
        <w:jc w:val="both"/>
      </w:pPr>
      <w:r>
        <w:rPr>
          <w:rFonts w:ascii="仿宋_GB2312" w:hAnsi="仿宋_GB2312" w:eastAsia="仿宋_GB2312"/>
          <w:b w:val="0"/>
          <w:color w:val="000000"/>
          <w:sz w:val="32"/>
        </w:rPr>
        <w:t>五是循环经济与成本优势。公司强化氟化工副产与三废综合利用、发展循环经济，在氢氟酸等基础产品上形成资源综合利用带来的成本与环保双重优势。</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第一，氟化工（尤其制冷剂）周期性波动风险。含氟制冷剂受宏观经济、空调家电需求及HCFC/HFC配额政策影响明显，价格与盈利呈周期性波动。</w:t>
      </w:r>
    </w:p>
    <w:p>
      <w:pPr>
        <w:spacing w:lineRule="exact" w:line="600" w:before="0" w:after="0"/>
        <w:ind w:firstLine="420"/>
        <w:jc w:val="both"/>
      </w:pPr>
      <w:r>
        <w:rPr>
          <w:rFonts w:ascii="仿宋_GB2312" w:hAnsi="仿宋_GB2312" w:eastAsia="仿宋_GB2312"/>
          <w:b w:val="0"/>
          <w:color w:val="000000"/>
          <w:sz w:val="32"/>
        </w:rPr>
        <w:t>第二，原料供应与价格波动风险。萤石资源保障与价格波动直接决定氢氟酸及全链条成本，若萤石供应紧张或价格大幅上涨，将挤压盈利。</w:t>
      </w:r>
    </w:p>
    <w:p>
      <w:pPr>
        <w:spacing w:lineRule="exact" w:line="600" w:before="0" w:after="0"/>
        <w:ind w:firstLine="420"/>
        <w:jc w:val="both"/>
      </w:pPr>
      <w:r>
        <w:rPr>
          <w:rFonts w:ascii="仿宋_GB2312" w:hAnsi="仿宋_GB2312" w:eastAsia="仿宋_GB2312"/>
          <w:b w:val="0"/>
          <w:color w:val="000000"/>
          <w:sz w:val="32"/>
        </w:rPr>
        <w:t>第三，环保与能耗政策风险。氟化工属高耗能、环境敏感行业，国家"双碳"目标与环保监管趋严，对能耗、排放、配额的要求持续提高，可能增加合规成本或限制产能扩张。</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第一，新项目建设与产能消化风险。公司规划12万吨/年氢氟酸及新型电子级含氟精细化学品（总投资6亿元）等项目，资本开支强度大，若下游需求或配额消化不及预期，存在产能利用率不足与资产闲置风险。</w:t>
      </w:r>
    </w:p>
    <w:p>
      <w:pPr>
        <w:spacing w:lineRule="exact" w:line="600" w:before="0" w:after="0"/>
        <w:ind w:firstLine="420"/>
        <w:jc w:val="both"/>
      </w:pPr>
      <w:r>
        <w:rPr>
          <w:rFonts w:ascii="仿宋_GB2312" w:hAnsi="仿宋_GB2312" w:eastAsia="仿宋_GB2312"/>
          <w:b w:val="0"/>
          <w:color w:val="000000"/>
          <w:sz w:val="32"/>
        </w:rPr>
        <w:t>第二，安全生产风险。公司涉及氢氟酸、制冷剂等危险化学品，一旦发生安全事故将面临停产整顿、巨额赔偿与声誉损失。</w:t>
      </w:r>
    </w:p>
    <w:p>
      <w:pPr>
        <w:spacing w:lineRule="exact" w:line="600" w:before="0" w:after="0"/>
        <w:ind w:firstLine="420"/>
        <w:jc w:val="both"/>
      </w:pPr>
      <w:r>
        <w:rPr>
          <w:rFonts w:ascii="仿宋_GB2312" w:hAnsi="仿宋_GB2312" w:eastAsia="仿宋_GB2312"/>
          <w:b w:val="0"/>
          <w:color w:val="000000"/>
          <w:sz w:val="32"/>
        </w:rPr>
        <w:t>第三，技术升级风险。含氟电子化学品与医药中间体技术迭代快，若研发投入与工艺升级跟不上客户需求，可能被竞争对手替代。</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第一，重资产与资本开支压力。氟化工装置单值高、资本开支大，新项目投产后折旧与财务费用由在建工程转固刚性增加，短期可能压制利润。</w:t>
      </w:r>
    </w:p>
    <w:p>
      <w:pPr>
        <w:spacing w:lineRule="exact" w:line="600" w:before="0" w:after="0"/>
        <w:ind w:firstLine="420"/>
        <w:jc w:val="both"/>
      </w:pPr>
      <w:r>
        <w:rPr>
          <w:rFonts w:ascii="仿宋_GB2312" w:hAnsi="仿宋_GB2312" w:eastAsia="仿宋_GB2312"/>
          <w:b w:val="0"/>
          <w:color w:val="000000"/>
          <w:sz w:val="32"/>
        </w:rPr>
        <w:t>第二，财务数据透明度不足风险。飞源化工单体财务未公开披露，外部债权人难以获取经审计的单体报表，授信前需通过巨化股份协同或专项尽调获取真实财务信息。</w:t>
      </w:r>
    </w:p>
    <w:p>
      <w:pPr>
        <w:spacing w:lineRule="exact" w:line="600" w:before="120" w:after="120"/>
        <w:ind w:firstLine="420"/>
        <w:jc w:val="left"/>
      </w:pPr>
      <w:r>
        <w:rPr>
          <w:rFonts w:ascii="楷体_GB2312" w:hAnsi="楷体_GB2312" w:eastAsia="楷体_GB2312"/>
          <w:b w:val="0"/>
          <w:color w:val="000000"/>
          <w:sz w:val="32"/>
        </w:rPr>
        <w:t>（四）合规与法律风险</w:t>
      </w:r>
    </w:p>
    <w:p>
      <w:pPr>
        <w:spacing w:lineRule="exact" w:line="600" w:before="0" w:after="0"/>
        <w:ind w:firstLine="420"/>
        <w:jc w:val="both"/>
      </w:pPr>
      <w:r>
        <w:rPr>
          <w:rFonts w:ascii="仿宋_GB2312" w:hAnsi="仿宋_GB2312" w:eastAsia="仿宋_GB2312"/>
          <w:b w:val="0"/>
          <w:color w:val="000000"/>
          <w:sz w:val="32"/>
        </w:rPr>
        <w:t>第一，环保与安全生产合规风险。公司作为重点监管化工企业，环保处罚、安全事故、许可证换证等均为实质性合规风险点。</w:t>
      </w:r>
    </w:p>
    <w:p>
      <w:pPr>
        <w:spacing w:lineRule="exact" w:line="600" w:before="0" w:after="0"/>
        <w:ind w:firstLine="420"/>
        <w:jc w:val="both"/>
      </w:pPr>
      <w:r>
        <w:rPr>
          <w:rFonts w:ascii="仿宋_GB2312" w:hAnsi="仿宋_GB2312" w:eastAsia="仿宋_GB2312"/>
          <w:b w:val="0"/>
          <w:color w:val="000000"/>
          <w:sz w:val="32"/>
        </w:rPr>
        <w:t>第二，司法涉诉风险。第三方平台显示飞源化工体系存在一定数量的买卖合同、劳动争议等纠纷案件（公开口径约数十起），授信前建议逐案核查案由、标的金额与执行情况，重点关注是否存在环保、安全、质量等实质性风险案件。</w:t>
      </w:r>
    </w:p>
    <w:p>
      <w:pPr>
        <w:spacing w:lineRule="exact" w:line="600" w:before="120" w:after="120"/>
        <w:ind w:firstLine="420"/>
        <w:jc w:val="left"/>
      </w:pPr>
      <w:r>
        <w:rPr>
          <w:rFonts w:ascii="楷体_GB2312" w:hAnsi="楷体_GB2312" w:eastAsia="楷体_GB2312"/>
          <w:b w:val="0"/>
          <w:color w:val="000000"/>
          <w:sz w:val="32"/>
        </w:rPr>
        <w:t>（五）管理风险</w:t>
      </w:r>
    </w:p>
    <w:p>
      <w:pPr>
        <w:spacing w:lineRule="exact" w:line="600" w:before="0" w:after="0"/>
        <w:ind w:firstLine="420"/>
        <w:jc w:val="both"/>
      </w:pPr>
      <w:r>
        <w:rPr>
          <w:rFonts w:ascii="仿宋_GB2312" w:hAnsi="仿宋_GB2312" w:eastAsia="仿宋_GB2312"/>
          <w:b w:val="0"/>
          <w:color w:val="000000"/>
          <w:sz w:val="32"/>
        </w:rPr>
        <w:t>控制权由民营转为国有控股后，存在国资监管程序与民营经营效率的磨合风险；原团队经营、国资财务管控的权责边界需在"三重一大"框架下持续理顺。所幸双方采取"国资控股、原团队经营"的安排，磨合风险相对可控。</w:t>
      </w:r>
    </w:p>
    <w:p>
      <w:pPr>
        <w:spacing w:lineRule="exact" w:line="600" w:before="120" w:after="120"/>
        <w:ind w:firstLine="420"/>
        <w:jc w:val="left"/>
      </w:pPr>
      <w:r>
        <w:rPr>
          <w:rFonts w:ascii="楷体_GB2312" w:hAnsi="楷体_GB2312" w:eastAsia="楷体_GB2312"/>
          <w:b w:val="0"/>
          <w:color w:val="000000"/>
          <w:sz w:val="32"/>
        </w:rPr>
        <w:t>（六）现有应对措施</w:t>
      </w:r>
    </w:p>
    <w:p>
      <w:pPr>
        <w:spacing w:lineRule="exact" w:line="600" w:before="0" w:after="0"/>
        <w:ind w:firstLine="420"/>
        <w:jc w:val="both"/>
      </w:pPr>
      <w:r>
        <w:rPr>
          <w:rFonts w:ascii="仿宋_GB2312" w:hAnsi="仿宋_GB2312" w:eastAsia="仿宋_GB2312"/>
          <w:b w:val="0"/>
          <w:color w:val="000000"/>
          <w:sz w:val="32"/>
        </w:rPr>
        <w:t>公司应对措施包括：一是引入巨化股份国资股东，借助其技术中心与融资支撑补齐民营短板；二是强化萤石资源综合利用与循环经济，对冲原料波动；三是向含氟电子化学品、医药中间体等高附加值方向升级；四是严守安全生产与环保合规，获评多项安全环保先进；五是持续以商招商完善集群生态，分散单一产品风险。</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120" w:after="120"/>
        <w:ind w:firstLine="420"/>
        <w:jc w:val="left"/>
      </w:pPr>
      <w:r>
        <w:rPr>
          <w:rFonts w:ascii="楷体_GB2312" w:hAnsi="楷体_GB2312" w:eastAsia="楷体_GB2312"/>
          <w:b w:val="0"/>
          <w:color w:val="000000"/>
          <w:sz w:val="32"/>
        </w:rPr>
        <w:t>（一）融资需求总体判断</w:t>
      </w:r>
    </w:p>
    <w:p>
      <w:pPr>
        <w:spacing w:lineRule="exact" w:line="600" w:before="0" w:after="0"/>
        <w:ind w:firstLine="420"/>
        <w:jc w:val="both"/>
      </w:pPr>
      <w:r>
        <w:rPr>
          <w:rFonts w:ascii="仿宋_GB2312" w:hAnsi="仿宋_GB2312" w:eastAsia="仿宋_GB2312"/>
          <w:b w:val="0"/>
          <w:color w:val="000000"/>
          <w:sz w:val="32"/>
        </w:rPr>
        <w:t>飞源化工为国有控股、重资产、处于产能扩张期的氟化工链主企业。一方面，公司规划12万吨/年氢氟酸、总投资6亿元新型电子级含氟精细化学品等项目，资本开支强度大、资金需求真实且持续；另一方面，国资入股后公司信用资质与融资可得性显著提升，银行授信相对充裕。山东投资需以差异化产品切入，避免与银行标准化流贷正面竞争。</w:t>
      </w:r>
    </w:p>
    <w:p>
      <w:pPr>
        <w:spacing w:lineRule="exact" w:line="600" w:before="120" w:after="120"/>
        <w:ind w:firstLine="420"/>
        <w:jc w:val="left"/>
      </w:pPr>
      <w:r>
        <w:rPr>
          <w:rFonts w:ascii="楷体_GB2312" w:hAnsi="楷体_GB2312" w:eastAsia="楷体_GB2312"/>
          <w:b w:val="0"/>
          <w:color w:val="000000"/>
          <w:sz w:val="32"/>
        </w:rPr>
        <w:t>（二）保理业务</w:t>
      </w:r>
    </w:p>
    <w:p>
      <w:pPr>
        <w:spacing w:lineRule="exact" w:line="600" w:before="0" w:after="0"/>
        <w:ind w:firstLine="420"/>
        <w:jc w:val="both"/>
      </w:pPr>
      <w:r>
        <w:rPr>
          <w:rFonts w:ascii="仿宋_GB2312" w:hAnsi="仿宋_GB2312" w:eastAsia="仿宋_GB2312"/>
          <w:b w:val="0"/>
          <w:color w:val="000000"/>
          <w:sz w:val="32"/>
        </w:rPr>
        <w:t>公司含氟电子化学品与医药中间体业务面向半导体、医药等优质客户，部分形成应收账款，存在国内保理与出口保理空间；但基础氟化工以款到发货或短账期为主，应收规模有限。建议以含氟电子特气、医药中间体对应的优质应收账款开展有追/无追保理，并联合中国出口信用保险公司开展出口保理，覆盖海外买方信用风险。</w:t>
      </w:r>
    </w:p>
    <w:p>
      <w:pPr>
        <w:spacing w:lineRule="exact" w:line="600" w:before="120" w:after="120"/>
        <w:ind w:firstLine="420"/>
        <w:jc w:val="left"/>
      </w:pPr>
      <w:r>
        <w:rPr>
          <w:rFonts w:ascii="楷体_GB2312" w:hAnsi="楷体_GB2312" w:eastAsia="楷体_GB2312"/>
          <w:b w:val="0"/>
          <w:color w:val="000000"/>
          <w:sz w:val="32"/>
        </w:rPr>
        <w:t>（三）供应链金融</w:t>
      </w:r>
    </w:p>
    <w:p>
      <w:pPr>
        <w:spacing w:lineRule="exact" w:line="600" w:before="0" w:after="0"/>
        <w:ind w:firstLine="420"/>
        <w:jc w:val="both"/>
      </w:pPr>
      <w:r>
        <w:rPr>
          <w:rFonts w:ascii="仿宋_GB2312" w:hAnsi="仿宋_GB2312" w:eastAsia="仿宋_GB2312"/>
          <w:b w:val="0"/>
          <w:color w:val="000000"/>
          <w:sz w:val="32"/>
        </w:rPr>
        <w:t>供应链金融协同价值突出：向上游，公司年采购萤石等原料规模可观，可为上游萤石矿与原料供应商提供采购端融资、应收账款确权融资，并借助巨化股份集采体系强化风控；向下游，园区内6—8家链上企业（南大光电、东方飞源等）围绕飞源化工开展配套，可以飞源化工为核心企业，为下游中小配套企业提供基于真实交易背景的采购融资，既缓解上下游资金压力，又巩固飞源化工的链主生态。</w:t>
      </w:r>
    </w:p>
    <w:p>
      <w:pPr>
        <w:spacing w:lineRule="exact" w:line="600" w:before="120" w:after="120"/>
        <w:ind w:firstLine="420"/>
        <w:jc w:val="left"/>
      </w:pPr>
      <w:r>
        <w:rPr>
          <w:rFonts w:ascii="楷体_GB2312" w:hAnsi="楷体_GB2312" w:eastAsia="楷体_GB2312"/>
          <w:b w:val="0"/>
          <w:color w:val="000000"/>
          <w:sz w:val="32"/>
        </w:rPr>
        <w:t>（四）融资租赁</w:t>
      </w:r>
    </w:p>
    <w:p>
      <w:pPr>
        <w:spacing w:lineRule="exact" w:line="600" w:before="0" w:after="0"/>
        <w:ind w:firstLine="420"/>
        <w:jc w:val="both"/>
      </w:pPr>
      <w:r>
        <w:rPr>
          <w:rFonts w:ascii="仿宋_GB2312" w:hAnsi="仿宋_GB2312" w:eastAsia="仿宋_GB2312"/>
          <w:b w:val="0"/>
          <w:color w:val="000000"/>
          <w:sz w:val="32"/>
        </w:rPr>
        <w:t>融资租赁契合公司设备投资需求：一是新增项目（12万吨氢氟酸、6亿元电子级含氟精细化学品）所需的反应、精馏、电解氟化等装置单值高，可通过直接租赁缓解资本开支压力；二是存量化工装置可通过售后回租盘活，补充项目建设资金。承租人为国有控股企业、信用资质较好，风险相对可控。建议以"新增设备直租＋存量设备回租"组合介入。</w:t>
      </w:r>
    </w:p>
    <w:p>
      <w:pPr>
        <w:spacing w:lineRule="exact" w:line="600" w:before="120" w:after="120"/>
        <w:ind w:firstLine="420"/>
        <w:jc w:val="left"/>
      </w:pPr>
      <w:r>
        <w:rPr>
          <w:rFonts w:ascii="楷体_GB2312" w:hAnsi="楷体_GB2312" w:eastAsia="楷体_GB2312"/>
          <w:b w:val="0"/>
          <w:color w:val="000000"/>
          <w:sz w:val="32"/>
        </w:rPr>
        <w:t>（五）小额贷款</w:t>
      </w:r>
    </w:p>
    <w:p>
      <w:pPr>
        <w:spacing w:lineRule="exact" w:line="600" w:before="0" w:after="0"/>
        <w:ind w:firstLine="420"/>
        <w:jc w:val="both"/>
      </w:pPr>
      <w:r>
        <w:rPr>
          <w:rFonts w:ascii="仿宋_GB2312" w:hAnsi="仿宋_GB2312" w:eastAsia="仿宋_GB2312"/>
          <w:b w:val="0"/>
          <w:color w:val="000000"/>
          <w:sz w:val="32"/>
        </w:rPr>
        <w:t>小额贷款对飞源化工本体规模过小，适用方向为园区内下游中小配套企业（飞源气体、飞源新材料及招引的链上企业）的采购备货与周转融资，单户50万—500万元，依托与飞源化工的供应链金融合作统一开展。</w:t>
      </w:r>
    </w:p>
    <w:p>
      <w:pPr>
        <w:spacing w:lineRule="exact" w:line="600" w:before="120" w:after="120"/>
        <w:ind w:firstLine="420"/>
        <w:jc w:val="left"/>
      </w:pPr>
      <w:r>
        <w:rPr>
          <w:rFonts w:ascii="楷体_GB2312" w:hAnsi="楷体_GB2312" w:eastAsia="楷体_GB2312"/>
          <w:b w:val="0"/>
          <w:color w:val="000000"/>
          <w:sz w:val="32"/>
        </w:rPr>
        <w:t>（六）综合建议与风控要点</w:t>
      </w:r>
    </w:p>
    <w:p>
      <w:pPr>
        <w:spacing w:lineRule="exact" w:line="600" w:before="0" w:after="0"/>
        <w:ind w:firstLine="420"/>
        <w:jc w:val="both"/>
      </w:pPr>
      <w:r>
        <w:rPr>
          <w:rFonts w:ascii="仿宋_GB2312" w:hAnsi="仿宋_GB2312" w:eastAsia="仿宋_GB2312"/>
          <w:b w:val="0"/>
          <w:color w:val="000000"/>
          <w:sz w:val="32"/>
        </w:rPr>
        <w:t>业务优先级：第一，供应链金融（以飞源化工为核心企业的上下游链式融资），协同与产业集群价值最高；第二，融资租赁（新增设备直租＋存量回租），需求真实、规模可观；第三，保理（含氟电子特气/医药中间体应收及出口保理），作为补充；第四，小贷仅面向园区中小配套主体。</w:t>
      </w:r>
    </w:p>
    <w:p>
      <w:pPr>
        <w:spacing w:lineRule="exact" w:line="600" w:before="0" w:after="0"/>
        <w:ind w:firstLine="420"/>
        <w:jc w:val="both"/>
      </w:pPr>
      <w:r>
        <w:rPr>
          <w:rFonts w:ascii="仿宋_GB2312" w:hAnsi="仿宋_GB2312" w:eastAsia="仿宋_GB2312"/>
          <w:b w:val="0"/>
          <w:color w:val="000000"/>
          <w:sz w:val="32"/>
        </w:rPr>
        <w:t>风控要点：一是取得飞源化工经审计的单体或巨化股份合并口径财务数据，核实真实资产负债与现金流；二是关注新项目投产进度与产能利用率，警惕产能过剩背景下的效益不及预期；三是核查司法涉诉具体案由与环保、安全合规状况；四是充分利用国有控股信用，但需落实国资监管与"三重一大"决策程序下的用信审批链条；五是对上下游链式融资严格核验交易真实性。</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淄博飞源化工有限公司是高青县含氟新材料产业链的链主企业与绝对龙头，2024年1月引入浙江巨化股份（浙江省属国有控股上市公司）以13.94亿元取得51%股权后，由民营控股转为浙江省属国有控股，实际控制人层级升至浙江省国资委。公司形成"萤石—氢氟酸—含氟制冷剂—含氟电子特气—含氟高端材料"的较完整产业链，并以商招商聚合6—8家链上企业，带动形成年产值约35亿元的氟化工产业集群。</w:t>
      </w:r>
    </w:p>
    <w:p>
      <w:pPr>
        <w:spacing w:lineRule="exact" w:line="600" w:before="0" w:after="0"/>
        <w:ind w:firstLine="420"/>
        <w:jc w:val="both"/>
      </w:pPr>
      <w:r>
        <w:rPr>
          <w:rFonts w:ascii="仿宋_GB2312" w:hAnsi="仿宋_GB2312" w:eastAsia="仿宋_GB2312"/>
          <w:b w:val="0"/>
          <w:color w:val="000000"/>
          <w:sz w:val="32"/>
        </w:rPr>
        <w:t>公司核心优势可概括为"链主地位+国资信用+资源资质+技术客户"四位一体：链主生态控制力强、国资入股带来信用与产业协同跃升、千亩土地与稀缺化工资质构成资源壁垒、含氟电子特气进入中芯国际等头部供应链体现技术认可。主要短板是单体财务透明度不足、重资产扩张期折旧与资本开支压力大、县域高端人才吸引力有限。</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发展主线有三条：第一，基础氟化工"稳规模、提效率"，依托12万吨/年氢氟酸等项目巩固原料保障与成本优势；第二，含氟精细与电子化学品"上价值"，总投资6亿元新型电子级含氟精细化学品项目加快推进，向半导体、面板用高纯电子特气升级；第三，集群生态"扩链强链"，持续以商招商完善氟化工全链条。</w:t>
      </w:r>
    </w:p>
    <w:p>
      <w:pPr>
        <w:spacing w:lineRule="exact" w:line="600" w:before="0" w:after="0"/>
        <w:ind w:firstLine="420"/>
        <w:jc w:val="both"/>
      </w:pPr>
      <w:r>
        <w:rPr>
          <w:rFonts w:ascii="仿宋_GB2312" w:hAnsi="仿宋_GB2312" w:eastAsia="仿宋_GB2312"/>
          <w:b w:val="0"/>
          <w:color w:val="000000"/>
          <w:sz w:val="32"/>
        </w:rPr>
        <w:t>巨化股份入主后的产业协同是最大变量：借助巨化在氟化工领域16大类产品全球市占率第一的地位，飞源化工的市场通道、技术研发与融资能力有望系统性提升，从中长期看具备由区域链主成长为全国性氟化工重要基地的潜力。</w:t>
      </w:r>
    </w:p>
    <w:p>
      <w:pPr>
        <w:spacing w:lineRule="exact" w:line="600" w:before="120" w:after="120"/>
        <w:ind w:firstLine="420"/>
        <w:jc w:val="left"/>
      </w:pPr>
      <w:r>
        <w:rPr>
          <w:rFonts w:ascii="楷体_GB2312" w:hAnsi="楷体_GB2312" w:eastAsia="楷体_GB2312"/>
          <w:b w:val="0"/>
          <w:color w:val="000000"/>
          <w:sz w:val="32"/>
        </w:rPr>
        <w:t>（三）主要挑战</w:t>
      </w:r>
    </w:p>
    <w:p>
      <w:pPr>
        <w:spacing w:lineRule="exact" w:line="600" w:before="0" w:after="0"/>
        <w:ind w:firstLine="420"/>
        <w:jc w:val="both"/>
      </w:pPr>
      <w:r>
        <w:rPr>
          <w:rFonts w:ascii="仿宋_GB2312" w:hAnsi="仿宋_GB2312" w:eastAsia="仿宋_GB2312"/>
          <w:b w:val="0"/>
          <w:color w:val="000000"/>
          <w:sz w:val="32"/>
        </w:rPr>
        <w:t>一是氟化工行业周期与制冷剂配额政策波动带来的盈利不确定性；二是新项目资本开支大、折旧前置，短期利润承压；三是单体财务透明度不足，外部授信需专项尽调；四是县域高端人才引进难；五是环保、安全合规监管持续趋严。</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结论：飞源化工是兼具"链主生态控制力"与"浙江省属国资信用"的优质国有控股氟化工企业，信用风险低、融资需求真实且规模可观，是山东投资在高青新材料集群应当重点争取的战略客户。</w:t>
      </w:r>
    </w:p>
    <w:p>
      <w:pPr>
        <w:spacing w:lineRule="exact" w:line="600" w:before="0" w:after="0"/>
        <w:ind w:firstLine="420"/>
        <w:jc w:val="both"/>
      </w:pPr>
      <w:r>
        <w:rPr>
          <w:rFonts w:ascii="仿宋_GB2312" w:hAnsi="仿宋_GB2312" w:eastAsia="仿宋_GB2312"/>
          <w:b w:val="0"/>
          <w:color w:val="000000"/>
          <w:sz w:val="32"/>
        </w:rPr>
        <w:t>对企业的建议：一是加快6亿元电子级含氟精细化学品项目落地，向高附加值方向坚定升级；二是依托巨化股份体系强化萤石资源保障与成本控制；三是提升财务透明度，主动披露经审计财务信息以增强融资便利；四是完善人才引进机制，支撑新业务发展；五是严守安全环保合规底线。</w:t>
      </w:r>
    </w:p>
    <w:p>
      <w:pPr>
        <w:spacing w:lineRule="exact" w:line="600" w:before="0" w:after="0"/>
        <w:ind w:firstLine="420"/>
        <w:jc w:val="both"/>
      </w:pPr>
      <w:r>
        <w:rPr>
          <w:rFonts w:ascii="仿宋_GB2312" w:hAnsi="仿宋_GB2312" w:eastAsia="仿宋_GB2312"/>
          <w:b w:val="0"/>
          <w:color w:val="000000"/>
          <w:sz w:val="32"/>
        </w:rPr>
        <w:t>对山东投资的建议：将飞源化工列为高青新材料集群首要战略客户。近期以供应链金融（上下游链式融资）与融资租赁（新增设备直租＋存量回租）双轮切入，中期以含氟电子特气/医药中间体保理及出口保理增强粘性。在合作定位上，应发挥山东省属投资平台的产业资源优势，协助其对接省内半导体、医药、新材料下游龙头客户，并在萤石资源保障、产业撮合方面提供增值服务，构建长期战略伙伴关系。需特别强调：因飞源化工为国有控股企业，所有用信须落实"三重一大"决策程序与国资监管审批链条，授信前须取得真实财务数据并完成合规核查。</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工商登记信息（统一社会信用代码、成立时间、法定代表人、注册资本、企业类型、登记状态、经营范围、注册地址、资质荣誉、司法涉诉数量）来源于国家企业信用信息公示系统及天眼查、企查查、启信宝公开快照。</w:t>
      </w:r>
    </w:p>
    <w:p>
      <w:pPr>
        <w:spacing w:lineRule="exact" w:line="600" w:before="0" w:after="0"/>
        <w:ind w:firstLine="420"/>
        <w:jc w:val="both"/>
      </w:pPr>
      <w:r>
        <w:rPr>
          <w:rFonts w:ascii="仿宋_GB2312" w:hAnsi="仿宋_GB2312" w:eastAsia="仿宋_GB2312"/>
          <w:b w:val="0"/>
          <w:color w:val="000000"/>
          <w:sz w:val="32"/>
        </w:rPr>
        <w:t>股权结构与国资层级信息（浙江巨化股份以13.94亿元取得51%股权、巨化集团为浙江省国资委全资持有、邢汉银持股及职务变更、财务总监委派等）来源于巨化股份（600160）2024年关于收购飞源化工股权的公告、新华社/大众日报等公开报道及飞源集团公开信息。</w:t>
      </w:r>
    </w:p>
    <w:p>
      <w:pPr>
        <w:spacing w:lineRule="exact" w:line="600" w:before="0" w:after="0"/>
        <w:ind w:firstLine="420"/>
        <w:jc w:val="both"/>
      </w:pPr>
      <w:r>
        <w:rPr>
          <w:rFonts w:ascii="仿宋_GB2312" w:hAnsi="仿宋_GB2312" w:eastAsia="仿宋_GB2312"/>
          <w:b w:val="0"/>
          <w:color w:val="000000"/>
          <w:sz w:val="32"/>
        </w:rPr>
        <w:t>产品与产能信息（无水氟化氢12万吨/年规划、含氟制冷剂、含氟电子化学品、医药中间体、千亩厂区、省级企业技术中心等）、以商招商与产业集群年产值约35亿元等信息，来源于飞源集团官网、高青县政府公开信息及大众日报、新华网等媒体报道。</w:t>
      </w:r>
    </w:p>
    <w:p>
      <w:pPr>
        <w:spacing w:lineRule="exact" w:line="600" w:before="0" w:after="0"/>
        <w:ind w:firstLine="420"/>
        <w:jc w:val="both"/>
      </w:pPr>
      <w:r>
        <w:rPr>
          <w:rFonts w:ascii="仿宋_GB2312" w:hAnsi="仿宋_GB2312" w:eastAsia="仿宋_GB2312"/>
          <w:b w:val="0"/>
          <w:color w:val="000000"/>
          <w:sz w:val="32"/>
        </w:rPr>
        <w:t>财务数据特别说明：飞源化工为非上市国有控股企业，单体经审计财务报表未公开披露，其财务数据纳入巨化股份（600160）合并报表但未单独列示，故本报告未列示具体财务科目数据，亦不作推定；文中产值、员工等数据为公开报道与集团口径，未经单体审计验证。以上信息统计时点截至2026年8月公开可查范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