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龙口市高端化工新材料特色产业集群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山东道恩高分子材料股份有限公司企业分析报告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（本报告数据来源于道恩股份2023、2024、2025年年度报告及交易所公告、新浪财经/中国证券报等，统计时点截至2025年年报（2026-03-31披露）。财务数据均取自公开年报，单位亿元。）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道恩高分子材料股份有限公司（道恩股份，002838.SZ）成立于2002年12月6日，注册地址位于山东省龙口市振兴路北首道恩经济园工业园区，2017年1月6日登陆深交所中小板。公司主营热塑性弹性体、改性塑料、色母粒及可降解材料等功能性高分子复合材料的研发、生产与销售，系龙口市高端化工新材料集群骨干上市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公司为上市公司，下设降解材料、重庆等基地子公司；2025年总资产73.80亿元。前十大股东持股占比约64.65%，股权结构稳定。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设立，2017年上市；长期深耕改性塑料与热塑性弹性体（TPV）；近年加大车用轻量化材料、可降解材料布局，产品进入零跑、奇瑞、小鹏、长城等主机厂供应链；2025年营业收入首次突破60亿元，产品销量55.61万吨创历史新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公司定位为功能性高分子复合材料供应商，主营改性塑料（占比约73%）、热塑性弹性体（约13%）、色母粒及可降解材料，应用于汽车轻量化、家电、鞋材、电线电缆等领域。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2025年营收60.56亿元，其中改性塑料类44.00亿元（72.65%）、热塑性弹性体类8.32亿元（13.74%）、其他及色母粒等7亿余元；境内收入53.79亿元（88.83%）、境外6.77亿元（11.17%）。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改性塑料（车用低密度低收缩材料、轻量化LFT等）、热塑性弹性体TPV（新能源冷却管路、汽车脚垫、线缆）、色母粒、可降解材料。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前五大客户销售占比36.98%（2025年）；进入零跑、奇瑞、小鹏、长城等主机厂供应链，并配套家电龙头。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前五大供应商采购占比31.7%（2025年）；主要采购树脂、助剂等。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2025年产品销量55.61万吨（产量约55万吨）；员工2383人；研发投入持续加大（2024年研发费用2.59亿元）；高新技术企业资质。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以直销配套为主，境内为主、境外稳步拓展。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2025年营收60.56亿元（同比+14.25%）、归母净利1.89亿元（+34.03%），产品销量行业领先。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以下为2023—2025年主要财务指标（单位：亿元），数据取自年报。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归母净利润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销售毛利率(%)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资产负债率(%)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经营现金流净额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45.44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约11.9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53.01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1.41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11.84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47.96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-3.01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60.56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12.92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48.08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-0.76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注：2023年毛利率据2024年同比变动推算为约11.9%，资产负债率与经营现金流净额2023年未在本次检索中单列；2024、2025年数据完整取自年报。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毛利率由2024年11.84%升至2025年12.92%，热塑性弹性体板块毛利率升至23.55%成为盈利引擎；净利率2025年3.39%；ROE由4.57%升至5.46%。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2025年末总资产73.80亿元、归母净资产36.40亿元；应收账款随销售增长，存货管控稳健。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资产负债率维持约48%，流动比率1.57、速动比率1.28，有息负债率约49%，偿债压力可控。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经营现金流净额2024年-3.01亿、2025年-0.76亿（同比改善74.86%），主要因票据结算与回款节奏；投资活动现金流为持续资本开支。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在改性塑料行业，道恩股份营收60亿级居前列，盈利与规模优于多数同业；与裕龙石化（上游原料）形成产业链协同。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上市公司规范治理，董事会、监事会健全，2025年股东户数2.25万户。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管理层稳定，董事长主导战略；2025年员工2383人。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通过深交所信息披露与审计（标准无保留意见），内控规范。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员工2383人，研发人员占比提升，人均创收254万元（2025年）。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技术：热塑性弹性体TPV国内领先，弹性体毛利率23.55%。2. 客户：进入多家新能源主机厂供应链。3. 产品矩阵：改性塑料+弹性体+色母+可降解多元。4. 区域：龙口高端化工新材料集群协同。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原料风险：树脂等价格随油价波动。2. 现金流风险：经营现金流阶段性为负。3. 竞争风险：改性塑料产能过剩。4. 应对措施：高端化（弹性体/可降解）、客户多元化、智能降本。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作为上市公司融资以定增、债券为主；山东投资可围绕其上游原料（裕龙石化）与下游配套提供供应链金融服务。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道恩股份是龙口高端化工新材料集群核心上市企业，营收破60亿、盈利改善明显。发展展望：受益汽车轻量化与可降解材料，成长空间广阔。建议：持续提升高端产品占比、改善经营现金流、深化产业链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数据来源说明：道恩股份2023、2024、2025年年度报告（巨潮资讯网）；新浪财经、中国证券报报道；深交所公告。财务数据取自年报。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