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山东济南章丘区（医药及防护用品）特色产业集群</w:t>
      </w:r>
    </w:p>
    <w:p>
      <w:pPr>
        <w:spacing w:lineRule="exact" w:line="600" w:before="240" w:after="240"/>
        <w:ind w:firstLine="0"/>
        <w:jc w:val="center"/>
      </w:pPr>
      <w:r>
        <w:rPr>
          <w:rFonts w:ascii="方正小标宋简体" w:hAnsi="方正小标宋简体" w:eastAsia="方正小标宋简体"/>
          <w:b w:val="0"/>
          <w:color w:val="000000"/>
          <w:sz w:val="44"/>
        </w:rPr>
        <w:t>化学药与医用防护用品行业深度分析报告</w:t>
      </w:r>
    </w:p>
    <w:p>
      <w:pPr>
        <w:spacing w:lineRule="exact" w:line="600" w:before="0" w:after="0"/>
        <w:jc w:val="left"/>
      </w:pPr>
      <w:r>
        <w:rPr>
          <w:rFonts w:ascii="仿宋_GB2312" w:hAnsi="仿宋_GB2312" w:eastAsia="仿宋_GB2312"/>
          <w:b w:val="0"/>
          <w:color w:val="000000"/>
          <w:sz w:val="28"/>
        </w:rPr>
        <w:t>（本报告基于政府公报、工信/发改部门公开数据、企业公开信息编制，数据截至2024年，部分细分领域公开官方统计有限，已依据行业共性事实研判并标注。）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化学药与医用防护用品是章丘医药及防护用品集群的制造基础环节。章丘以华润双鹤利民药业（心脑血管、抗生素、内分泌制剂）为化学药骨干，并集聚医用防护用品生产企业。2024年济南市医药工业（含医疗器械）规上128家、营收446.3亿元；章丘规上工业总产值1251.3亿元。该环节受益于山东省现代医药十强产业政策支持与“链长制”协同。</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济南市医药工业（含医疗器械）规上企业（2024）</w:t>
            </w:r>
          </w:p>
        </w:tc>
        <w:tc>
          <w:tcPr>
            <w:tcW w:type="dxa" w:w="2835"/>
          </w:tcPr>
          <w:p>
            <w:pPr>
              <w:spacing w:lineRule="exact" w:line="600"/>
              <w:jc w:val="center"/>
            </w:pPr>
            <w:r/>
            <w:r>
              <w:rPr>
                <w:rFonts w:ascii="仿宋_GB2312" w:hAnsi="仿宋_GB2312" w:eastAsia="仿宋_GB2312"/>
                <w:b w:val="0"/>
                <w:color w:val="000000"/>
                <w:sz w:val="32"/>
              </w:rPr>
              <w:t>128家</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济南市医药工业营收（2024）</w:t>
            </w:r>
          </w:p>
        </w:tc>
        <w:tc>
          <w:tcPr>
            <w:tcW w:type="dxa" w:w="2835"/>
          </w:tcPr>
          <w:p>
            <w:pPr>
              <w:spacing w:lineRule="exact" w:line="600"/>
              <w:jc w:val="center"/>
            </w:pPr>
            <w:r/>
            <w:r>
              <w:rPr>
                <w:rFonts w:ascii="仿宋_GB2312" w:hAnsi="仿宋_GB2312" w:eastAsia="仿宋_GB2312"/>
                <w:b w:val="0"/>
                <w:color w:val="000000"/>
                <w:sz w:val="32"/>
              </w:rPr>
              <w:t>446.3亿元，+0.8%</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章丘区规上工业总产值（2024）</w:t>
            </w:r>
          </w:p>
        </w:tc>
        <w:tc>
          <w:tcPr>
            <w:tcW w:type="dxa" w:w="2835"/>
          </w:tcPr>
          <w:p>
            <w:pPr>
              <w:spacing w:lineRule="exact" w:line="600"/>
              <w:jc w:val="center"/>
            </w:pPr>
            <w:r/>
            <w:r>
              <w:rPr>
                <w:rFonts w:ascii="仿宋_GB2312" w:hAnsi="仿宋_GB2312" w:eastAsia="仿宋_GB2312"/>
                <w:b w:val="0"/>
                <w:color w:val="000000"/>
                <w:sz w:val="32"/>
              </w:rPr>
              <w:t>1251.3亿元，+3.1%</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r>
        <w:tc>
          <w:tcPr>
            <w:tcW w:type="dxa" w:w="2835"/>
          </w:tcPr>
          <w:p>
            <w:pPr>
              <w:spacing w:lineRule="exact" w:line="600"/>
              <w:jc w:val="center"/>
            </w:pPr>
            <w:r/>
            <w:r>
              <w:rPr>
                <w:rFonts w:ascii="仿宋_GB2312" w:hAnsi="仿宋_GB2312" w:eastAsia="仿宋_GB2312"/>
                <w:b w:val="0"/>
                <w:color w:val="000000"/>
                <w:sz w:val="32"/>
              </w:rPr>
              <w:t>章丘区技改投资（2024）</w:t>
            </w:r>
          </w:p>
        </w:tc>
        <w:tc>
          <w:tcPr>
            <w:tcW w:type="dxa" w:w="2835"/>
          </w:tcPr>
          <w:p>
            <w:pPr>
              <w:spacing w:lineRule="exact" w:line="600"/>
              <w:jc w:val="center"/>
            </w:pPr>
            <w:r/>
            <w:r>
              <w:rPr>
                <w:rFonts w:ascii="仿宋_GB2312" w:hAnsi="仿宋_GB2312" w:eastAsia="仿宋_GB2312"/>
                <w:b w:val="0"/>
                <w:color w:val="000000"/>
                <w:sz w:val="32"/>
              </w:rPr>
              <w:t>71.1亿元，+11.5%</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r>
        <w:tc>
          <w:tcPr>
            <w:tcW w:type="dxa" w:w="2835"/>
          </w:tcPr>
          <w:p>
            <w:pPr>
              <w:spacing w:lineRule="exact" w:line="600"/>
              <w:jc w:val="center"/>
            </w:pPr>
            <w:r/>
            <w:r>
              <w:rPr>
                <w:rFonts w:ascii="仿宋_GB2312" w:hAnsi="仿宋_GB2312" w:eastAsia="仿宋_GB2312"/>
                <w:b w:val="0"/>
                <w:color w:val="000000"/>
                <w:sz w:val="32"/>
              </w:rPr>
              <w:t>章丘区市级重点项目完成投资（2024）</w:t>
            </w:r>
          </w:p>
        </w:tc>
        <w:tc>
          <w:tcPr>
            <w:tcW w:type="dxa" w:w="2835"/>
          </w:tcPr>
          <w:p>
            <w:pPr>
              <w:spacing w:lineRule="exact" w:line="600"/>
              <w:jc w:val="center"/>
            </w:pPr>
            <w:r/>
            <w:r>
              <w:rPr>
                <w:rFonts w:ascii="仿宋_GB2312" w:hAnsi="仿宋_GB2312" w:eastAsia="仿宋_GB2312"/>
                <w:b w:val="0"/>
                <w:color w:val="000000"/>
                <w:sz w:val="32"/>
              </w:rPr>
              <w:t>225亿元（51个项目）</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r>
        <w:tc>
          <w:tcPr>
            <w:tcW w:type="dxa" w:w="2835"/>
          </w:tcPr>
          <w:p>
            <w:pPr>
              <w:spacing w:lineRule="exact" w:line="600"/>
              <w:jc w:val="center"/>
            </w:pPr>
            <w:r/>
            <w:r>
              <w:rPr>
                <w:rFonts w:ascii="仿宋_GB2312" w:hAnsi="仿宋_GB2312" w:eastAsia="仿宋_GB2312"/>
                <w:b w:val="0"/>
                <w:color w:val="000000"/>
                <w:sz w:val="32"/>
              </w:rPr>
              <w:t>章丘区争取专项债（2024）</w:t>
            </w:r>
          </w:p>
        </w:tc>
        <w:tc>
          <w:tcPr>
            <w:tcW w:type="dxa" w:w="2835"/>
          </w:tcPr>
          <w:p>
            <w:pPr>
              <w:spacing w:lineRule="exact" w:line="600"/>
              <w:jc w:val="center"/>
            </w:pPr>
            <w:r/>
            <w:r>
              <w:rPr>
                <w:rFonts w:ascii="仿宋_GB2312" w:hAnsi="仿宋_GB2312" w:eastAsia="仿宋_GB2312"/>
                <w:b w:val="0"/>
                <w:color w:val="000000"/>
                <w:sz w:val="32"/>
              </w:rPr>
              <w:t>7.89亿元</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（一）政策环境</w:t>
      </w:r>
    </w:p>
    <w:p>
      <w:pPr>
        <w:spacing w:lineRule="exact" w:line="600" w:before="0" w:after="0"/>
        <w:ind w:firstLine="420"/>
        <w:jc w:val="both"/>
      </w:pPr>
      <w:r>
        <w:rPr>
          <w:rFonts w:ascii="仿宋_GB2312" w:hAnsi="仿宋_GB2312" w:eastAsia="仿宋_GB2312"/>
          <w:b w:val="0"/>
          <w:color w:val="000000"/>
          <w:sz w:val="32"/>
        </w:rPr>
        <w:t>山东省“十强产业”行动计划将现代医药列为重点，支持化学药高端制剂与一致性评价；国家推动药品集采常态化（来源：山东省鲁政发〔2024〕5号；行业研判）。</w:t>
      </w:r>
    </w:p>
    <w:p>
      <w:pPr>
        <w:spacing w:lineRule="exact" w:line="600" w:before="120" w:after="120"/>
        <w:ind w:firstLine="420"/>
        <w:jc w:val="left"/>
      </w:pPr>
      <w:r>
        <w:rPr>
          <w:rFonts w:ascii="楷体_GB2312" w:hAnsi="楷体_GB2312" w:eastAsia="楷体_GB2312"/>
          <w:b w:val="0"/>
          <w:color w:val="000000"/>
          <w:sz w:val="32"/>
        </w:rPr>
        <w:t>（二）区域基础</w:t>
      </w:r>
    </w:p>
    <w:p>
      <w:pPr>
        <w:spacing w:lineRule="exact" w:line="600" w:before="0" w:after="0"/>
        <w:ind w:firstLine="420"/>
        <w:jc w:val="both"/>
      </w:pPr>
      <w:r>
        <w:rPr>
          <w:rFonts w:ascii="仿宋_GB2312" w:hAnsi="仿宋_GB2312" w:eastAsia="仿宋_GB2312"/>
          <w:b w:val="0"/>
          <w:color w:val="000000"/>
          <w:sz w:val="32"/>
        </w:rPr>
        <w:t>章丘区2024年规上工业总产值1251.3亿元、增长3.1%，化学药与防护用品为传统优势制造环节；全区技改投资71.1亿元、增长11.5%（来源：章丘区2024年计划执行情况报告）。</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济南市医药工业（含医疗器械）规上企业（2024）</w:t>
            </w:r>
          </w:p>
        </w:tc>
        <w:tc>
          <w:tcPr>
            <w:tcW w:type="dxa" w:w="2835"/>
          </w:tcPr>
          <w:p>
            <w:pPr>
              <w:spacing w:lineRule="exact" w:line="600"/>
              <w:jc w:val="center"/>
            </w:pPr>
            <w:r/>
            <w:r>
              <w:rPr>
                <w:rFonts w:ascii="仿宋_GB2312" w:hAnsi="仿宋_GB2312" w:eastAsia="仿宋_GB2312"/>
                <w:b w:val="0"/>
                <w:color w:val="000000"/>
                <w:sz w:val="32"/>
              </w:rPr>
              <w:t>128家</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济南市医药工业营收（2024）</w:t>
            </w:r>
          </w:p>
        </w:tc>
        <w:tc>
          <w:tcPr>
            <w:tcW w:type="dxa" w:w="2835"/>
          </w:tcPr>
          <w:p>
            <w:pPr>
              <w:spacing w:lineRule="exact" w:line="600"/>
              <w:jc w:val="center"/>
            </w:pPr>
            <w:r/>
            <w:r>
              <w:rPr>
                <w:rFonts w:ascii="仿宋_GB2312" w:hAnsi="仿宋_GB2312" w:eastAsia="仿宋_GB2312"/>
                <w:b w:val="0"/>
                <w:color w:val="000000"/>
                <w:sz w:val="32"/>
              </w:rPr>
              <w:t>446.3亿元，+0.8%</w:t>
            </w:r>
          </w:p>
        </w:tc>
        <w:tc>
          <w:tcPr>
            <w:tcW w:type="dxa" w:w="3118"/>
          </w:tcPr>
          <w:p>
            <w:pPr>
              <w:spacing w:lineRule="exact" w:line="600"/>
              <w:jc w:val="center"/>
            </w:pPr>
            <w:r/>
            <w:r>
              <w:rPr>
                <w:rFonts w:ascii="仿宋_GB2312" w:hAnsi="仿宋_GB2312" w:eastAsia="仿宋_GB2312"/>
                <w:b w:val="0"/>
                <w:color w:val="000000"/>
                <w:sz w:val="32"/>
              </w:rPr>
              <w:t>济南市工信局，2025</w:t>
            </w:r>
          </w:p>
        </w:tc>
      </w:tr>
      <w:tr>
        <w:tc>
          <w:tcPr>
            <w:tcW w:type="dxa" w:w="2835"/>
          </w:tcPr>
          <w:p>
            <w:pPr>
              <w:spacing w:lineRule="exact" w:line="600"/>
              <w:jc w:val="center"/>
            </w:pPr>
            <w:r/>
            <w:r>
              <w:rPr>
                <w:rFonts w:ascii="仿宋_GB2312" w:hAnsi="仿宋_GB2312" w:eastAsia="仿宋_GB2312"/>
                <w:b w:val="0"/>
                <w:color w:val="000000"/>
                <w:sz w:val="32"/>
              </w:rPr>
              <w:t>章丘区规上工业总产值（2024）</w:t>
            </w:r>
          </w:p>
        </w:tc>
        <w:tc>
          <w:tcPr>
            <w:tcW w:type="dxa" w:w="2835"/>
          </w:tcPr>
          <w:p>
            <w:pPr>
              <w:spacing w:lineRule="exact" w:line="600"/>
              <w:jc w:val="center"/>
            </w:pPr>
            <w:r/>
            <w:r>
              <w:rPr>
                <w:rFonts w:ascii="仿宋_GB2312" w:hAnsi="仿宋_GB2312" w:eastAsia="仿宋_GB2312"/>
                <w:b w:val="0"/>
                <w:color w:val="000000"/>
                <w:sz w:val="32"/>
              </w:rPr>
              <w:t>1251.3亿元，+3.1%</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r>
        <w:tc>
          <w:tcPr>
            <w:tcW w:type="dxa" w:w="2835"/>
          </w:tcPr>
          <w:p>
            <w:pPr>
              <w:spacing w:lineRule="exact" w:line="600"/>
              <w:jc w:val="center"/>
            </w:pPr>
            <w:r/>
            <w:r>
              <w:rPr>
                <w:rFonts w:ascii="仿宋_GB2312" w:hAnsi="仿宋_GB2312" w:eastAsia="仿宋_GB2312"/>
                <w:b w:val="0"/>
                <w:color w:val="000000"/>
                <w:sz w:val="32"/>
              </w:rPr>
              <w:t>章丘区技改投资（2024）</w:t>
            </w:r>
          </w:p>
        </w:tc>
        <w:tc>
          <w:tcPr>
            <w:tcW w:type="dxa" w:w="2835"/>
          </w:tcPr>
          <w:p>
            <w:pPr>
              <w:spacing w:lineRule="exact" w:line="600"/>
              <w:jc w:val="center"/>
            </w:pPr>
            <w:r/>
            <w:r>
              <w:rPr>
                <w:rFonts w:ascii="仿宋_GB2312" w:hAnsi="仿宋_GB2312" w:eastAsia="仿宋_GB2312"/>
                <w:b w:val="0"/>
                <w:color w:val="000000"/>
                <w:sz w:val="32"/>
              </w:rPr>
              <w:t>71.1亿元，+11.5%</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r>
        <w:tc>
          <w:tcPr>
            <w:tcW w:type="dxa" w:w="2835"/>
          </w:tcPr>
          <w:p>
            <w:pPr>
              <w:spacing w:lineRule="exact" w:line="600"/>
              <w:jc w:val="center"/>
            </w:pPr>
            <w:r/>
            <w:r>
              <w:rPr>
                <w:rFonts w:ascii="仿宋_GB2312" w:hAnsi="仿宋_GB2312" w:eastAsia="仿宋_GB2312"/>
                <w:b w:val="0"/>
                <w:color w:val="000000"/>
                <w:sz w:val="32"/>
              </w:rPr>
              <w:t>章丘区市级重点项目完成投资（2024）</w:t>
            </w:r>
          </w:p>
        </w:tc>
        <w:tc>
          <w:tcPr>
            <w:tcW w:type="dxa" w:w="2835"/>
          </w:tcPr>
          <w:p>
            <w:pPr>
              <w:spacing w:lineRule="exact" w:line="600"/>
              <w:jc w:val="center"/>
            </w:pPr>
            <w:r/>
            <w:r>
              <w:rPr>
                <w:rFonts w:ascii="仿宋_GB2312" w:hAnsi="仿宋_GB2312" w:eastAsia="仿宋_GB2312"/>
                <w:b w:val="0"/>
                <w:color w:val="000000"/>
                <w:sz w:val="32"/>
              </w:rPr>
              <w:t>225亿元（51个项目）</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r>
        <w:tc>
          <w:tcPr>
            <w:tcW w:type="dxa" w:w="2835"/>
          </w:tcPr>
          <w:p>
            <w:pPr>
              <w:spacing w:lineRule="exact" w:line="600"/>
              <w:jc w:val="center"/>
            </w:pPr>
            <w:r/>
            <w:r>
              <w:rPr>
                <w:rFonts w:ascii="仿宋_GB2312" w:hAnsi="仿宋_GB2312" w:eastAsia="仿宋_GB2312"/>
                <w:b w:val="0"/>
                <w:color w:val="000000"/>
                <w:sz w:val="32"/>
              </w:rPr>
              <w:t>章丘区争取专项债（2024）</w:t>
            </w:r>
          </w:p>
        </w:tc>
        <w:tc>
          <w:tcPr>
            <w:tcW w:type="dxa" w:w="2835"/>
          </w:tcPr>
          <w:p>
            <w:pPr>
              <w:spacing w:lineRule="exact" w:line="600"/>
              <w:jc w:val="center"/>
            </w:pPr>
            <w:r/>
            <w:r>
              <w:rPr>
                <w:rFonts w:ascii="仿宋_GB2312" w:hAnsi="仿宋_GB2312" w:eastAsia="仿宋_GB2312"/>
                <w:b w:val="0"/>
                <w:color w:val="000000"/>
                <w:sz w:val="32"/>
              </w:rPr>
              <w:t>7.89亿元</w:t>
            </w:r>
          </w:p>
        </w:tc>
        <w:tc>
          <w:tcPr>
            <w:tcW w:type="dxa" w:w="3118"/>
          </w:tcPr>
          <w:p>
            <w:pPr>
              <w:spacing w:lineRule="exact" w:line="600"/>
              <w:jc w:val="center"/>
            </w:pPr>
            <w:r/>
            <w:r>
              <w:rPr>
                <w:rFonts w:ascii="仿宋_GB2312" w:hAnsi="仿宋_GB2312" w:eastAsia="仿宋_GB2312"/>
                <w:b w:val="0"/>
                <w:color w:val="000000"/>
                <w:sz w:val="32"/>
              </w:rPr>
              <w:t>章丘区2024年计划报告</w:t>
            </w:r>
          </w:p>
        </w:tc>
      </w:tr>
    </w:tbl>
    <w:p>
      <w:pPr>
        <w:spacing w:lineRule="exact" w:line="600" w:before="120" w:after="120"/>
        <w:ind w:firstLine="420"/>
        <w:jc w:val="left"/>
      </w:pPr>
      <w:r>
        <w:rPr>
          <w:rFonts w:ascii="楷体_GB2312" w:hAnsi="楷体_GB2312" w:eastAsia="楷体_GB2312"/>
          <w:b w:val="0"/>
          <w:color w:val="000000"/>
          <w:sz w:val="32"/>
        </w:rPr>
        <w:t>（一）章丘区产业宏观环境（真实检索补充）</w:t>
      </w:r>
    </w:p>
    <w:p>
      <w:pPr>
        <w:spacing w:lineRule="exact" w:line="600" w:before="0" w:after="0"/>
        <w:ind w:firstLine="420"/>
        <w:jc w:val="both"/>
      </w:pPr>
      <w:r>
        <w:rPr>
          <w:rFonts w:ascii="仿宋_GB2312" w:hAnsi="仿宋_GB2312" w:eastAsia="仿宋_GB2312"/>
          <w:b w:val="0"/>
          <w:color w:val="000000"/>
          <w:sz w:val="32"/>
        </w:rPr>
        <w:t>章丘区2024年实现地区生产总值1301.3亿元、增长6%，规上工业总产值1251.3亿元、增长3.1%，制造业增加值占GDP比重达32.3%；依托国家级明水经济技术开发区与省级刁镇化工产业园两大载体，构建“2+2+3”现代产业体系，将生物医药列为两大新兴产业集群之一。（来源：章丘区2024年国民经济和社会发展计划执行报告、2025年政府工作报告）（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969"/>
          </w:tcPr>
          <w:p>
            <w:pPr>
              <w:spacing w:lineRule="exact" w:line="600"/>
              <w:jc w:val="center"/>
            </w:pPr>
            <w:r/>
            <w:r>
              <w:rPr>
                <w:rFonts w:ascii="黑体" w:hAnsi="黑体" w:eastAsia="黑体"/>
                <w:b/>
                <w:color w:val="000000"/>
                <w:sz w:val="32"/>
              </w:rPr>
              <w:t>章丘区宏观指标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来源/年份</w:t>
            </w:r>
          </w:p>
        </w:tc>
      </w:tr>
      <w:tr>
        <w:tc>
          <w:tcPr>
            <w:tcW w:type="dxa" w:w="3969"/>
          </w:tcPr>
          <w:p>
            <w:pPr>
              <w:spacing w:lineRule="exact" w:line="600"/>
              <w:jc w:val="center"/>
            </w:pPr>
            <w:r/>
            <w:r>
              <w:rPr>
                <w:rFonts w:ascii="仿宋_GB2312" w:hAnsi="仿宋_GB2312" w:eastAsia="仿宋_GB2312"/>
                <w:b w:val="0"/>
                <w:color w:val="000000"/>
                <w:sz w:val="32"/>
              </w:rPr>
              <w:t>地区生产总值</w:t>
            </w:r>
          </w:p>
        </w:tc>
        <w:tc>
          <w:tcPr>
            <w:tcW w:type="dxa" w:w="2835"/>
          </w:tcPr>
          <w:p>
            <w:pPr>
              <w:spacing w:lineRule="exact" w:line="600"/>
              <w:jc w:val="center"/>
            </w:pPr>
            <w:r/>
            <w:r>
              <w:rPr>
                <w:rFonts w:ascii="仿宋_GB2312" w:hAnsi="仿宋_GB2312" w:eastAsia="仿宋_GB2312"/>
                <w:b w:val="0"/>
                <w:color w:val="000000"/>
                <w:sz w:val="32"/>
              </w:rPr>
              <w:t>1301.3亿元（增长6%）</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规上工业总产值</w:t>
            </w:r>
          </w:p>
        </w:tc>
        <w:tc>
          <w:tcPr>
            <w:tcW w:type="dxa" w:w="2835"/>
          </w:tcPr>
          <w:p>
            <w:pPr>
              <w:spacing w:lineRule="exact" w:line="600"/>
              <w:jc w:val="center"/>
            </w:pPr>
            <w:r/>
            <w:r>
              <w:rPr>
                <w:rFonts w:ascii="仿宋_GB2312" w:hAnsi="仿宋_GB2312" w:eastAsia="仿宋_GB2312"/>
                <w:b w:val="0"/>
                <w:color w:val="000000"/>
                <w:sz w:val="32"/>
              </w:rPr>
              <w:t>1251.3亿元（增长3.1%）</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制造业增加值占GDP</w:t>
            </w:r>
          </w:p>
        </w:tc>
        <w:tc>
          <w:tcPr>
            <w:tcW w:type="dxa" w:w="2835"/>
          </w:tcPr>
          <w:p>
            <w:pPr>
              <w:spacing w:lineRule="exact" w:line="600"/>
              <w:jc w:val="center"/>
            </w:pPr>
            <w:r/>
            <w:r>
              <w:rPr>
                <w:rFonts w:ascii="仿宋_GB2312" w:hAnsi="仿宋_GB2312" w:eastAsia="仿宋_GB2312"/>
                <w:b w:val="0"/>
                <w:color w:val="000000"/>
                <w:sz w:val="32"/>
              </w:rPr>
              <w:t>32.3%</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规上工业企业</w:t>
            </w:r>
          </w:p>
        </w:tc>
        <w:tc>
          <w:tcPr>
            <w:tcW w:type="dxa" w:w="2835"/>
          </w:tcPr>
          <w:p>
            <w:pPr>
              <w:spacing w:lineRule="exact" w:line="600"/>
              <w:jc w:val="center"/>
            </w:pPr>
            <w:r/>
            <w:r>
              <w:rPr>
                <w:rFonts w:ascii="仿宋_GB2312" w:hAnsi="仿宋_GB2312" w:eastAsia="仿宋_GB2312"/>
                <w:b w:val="0"/>
                <w:color w:val="000000"/>
                <w:sz w:val="32"/>
              </w:rPr>
              <w:t>579家（占全市20.35%）</w:t>
            </w:r>
          </w:p>
        </w:tc>
        <w:tc>
          <w:tcPr>
            <w:tcW w:type="dxa" w:w="2551"/>
          </w:tcPr>
          <w:p>
            <w:pPr>
              <w:spacing w:lineRule="exact" w:line="600"/>
              <w:jc w:val="center"/>
            </w:pPr>
            <w:r/>
            <w:r>
              <w:rPr>
                <w:rFonts w:ascii="仿宋_GB2312" w:hAnsi="仿宋_GB2312" w:eastAsia="仿宋_GB2312"/>
                <w:b w:val="0"/>
                <w:color w:val="000000"/>
                <w:sz w:val="32"/>
              </w:rPr>
              <w:t>章丘区2024年</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（一）化学药产业链</w:t>
      </w:r>
    </w:p>
    <w:p>
      <w:pPr>
        <w:spacing w:lineRule="exact" w:line="600" w:before="0" w:after="0"/>
        <w:ind w:firstLine="420"/>
        <w:jc w:val="both"/>
      </w:pPr>
      <w:r>
        <w:rPr>
          <w:rFonts w:ascii="仿宋_GB2312" w:hAnsi="仿宋_GB2312" w:eastAsia="仿宋_GB2312"/>
          <w:b w:val="0"/>
          <w:color w:val="000000"/>
          <w:sz w:val="32"/>
        </w:rPr>
        <w:t>化学药上游为原料药与辅料，中游为制剂（片剂、注射剂、胶囊），下游为医院与零售药房。章丘以华润双鹤利民为骨干，形成心脑血管、抗生素、内分泌等制剂能力（来源：章丘区重点产业报道）。</w:t>
      </w:r>
    </w:p>
    <w:p>
      <w:pPr>
        <w:spacing w:lineRule="exact" w:line="600" w:before="120" w:after="120"/>
        <w:ind w:firstLine="420"/>
        <w:jc w:val="left"/>
      </w:pPr>
      <w:r>
        <w:rPr>
          <w:rFonts w:ascii="楷体_GB2312" w:hAnsi="楷体_GB2312" w:eastAsia="楷体_GB2312"/>
          <w:b w:val="0"/>
          <w:color w:val="000000"/>
          <w:sz w:val="32"/>
        </w:rPr>
        <w:t>（二）防护用品链条</w:t>
      </w:r>
    </w:p>
    <w:p>
      <w:pPr>
        <w:spacing w:lineRule="exact" w:line="600" w:before="0" w:after="0"/>
        <w:ind w:firstLine="420"/>
        <w:jc w:val="both"/>
      </w:pPr>
      <w:r>
        <w:rPr>
          <w:rFonts w:ascii="仿宋_GB2312" w:hAnsi="仿宋_GB2312" w:eastAsia="仿宋_GB2312"/>
          <w:b w:val="0"/>
          <w:color w:val="000000"/>
          <w:sz w:val="32"/>
        </w:rPr>
        <w:t>医用防护用品涵盖口罩、防护服、消毒产品等，章丘依托化工与纺织基础发展防护材料与制品，与博科生物安全防护设备形成协同（来源：章丘区重点产业报道；行业研判）。</w:t>
      </w:r>
    </w:p>
    <w:p>
      <w:pPr>
        <w:spacing w:lineRule="exact" w:line="600" w:before="120" w:after="120"/>
        <w:ind w:firstLine="420"/>
        <w:jc w:val="left"/>
      </w:pPr>
      <w:r>
        <w:rPr>
          <w:rFonts w:ascii="楷体_GB2312" w:hAnsi="楷体_GB2312" w:eastAsia="楷体_GB2312"/>
          <w:b w:val="0"/>
          <w:color w:val="000000"/>
          <w:sz w:val="32"/>
        </w:rPr>
        <w:t>（二）章丘生物医药产业链（真实检索补充）</w:t>
      </w:r>
    </w:p>
    <w:p>
      <w:pPr>
        <w:spacing w:lineRule="exact" w:line="600" w:before="0" w:after="0"/>
        <w:ind w:firstLine="420"/>
        <w:jc w:val="both"/>
      </w:pPr>
      <w:r>
        <w:rPr>
          <w:rFonts w:ascii="仿宋_GB2312" w:hAnsi="仿宋_GB2312" w:eastAsia="仿宋_GB2312"/>
          <w:b w:val="0"/>
          <w:color w:val="000000"/>
          <w:sz w:val="32"/>
        </w:rPr>
        <w:t>章丘生物医药产业链呈“上游生物原料与医药中间体—中游制剂与原料药—下游医疗防疫应用”格局：上游依托刁镇化工产业园圣泉集团以玉米芯、秸秆等生物原料发展生物化工与医药中间体；中游聚集科兴生物（生物制药谷扩建投产）、华润双鹤利民制药（固体制剂车间项目）等龙头企业；下游对接医院、防疫与医药流通。医药及防护用品产业集群已入选省级特色产业集群；上游生物化工依托刁镇化工产业园，2024年园区工业总产值234.18亿元，生物化工与医药中间体为三大主导产业之一。（来源：章丘区2024年计划执行报告、刁镇化工园资料）（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产业链环节</w:t>
            </w:r>
          </w:p>
        </w:tc>
        <w:tc>
          <w:tcPr>
            <w:tcW w:type="dxa" w:w="3969"/>
          </w:tcPr>
          <w:p>
            <w:pPr>
              <w:spacing w:lineRule="exact" w:line="600"/>
              <w:jc w:val="center"/>
            </w:pPr>
            <w:r/>
            <w:r>
              <w:rPr>
                <w:rFonts w:ascii="黑体" w:hAnsi="黑体" w:eastAsia="黑体"/>
                <w:b/>
                <w:color w:val="000000"/>
                <w:sz w:val="32"/>
              </w:rPr>
              <w:t>代表主体/内容</w:t>
            </w:r>
          </w:p>
        </w:tc>
        <w:tc>
          <w:tcPr>
            <w:tcW w:type="dxa" w:w="2551"/>
          </w:tcPr>
          <w:p>
            <w:pPr>
              <w:spacing w:lineRule="exact" w:line="600"/>
              <w:jc w:val="center"/>
            </w:pPr>
            <w:r/>
            <w:r>
              <w:rPr>
                <w:rFonts w:ascii="黑体" w:hAnsi="黑体" w:eastAsia="黑体"/>
                <w:b/>
                <w:color w:val="000000"/>
                <w:sz w:val="32"/>
              </w:rPr>
              <w:t>载体/数值</w:t>
            </w:r>
          </w:p>
        </w:tc>
      </w:tr>
      <w:tr>
        <w:tc>
          <w:tcPr>
            <w:tcW w:type="dxa" w:w="2835"/>
          </w:tcPr>
          <w:p>
            <w:pPr>
              <w:spacing w:lineRule="exact" w:line="600"/>
              <w:jc w:val="center"/>
            </w:pPr>
            <w:r/>
            <w:r>
              <w:rPr>
                <w:rFonts w:ascii="仿宋_GB2312" w:hAnsi="仿宋_GB2312" w:eastAsia="仿宋_GB2312"/>
                <w:b w:val="0"/>
                <w:color w:val="000000"/>
                <w:sz w:val="32"/>
              </w:rPr>
              <w:t>上游</w:t>
            </w:r>
          </w:p>
        </w:tc>
        <w:tc>
          <w:tcPr>
            <w:tcW w:type="dxa" w:w="3969"/>
          </w:tcPr>
          <w:p>
            <w:pPr>
              <w:spacing w:lineRule="exact" w:line="600"/>
              <w:jc w:val="center"/>
            </w:pPr>
            <w:r/>
            <w:r>
              <w:rPr>
                <w:rFonts w:ascii="仿宋_GB2312" w:hAnsi="仿宋_GB2312" w:eastAsia="仿宋_GB2312"/>
                <w:b w:val="0"/>
                <w:color w:val="000000"/>
                <w:sz w:val="32"/>
              </w:rPr>
              <w:t>圣泉生物化工/医药中间体（玉米芯、秸秆）</w:t>
            </w:r>
          </w:p>
        </w:tc>
        <w:tc>
          <w:tcPr>
            <w:tcW w:type="dxa" w:w="2551"/>
          </w:tcPr>
          <w:p>
            <w:pPr>
              <w:spacing w:lineRule="exact" w:line="600"/>
              <w:jc w:val="center"/>
            </w:pPr>
            <w:r/>
            <w:r>
              <w:rPr>
                <w:rFonts w:ascii="仿宋_GB2312" w:hAnsi="仿宋_GB2312" w:eastAsia="仿宋_GB2312"/>
                <w:b w:val="0"/>
                <w:color w:val="000000"/>
                <w:sz w:val="32"/>
              </w:rPr>
              <w:t>刁镇化工产业园</w:t>
            </w:r>
          </w:p>
        </w:tc>
      </w:tr>
      <w:tr>
        <w:tc>
          <w:tcPr>
            <w:tcW w:type="dxa" w:w="2835"/>
          </w:tcPr>
          <w:p>
            <w:pPr>
              <w:spacing w:lineRule="exact" w:line="600"/>
              <w:jc w:val="center"/>
            </w:pPr>
            <w:r/>
            <w:r>
              <w:rPr>
                <w:rFonts w:ascii="仿宋_GB2312" w:hAnsi="仿宋_GB2312" w:eastAsia="仿宋_GB2312"/>
                <w:b w:val="0"/>
                <w:color w:val="000000"/>
                <w:sz w:val="32"/>
              </w:rPr>
              <w:t>中游</w:t>
            </w:r>
          </w:p>
        </w:tc>
        <w:tc>
          <w:tcPr>
            <w:tcW w:type="dxa" w:w="3969"/>
          </w:tcPr>
          <w:p>
            <w:pPr>
              <w:spacing w:lineRule="exact" w:line="600"/>
              <w:jc w:val="center"/>
            </w:pPr>
            <w:r/>
            <w:r>
              <w:rPr>
                <w:rFonts w:ascii="仿宋_GB2312" w:hAnsi="仿宋_GB2312" w:eastAsia="仿宋_GB2312"/>
                <w:b w:val="0"/>
                <w:color w:val="000000"/>
                <w:sz w:val="32"/>
              </w:rPr>
              <w:t>科兴生物、华润双鹤利民等制剂与原料药</w:t>
            </w:r>
          </w:p>
        </w:tc>
        <w:tc>
          <w:tcPr>
            <w:tcW w:type="dxa" w:w="2551"/>
          </w:tcPr>
          <w:p>
            <w:pPr>
              <w:spacing w:lineRule="exact" w:line="600"/>
              <w:jc w:val="center"/>
            </w:pPr>
            <w:r/>
            <w:r>
              <w:rPr>
                <w:rFonts w:ascii="仿宋_GB2312" w:hAnsi="仿宋_GB2312" w:eastAsia="仿宋_GB2312"/>
                <w:b w:val="0"/>
                <w:color w:val="000000"/>
                <w:sz w:val="32"/>
              </w:rPr>
              <w:t>明水经开区</w:t>
            </w:r>
          </w:p>
        </w:tc>
      </w:tr>
      <w:tr>
        <w:tc>
          <w:tcPr>
            <w:tcW w:type="dxa" w:w="2835"/>
          </w:tcPr>
          <w:p>
            <w:pPr>
              <w:spacing w:lineRule="exact" w:line="600"/>
              <w:jc w:val="center"/>
            </w:pPr>
            <w:r/>
            <w:r>
              <w:rPr>
                <w:rFonts w:ascii="仿宋_GB2312" w:hAnsi="仿宋_GB2312" w:eastAsia="仿宋_GB2312"/>
                <w:b w:val="0"/>
                <w:color w:val="000000"/>
                <w:sz w:val="32"/>
              </w:rPr>
              <w:t>下游</w:t>
            </w:r>
          </w:p>
        </w:tc>
        <w:tc>
          <w:tcPr>
            <w:tcW w:type="dxa" w:w="3969"/>
          </w:tcPr>
          <w:p>
            <w:pPr>
              <w:spacing w:lineRule="exact" w:line="600"/>
              <w:jc w:val="center"/>
            </w:pPr>
            <w:r/>
            <w:r>
              <w:rPr>
                <w:rFonts w:ascii="仿宋_GB2312" w:hAnsi="仿宋_GB2312" w:eastAsia="仿宋_GB2312"/>
                <w:b w:val="0"/>
                <w:color w:val="000000"/>
                <w:sz w:val="32"/>
              </w:rPr>
              <w:t>医院/防疫/医药流通</w:t>
            </w:r>
          </w:p>
        </w:tc>
        <w:tc>
          <w:tcPr>
            <w:tcW w:type="dxa" w:w="2551"/>
          </w:tcPr>
          <w:p>
            <w:pPr>
              <w:spacing w:lineRule="exact" w:line="600"/>
              <w:jc w:val="center"/>
            </w:pPr>
            <w:r/>
            <w:r>
              <w:rPr>
                <w:rFonts w:ascii="仿宋_GB2312" w:hAnsi="仿宋_GB2312" w:eastAsia="仿宋_GB2312"/>
                <w:b w:val="0"/>
                <w:color w:val="000000"/>
                <w:sz w:val="32"/>
              </w:rPr>
              <w:t>省级特色产业集群</w:t>
            </w:r>
          </w:p>
        </w:tc>
      </w:tr>
      <w:tr>
        <w:tc>
          <w:tcPr>
            <w:tcW w:type="dxa" w:w="2835"/>
          </w:tcPr>
          <w:p>
            <w:pPr>
              <w:spacing w:lineRule="exact" w:line="600"/>
              <w:jc w:val="center"/>
            </w:pPr>
            <w:r/>
            <w:r>
              <w:rPr>
                <w:rFonts w:ascii="仿宋_GB2312" w:hAnsi="仿宋_GB2312" w:eastAsia="仿宋_GB2312"/>
                <w:b w:val="0"/>
                <w:color w:val="000000"/>
                <w:sz w:val="32"/>
              </w:rPr>
              <w:t>刁镇化工园产值</w:t>
            </w:r>
          </w:p>
        </w:tc>
        <w:tc>
          <w:tcPr>
            <w:tcW w:type="dxa" w:w="3969"/>
          </w:tcPr>
          <w:p>
            <w:pPr>
              <w:spacing w:lineRule="exact" w:line="600"/>
              <w:jc w:val="center"/>
            </w:pPr>
            <w:r/>
            <w:r>
              <w:rPr>
                <w:rFonts w:ascii="仿宋_GB2312" w:hAnsi="仿宋_GB2312" w:eastAsia="仿宋_GB2312"/>
                <w:b w:val="0"/>
                <w:color w:val="000000"/>
                <w:sz w:val="32"/>
              </w:rPr>
              <w:t>234.18亿元（2024）</w:t>
            </w:r>
          </w:p>
        </w:tc>
        <w:tc>
          <w:tcPr>
            <w:tcW w:type="dxa" w:w="2551"/>
          </w:tcPr>
          <w:p>
            <w:pPr>
              <w:spacing w:lineRule="exact" w:line="600"/>
              <w:jc w:val="center"/>
            </w:pPr>
            <w:r/>
            <w:r>
              <w:rPr>
                <w:rFonts w:ascii="仿宋_GB2312" w:hAnsi="仿宋_GB2312" w:eastAsia="仿宋_GB2312"/>
                <w:b w:val="0"/>
                <w:color w:val="000000"/>
                <w:sz w:val="32"/>
              </w:rPr>
              <w:t>刁镇化工园</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（一）供需格局</w:t>
      </w:r>
    </w:p>
    <w:p>
      <w:pPr>
        <w:spacing w:lineRule="exact" w:line="600" w:before="0" w:after="0"/>
        <w:ind w:firstLine="420"/>
        <w:jc w:val="both"/>
      </w:pPr>
      <w:r>
        <w:rPr>
          <w:rFonts w:ascii="仿宋_GB2312" w:hAnsi="仿宋_GB2312" w:eastAsia="仿宋_GB2312"/>
          <w:b w:val="0"/>
          <w:color w:val="000000"/>
          <w:sz w:val="32"/>
        </w:rPr>
        <w:t>中国化学药市场庞大但集采压价明显，2024年常态化集采覆盖多类制剂；章丘化学药以华润双鹤品牌与渠道优势稳占省内市场（来源：行业研判；章丘区重点产业报道）。</w:t>
      </w:r>
    </w:p>
    <w:p>
      <w:pPr>
        <w:spacing w:lineRule="exact" w:line="600" w:before="120" w:after="120"/>
        <w:ind w:firstLine="420"/>
        <w:jc w:val="left"/>
      </w:pPr>
      <w:r>
        <w:rPr>
          <w:rFonts w:ascii="楷体_GB2312" w:hAnsi="楷体_GB2312" w:eastAsia="楷体_GB2312"/>
          <w:b w:val="0"/>
          <w:color w:val="000000"/>
          <w:sz w:val="32"/>
        </w:rPr>
        <w:t>（二）竞争与份额</w:t>
      </w:r>
    </w:p>
    <w:p>
      <w:pPr>
        <w:spacing w:lineRule="exact" w:line="600" w:before="0" w:after="0"/>
        <w:ind w:firstLine="420"/>
        <w:jc w:val="both"/>
      </w:pPr>
      <w:r>
        <w:rPr>
          <w:rFonts w:ascii="仿宋_GB2312" w:hAnsi="仿宋_GB2312" w:eastAsia="仿宋_GB2312"/>
          <w:b w:val="0"/>
          <w:color w:val="000000"/>
          <w:sz w:val="32"/>
        </w:rPr>
        <w:t>国内化学药竞争集中于恒瑞、齐鲁、华润双鹤等；华润双鹤利民借助集团渠道在心脑血管与抗生素制剂具备稳定份额（来源：章丘区重点产业报道）。医用防护用品后疫情需求回归常态，竞争转向质量与成本（来源：行业研判）。</w:t>
      </w:r>
    </w:p>
    <w:p>
      <w:pPr>
        <w:spacing w:lineRule="exact" w:line="600" w:before="120" w:after="120"/>
        <w:ind w:firstLine="420"/>
        <w:jc w:val="left"/>
      </w:pPr>
      <w:r>
        <w:rPr>
          <w:rFonts w:ascii="楷体_GB2312" w:hAnsi="楷体_GB2312" w:eastAsia="楷体_GB2312"/>
          <w:b w:val="0"/>
          <w:color w:val="000000"/>
          <w:sz w:val="32"/>
        </w:rPr>
        <w:t>章丘生物医药市场供需与竞争（本批真实数据补充·来源见正文）</w:t>
      </w:r>
    </w:p>
    <w:p>
      <w:pPr>
        <w:spacing w:lineRule="exact" w:line="600" w:before="0" w:after="0"/>
        <w:ind w:firstLine="420"/>
        <w:jc w:val="both"/>
      </w:pPr>
      <w:r>
        <w:rPr>
          <w:rFonts w:ascii="仿宋_GB2312" w:hAnsi="仿宋_GB2312" w:eastAsia="仿宋_GB2312"/>
          <w:b w:val="0"/>
          <w:color w:val="000000"/>
          <w:sz w:val="32"/>
        </w:rPr>
        <w:t>明水经济技术开发区医药及防护用品特色产业集群是山东省特色产业集群，现有生物医药关联企业157家（其中医药类109家、医疗物资生产48家、规模以上18家），2021年产值超过130亿元，获2022年度山东省特色产业集群综合评价第一名。以科兴生物制药（重组蛋白药物、微生态制剂）、山东博科生物（体外诊断设备及试剂，目标向百亿级迈进）、华润双鹤利民药业、济南明鑫制药等为龙头，形成生物制药、化学药、医疗器械、医药流通协同发展的产业体系；体外诊断与化学药领域加速进口替代，下游需求受益于全国医药市场持续增长与基层医疗扩容。（来源：济南市工信局、章丘区、明水经开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关联企业</w:t>
            </w:r>
          </w:p>
        </w:tc>
        <w:tc>
          <w:tcPr>
            <w:tcW w:type="dxa" w:w="2835"/>
          </w:tcPr>
          <w:p>
            <w:pPr>
              <w:spacing w:lineRule="exact" w:line="600"/>
              <w:jc w:val="center"/>
            </w:pPr>
            <w:r/>
            <w:r>
              <w:rPr>
                <w:rFonts w:ascii="仿宋_GB2312" w:hAnsi="仿宋_GB2312" w:eastAsia="仿宋_GB2312"/>
                <w:b w:val="0"/>
                <w:color w:val="000000"/>
                <w:sz w:val="32"/>
              </w:rPr>
              <w:t>157家（医药109/医疗物资48/规上18）</w:t>
            </w:r>
          </w:p>
        </w:tc>
        <w:tc>
          <w:tcPr>
            <w:tcW w:type="dxa" w:w="2551"/>
          </w:tcPr>
          <w:p>
            <w:pPr>
              <w:spacing w:lineRule="exact" w:line="600"/>
              <w:jc w:val="center"/>
            </w:pPr>
            <w:r/>
            <w:r>
              <w:rPr>
                <w:rFonts w:ascii="仿宋_GB2312" w:hAnsi="仿宋_GB2312" w:eastAsia="仿宋_GB2312"/>
                <w:b w:val="0"/>
                <w:color w:val="000000"/>
                <w:sz w:val="32"/>
              </w:rPr>
              <w:t>省级集群第一</w:t>
            </w:r>
          </w:p>
        </w:tc>
      </w:tr>
      <w:tr>
        <w:tc>
          <w:tcPr>
            <w:tcW w:type="dxa" w:w="3118"/>
          </w:tcPr>
          <w:p>
            <w:pPr>
              <w:spacing w:lineRule="exact" w:line="600"/>
              <w:jc w:val="center"/>
            </w:pPr>
            <w:r/>
            <w:r>
              <w:rPr>
                <w:rFonts w:ascii="仿宋_GB2312" w:hAnsi="仿宋_GB2312" w:eastAsia="仿宋_GB2312"/>
                <w:b w:val="0"/>
                <w:color w:val="000000"/>
                <w:sz w:val="32"/>
              </w:rPr>
              <w:t>2021产值</w:t>
            </w:r>
          </w:p>
        </w:tc>
        <w:tc>
          <w:tcPr>
            <w:tcW w:type="dxa" w:w="2835"/>
          </w:tcPr>
          <w:p>
            <w:pPr>
              <w:spacing w:lineRule="exact" w:line="600"/>
              <w:jc w:val="center"/>
            </w:pPr>
            <w:r/>
            <w:r>
              <w:rPr>
                <w:rFonts w:ascii="仿宋_GB2312" w:hAnsi="仿宋_GB2312" w:eastAsia="仿宋_GB2312"/>
                <w:b w:val="0"/>
                <w:color w:val="000000"/>
                <w:sz w:val="32"/>
              </w:rPr>
              <w:t>超130亿元</w:t>
            </w:r>
          </w:p>
        </w:tc>
        <w:tc>
          <w:tcPr>
            <w:tcW w:type="dxa" w:w="2551"/>
          </w:tcPr>
          <w:p>
            <w:pPr>
              <w:spacing w:lineRule="exact" w:line="600"/>
              <w:jc w:val="center"/>
            </w:pPr>
            <w:r/>
            <w:r>
              <w:rPr>
                <w:rFonts w:ascii="仿宋_GB2312" w:hAnsi="仿宋_GB2312" w:eastAsia="仿宋_GB2312"/>
                <w:b w:val="0"/>
                <w:color w:val="000000"/>
                <w:sz w:val="32"/>
              </w:rPr>
              <w:t>综合评价第一</w:t>
            </w:r>
          </w:p>
        </w:tc>
      </w:tr>
      <w:tr>
        <w:tc>
          <w:tcPr>
            <w:tcW w:type="dxa" w:w="3118"/>
          </w:tcPr>
          <w:p>
            <w:pPr>
              <w:spacing w:lineRule="exact" w:line="600"/>
              <w:jc w:val="center"/>
            </w:pPr>
            <w:r/>
            <w:r>
              <w:rPr>
                <w:rFonts w:ascii="仿宋_GB2312" w:hAnsi="仿宋_GB2312" w:eastAsia="仿宋_GB2312"/>
                <w:b w:val="0"/>
                <w:color w:val="000000"/>
                <w:sz w:val="32"/>
              </w:rPr>
              <w:t>龙头</w:t>
            </w:r>
          </w:p>
        </w:tc>
        <w:tc>
          <w:tcPr>
            <w:tcW w:type="dxa" w:w="2835"/>
          </w:tcPr>
          <w:p>
            <w:pPr>
              <w:spacing w:lineRule="exact" w:line="600"/>
              <w:jc w:val="center"/>
            </w:pPr>
            <w:r/>
            <w:r>
              <w:rPr>
                <w:rFonts w:ascii="仿宋_GB2312" w:hAnsi="仿宋_GB2312" w:eastAsia="仿宋_GB2312"/>
                <w:b w:val="0"/>
                <w:color w:val="000000"/>
                <w:sz w:val="32"/>
              </w:rPr>
              <w:t>科兴/博科/华润双鹤利民等</w:t>
            </w:r>
          </w:p>
        </w:tc>
        <w:tc>
          <w:tcPr>
            <w:tcW w:type="dxa" w:w="2551"/>
          </w:tcPr>
          <w:p>
            <w:pPr>
              <w:spacing w:lineRule="exact" w:line="600"/>
              <w:jc w:val="center"/>
            </w:pPr>
            <w:r/>
            <w:r>
              <w:rPr>
                <w:rFonts w:ascii="仿宋_GB2312" w:hAnsi="仿宋_GB2312" w:eastAsia="仿宋_GB2312"/>
                <w:b w:val="0"/>
                <w:color w:val="000000"/>
                <w:sz w:val="32"/>
              </w:rPr>
              <w:t>体外诊断+化学药</w:t>
            </w:r>
          </w:p>
        </w:tc>
      </w:tr>
      <w:tr>
        <w:tc>
          <w:tcPr>
            <w:tcW w:type="dxa" w:w="3118"/>
          </w:tcPr>
          <w:p>
            <w:pPr>
              <w:spacing w:lineRule="exact" w:line="600"/>
              <w:jc w:val="center"/>
            </w:pPr>
            <w:r/>
            <w:r>
              <w:rPr>
                <w:rFonts w:ascii="仿宋_GB2312" w:hAnsi="仿宋_GB2312" w:eastAsia="仿宋_GB2312"/>
                <w:b w:val="0"/>
                <w:color w:val="000000"/>
                <w:sz w:val="32"/>
              </w:rPr>
              <w:t>市场趋势</w:t>
            </w:r>
          </w:p>
        </w:tc>
        <w:tc>
          <w:tcPr>
            <w:tcW w:type="dxa" w:w="2835"/>
          </w:tcPr>
          <w:p>
            <w:pPr>
              <w:spacing w:lineRule="exact" w:line="600"/>
              <w:jc w:val="center"/>
            </w:pPr>
            <w:r/>
            <w:r>
              <w:rPr>
                <w:rFonts w:ascii="仿宋_GB2312" w:hAnsi="仿宋_GB2312" w:eastAsia="仿宋_GB2312"/>
                <w:b w:val="0"/>
                <w:color w:val="000000"/>
                <w:sz w:val="32"/>
              </w:rPr>
              <w:t>进口替代+基层医疗扩容</w:t>
            </w:r>
          </w:p>
        </w:tc>
        <w:tc>
          <w:tcPr>
            <w:tcW w:type="dxa" w:w="2551"/>
          </w:tcPr>
          <w:p>
            <w:pPr>
              <w:spacing w:lineRule="exact" w:line="600"/>
              <w:jc w:val="center"/>
            </w:pPr>
            <w:r/>
            <w:r>
              <w:rPr>
                <w:rFonts w:ascii="仿宋_GB2312" w:hAnsi="仿宋_GB2312" w:eastAsia="仿宋_GB2312"/>
                <w:b w:val="0"/>
                <w:color w:val="000000"/>
                <w:sz w:val="32"/>
              </w:rPr>
              <w:t>需求增长</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（一）集群主体</w:t>
      </w:r>
    </w:p>
    <w:p>
      <w:pPr>
        <w:spacing w:lineRule="exact" w:line="600" w:before="0" w:after="0"/>
        <w:ind w:firstLine="420"/>
        <w:jc w:val="both"/>
      </w:pPr>
      <w:r>
        <w:rPr>
          <w:rFonts w:ascii="仿宋_GB2312" w:hAnsi="仿宋_GB2312" w:eastAsia="仿宋_GB2312"/>
          <w:b w:val="0"/>
          <w:color w:val="000000"/>
          <w:sz w:val="32"/>
        </w:rPr>
        <w:t>章丘化学药与防护用品以华润双鹤利民为骨干，配套中小企业若干；济南市医药工业（含医疗器械）规上128家（来源：济南市工信局，2025；章丘区重点产业报道）。</w:t>
      </w:r>
    </w:p>
    <w:p>
      <w:pPr>
        <w:spacing w:lineRule="exact" w:line="600" w:before="120" w:after="120"/>
        <w:ind w:firstLine="420"/>
        <w:jc w:val="left"/>
      </w:pPr>
      <w:r>
        <w:rPr>
          <w:rFonts w:ascii="楷体_GB2312" w:hAnsi="楷体_GB2312" w:eastAsia="楷体_GB2312"/>
          <w:b w:val="0"/>
          <w:color w:val="000000"/>
          <w:sz w:val="32"/>
        </w:rPr>
        <w:t>（二）华润双鹤利民画像</w:t>
      </w:r>
    </w:p>
    <w:p>
      <w:pPr>
        <w:spacing w:lineRule="exact" w:line="600" w:before="0" w:after="0"/>
        <w:ind w:firstLine="420"/>
        <w:jc w:val="both"/>
      </w:pPr>
      <w:r>
        <w:rPr>
          <w:rFonts w:ascii="仿宋_GB2312" w:hAnsi="仿宋_GB2312" w:eastAsia="仿宋_GB2312"/>
          <w:b w:val="0"/>
          <w:color w:val="000000"/>
          <w:sz w:val="32"/>
        </w:rPr>
        <w:t>华润双鹤利民药业（济南）有限公司为华润双鹤全资子公司，位于章丘，主营心脑血管、抗生素、内分泌等西药制剂，是集群化学药骨干；章丘51个市级重点项目完成投资225亿元，华润双鹤利民固体制剂车间在列（来源：章丘区重点产业报道、章丘区2024年计划报告）。</w:t>
      </w:r>
    </w:p>
    <w:p>
      <w:pPr>
        <w:spacing w:lineRule="exact" w:line="600" w:before="120" w:after="120"/>
        <w:ind w:firstLine="420"/>
        <w:jc w:val="left"/>
      </w:pPr>
      <w:r>
        <w:rPr>
          <w:rFonts w:ascii="楷体_GB2312" w:hAnsi="楷体_GB2312" w:eastAsia="楷体_GB2312"/>
          <w:b w:val="0"/>
          <w:color w:val="000000"/>
          <w:sz w:val="32"/>
        </w:rPr>
        <w:t>（四）章丘生物医药市场主体（真实检索补充）</w:t>
      </w:r>
    </w:p>
    <w:p>
      <w:pPr>
        <w:spacing w:lineRule="exact" w:line="600" w:before="0" w:after="0"/>
        <w:ind w:firstLine="420"/>
        <w:jc w:val="both"/>
      </w:pPr>
      <w:r>
        <w:rPr>
          <w:rFonts w:ascii="仿宋_GB2312" w:hAnsi="仿宋_GB2312" w:eastAsia="仿宋_GB2312"/>
          <w:b w:val="0"/>
          <w:color w:val="000000"/>
          <w:sz w:val="32"/>
        </w:rPr>
        <w:t>章丘区拥有规上工业企业579家，其中国家级专精特新“小巨人”26家、省级以上制造业单项冠军36家、省级专精特新及瞪羚企业750余家；生物医药龙头包括科兴生物（济南市重点实验室备案）、华润双鹤利民制药等，形成“龙头引领+配套跟进”格局。（来源：章丘区2024年工业强市发布、区政府工作报告）（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969"/>
          </w:tcPr>
          <w:p>
            <w:pPr>
              <w:spacing w:lineRule="exact" w:line="600"/>
              <w:jc w:val="center"/>
            </w:pPr>
            <w:r/>
            <w:r>
              <w:rPr>
                <w:rFonts w:ascii="黑体" w:hAnsi="黑体" w:eastAsia="黑体"/>
                <w:b/>
                <w:color w:val="000000"/>
                <w:sz w:val="32"/>
              </w:rPr>
              <w:t>章丘区企业指标</w:t>
            </w:r>
          </w:p>
        </w:tc>
        <w:tc>
          <w:tcPr>
            <w:tcW w:type="dxa" w:w="2551"/>
          </w:tcPr>
          <w:p>
            <w:pPr>
              <w:spacing w:lineRule="exact" w:line="600"/>
              <w:jc w:val="center"/>
            </w:pPr>
            <w:r/>
            <w:r>
              <w:rPr>
                <w:rFonts w:ascii="黑体" w:hAnsi="黑体" w:eastAsia="黑体"/>
                <w:b/>
                <w:color w:val="000000"/>
                <w:sz w:val="32"/>
              </w:rPr>
              <w:t>数量</w:t>
            </w:r>
          </w:p>
        </w:tc>
        <w:tc>
          <w:tcPr>
            <w:tcW w:type="dxa" w:w="2551"/>
          </w:tcPr>
          <w:p>
            <w:pPr>
              <w:spacing w:lineRule="exact" w:line="600"/>
              <w:jc w:val="center"/>
            </w:pPr>
            <w:r/>
            <w:r>
              <w:rPr>
                <w:rFonts w:ascii="黑体" w:hAnsi="黑体" w:eastAsia="黑体"/>
                <w:b/>
                <w:color w:val="000000"/>
                <w:sz w:val="32"/>
              </w:rPr>
              <w:t>来源/年份</w:t>
            </w:r>
          </w:p>
        </w:tc>
      </w:tr>
      <w:tr>
        <w:tc>
          <w:tcPr>
            <w:tcW w:type="dxa" w:w="3969"/>
          </w:tcPr>
          <w:p>
            <w:pPr>
              <w:spacing w:lineRule="exact" w:line="600"/>
              <w:jc w:val="center"/>
            </w:pPr>
            <w:r/>
            <w:r>
              <w:rPr>
                <w:rFonts w:ascii="仿宋_GB2312" w:hAnsi="仿宋_GB2312" w:eastAsia="仿宋_GB2312"/>
                <w:b w:val="0"/>
                <w:color w:val="000000"/>
                <w:sz w:val="32"/>
              </w:rPr>
              <w:t>规上工业企业</w:t>
            </w:r>
          </w:p>
        </w:tc>
        <w:tc>
          <w:tcPr>
            <w:tcW w:type="dxa" w:w="2551"/>
          </w:tcPr>
          <w:p>
            <w:pPr>
              <w:spacing w:lineRule="exact" w:line="600"/>
              <w:jc w:val="center"/>
            </w:pPr>
            <w:r/>
            <w:r>
              <w:rPr>
                <w:rFonts w:ascii="仿宋_GB2312" w:hAnsi="仿宋_GB2312" w:eastAsia="仿宋_GB2312"/>
                <w:b w:val="0"/>
                <w:color w:val="000000"/>
                <w:sz w:val="32"/>
              </w:rPr>
              <w:t>579家</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国家级专精特新小巨人</w:t>
            </w:r>
          </w:p>
        </w:tc>
        <w:tc>
          <w:tcPr>
            <w:tcW w:type="dxa" w:w="2551"/>
          </w:tcPr>
          <w:p>
            <w:pPr>
              <w:spacing w:lineRule="exact" w:line="600"/>
              <w:jc w:val="center"/>
            </w:pPr>
            <w:r/>
            <w:r>
              <w:rPr>
                <w:rFonts w:ascii="仿宋_GB2312" w:hAnsi="仿宋_GB2312" w:eastAsia="仿宋_GB2312"/>
                <w:b w:val="0"/>
                <w:color w:val="000000"/>
                <w:sz w:val="32"/>
              </w:rPr>
              <w:t>26家</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省级以上制造业单项冠军</w:t>
            </w:r>
          </w:p>
        </w:tc>
        <w:tc>
          <w:tcPr>
            <w:tcW w:type="dxa" w:w="2551"/>
          </w:tcPr>
          <w:p>
            <w:pPr>
              <w:spacing w:lineRule="exact" w:line="600"/>
              <w:jc w:val="center"/>
            </w:pPr>
            <w:r/>
            <w:r>
              <w:rPr>
                <w:rFonts w:ascii="仿宋_GB2312" w:hAnsi="仿宋_GB2312" w:eastAsia="仿宋_GB2312"/>
                <w:b w:val="0"/>
                <w:color w:val="000000"/>
                <w:sz w:val="32"/>
              </w:rPr>
              <w:t>36家</w:t>
            </w:r>
          </w:p>
        </w:tc>
        <w:tc>
          <w:tcPr>
            <w:tcW w:type="dxa" w:w="2551"/>
          </w:tcPr>
          <w:p>
            <w:pPr>
              <w:spacing w:lineRule="exact" w:line="600"/>
              <w:jc w:val="center"/>
            </w:pPr>
            <w:r/>
            <w:r>
              <w:rPr>
                <w:rFonts w:ascii="仿宋_GB2312" w:hAnsi="仿宋_GB2312" w:eastAsia="仿宋_GB2312"/>
                <w:b w:val="0"/>
                <w:color w:val="000000"/>
                <w:sz w:val="32"/>
              </w:rPr>
              <w:t>章丘区2024年</w:t>
            </w:r>
          </w:p>
        </w:tc>
      </w:tr>
      <w:tr>
        <w:tc>
          <w:tcPr>
            <w:tcW w:type="dxa" w:w="3969"/>
          </w:tcPr>
          <w:p>
            <w:pPr>
              <w:spacing w:lineRule="exact" w:line="600"/>
              <w:jc w:val="center"/>
            </w:pPr>
            <w:r/>
            <w:r>
              <w:rPr>
                <w:rFonts w:ascii="仿宋_GB2312" w:hAnsi="仿宋_GB2312" w:eastAsia="仿宋_GB2312"/>
                <w:b w:val="0"/>
                <w:color w:val="000000"/>
                <w:sz w:val="32"/>
              </w:rPr>
              <w:t>生物医药龙头</w:t>
            </w:r>
          </w:p>
        </w:tc>
        <w:tc>
          <w:tcPr>
            <w:tcW w:type="dxa" w:w="2551"/>
          </w:tcPr>
          <w:p>
            <w:pPr>
              <w:spacing w:lineRule="exact" w:line="600"/>
              <w:jc w:val="center"/>
            </w:pPr>
            <w:r/>
            <w:r>
              <w:rPr>
                <w:rFonts w:ascii="仿宋_GB2312" w:hAnsi="仿宋_GB2312" w:eastAsia="仿宋_GB2312"/>
                <w:b w:val="0"/>
                <w:color w:val="000000"/>
                <w:sz w:val="32"/>
              </w:rPr>
              <w:t>科兴生物、华润双鹤利民</w:t>
            </w:r>
          </w:p>
        </w:tc>
        <w:tc>
          <w:tcPr>
            <w:tcW w:type="dxa" w:w="2551"/>
          </w:tcPr>
          <w:p>
            <w:pPr>
              <w:spacing w:lineRule="exact" w:line="600"/>
              <w:jc w:val="center"/>
            </w:pPr>
            <w:r/>
            <w:r>
              <w:rPr>
                <w:rFonts w:ascii="仿宋_GB2312" w:hAnsi="仿宋_GB2312" w:eastAsia="仿宋_GB2312"/>
                <w:b w:val="0"/>
                <w:color w:val="000000"/>
                <w:sz w:val="32"/>
              </w:rPr>
              <w:t>明水经开区</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（一）制剂工艺</w:t>
      </w:r>
    </w:p>
    <w:p>
      <w:pPr>
        <w:spacing w:lineRule="exact" w:line="600" w:before="0" w:after="0"/>
        <w:ind w:firstLine="420"/>
        <w:jc w:val="both"/>
      </w:pPr>
      <w:r>
        <w:rPr>
          <w:rFonts w:ascii="仿宋_GB2312" w:hAnsi="仿宋_GB2312" w:eastAsia="仿宋_GB2312"/>
          <w:b w:val="0"/>
          <w:color w:val="000000"/>
          <w:sz w:val="32"/>
        </w:rPr>
        <w:t>化学药制剂涉及固体制剂、注射剂工艺与一致性评价；华润双鹤利民推进固体制剂车间技改（来源：章丘区2024年计划报告）。</w:t>
      </w:r>
    </w:p>
    <w:p>
      <w:pPr>
        <w:spacing w:lineRule="exact" w:line="600" w:before="120" w:after="120"/>
        <w:ind w:firstLine="420"/>
        <w:jc w:val="left"/>
      </w:pPr>
      <w:r>
        <w:rPr>
          <w:rFonts w:ascii="楷体_GB2312" w:hAnsi="楷体_GB2312" w:eastAsia="楷体_GB2312"/>
          <w:b w:val="0"/>
          <w:color w:val="000000"/>
          <w:sz w:val="32"/>
        </w:rPr>
        <w:t>（二）创新基础</w:t>
      </w:r>
    </w:p>
    <w:p>
      <w:pPr>
        <w:spacing w:lineRule="exact" w:line="600" w:before="0" w:after="0"/>
        <w:ind w:firstLine="420"/>
        <w:jc w:val="both"/>
      </w:pPr>
      <w:r>
        <w:rPr>
          <w:rFonts w:ascii="仿宋_GB2312" w:hAnsi="仿宋_GB2312" w:eastAsia="仿宋_GB2312"/>
          <w:b w:val="0"/>
          <w:color w:val="000000"/>
          <w:sz w:val="32"/>
        </w:rPr>
        <w:t>章丘科技型中小企业入库698家、高新技术企业推荐申报234家，为化学药工艺升级提供支撑（来源：章丘区2024年计划执行情况报告）。</w:t>
      </w:r>
    </w:p>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（一）盈利与成本</w:t>
      </w:r>
    </w:p>
    <w:p>
      <w:pPr>
        <w:spacing w:lineRule="exact" w:line="600" w:before="0" w:after="0"/>
        <w:ind w:firstLine="420"/>
        <w:jc w:val="both"/>
      </w:pPr>
      <w:r>
        <w:rPr>
          <w:rFonts w:ascii="仿宋_GB2312" w:hAnsi="仿宋_GB2312" w:eastAsia="仿宋_GB2312"/>
          <w:b w:val="0"/>
          <w:color w:val="000000"/>
          <w:sz w:val="32"/>
        </w:rPr>
        <w:t>化学药受集采压价，毛利率承压；企业通过技改降本，章丘技改投资71.1亿元、增长11.5%（来源：章丘区2024年计划报告；行业研判）。</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章丘争取政策性资金10.9亿元（专项债7.89亿元），设立“土地超市”解决用地2133.6亩（来源：章丘区2024年计划报告）。</w:t>
      </w:r>
    </w:p>
    <w:p>
      <w:pPr>
        <w:spacing w:lineRule="exact" w:line="600" w:before="120" w:after="120"/>
        <w:ind w:firstLine="420"/>
        <w:jc w:val="left"/>
      </w:pPr>
      <w:r>
        <w:rPr>
          <w:rFonts w:ascii="楷体_GB2312" w:hAnsi="楷体_GB2312" w:eastAsia="楷体_GB2312"/>
          <w:b w:val="0"/>
          <w:color w:val="000000"/>
          <w:sz w:val="32"/>
        </w:rPr>
        <w:t>（六）章丘生物医药要素保障（真实检索补充）</w:t>
      </w:r>
    </w:p>
    <w:p>
      <w:pPr>
        <w:spacing w:lineRule="exact" w:line="600" w:before="0" w:after="0"/>
        <w:ind w:firstLine="420"/>
        <w:jc w:val="both"/>
      </w:pPr>
      <w:r>
        <w:rPr>
          <w:rFonts w:ascii="仿宋_GB2312" w:hAnsi="仿宋_GB2312" w:eastAsia="仿宋_GB2312"/>
          <w:b w:val="0"/>
          <w:color w:val="000000"/>
          <w:sz w:val="32"/>
        </w:rPr>
        <w:t>2024年章丘实施华润双鹤利民固体制剂车间等400余个工业项目，完成工业投资110亿元、技改投资71.1亿元（增长11.5%）；刁镇化工产业园建成区7.56平方公里，日供水4.67万m³、蒸汽供应1775t/h、双电源547MVA，要素保障完备，利于生物医药企业控本增效。（来源：章丘区2024年计划执行报告、刁镇化工园资料）（真实检索补充）</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章丘要素/投资指标</w:t>
            </w:r>
          </w:p>
        </w:tc>
        <w:tc>
          <w:tcPr>
            <w:tcW w:type="dxa" w:w="2551"/>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2024工业投资</w:t>
            </w:r>
          </w:p>
        </w:tc>
        <w:tc>
          <w:tcPr>
            <w:tcW w:type="dxa" w:w="2551"/>
          </w:tcPr>
          <w:p>
            <w:pPr>
              <w:spacing w:lineRule="exact" w:line="600"/>
              <w:jc w:val="center"/>
            </w:pPr>
            <w:r/>
            <w:r>
              <w:rPr>
                <w:rFonts w:ascii="仿宋_GB2312" w:hAnsi="仿宋_GB2312" w:eastAsia="仿宋_GB2312"/>
                <w:b w:val="0"/>
                <w:color w:val="000000"/>
                <w:sz w:val="32"/>
              </w:rPr>
              <w:t>110亿元</w:t>
            </w:r>
          </w:p>
        </w:tc>
        <w:tc>
          <w:tcPr>
            <w:tcW w:type="dxa" w:w="2835"/>
          </w:tcPr>
          <w:p>
            <w:pPr>
              <w:spacing w:lineRule="exact" w:line="600"/>
              <w:jc w:val="center"/>
            </w:pPr>
            <w:r/>
            <w:r>
              <w:rPr>
                <w:rFonts w:ascii="仿宋_GB2312" w:hAnsi="仿宋_GB2312" w:eastAsia="仿宋_GB2312"/>
                <w:b w:val="0"/>
                <w:color w:val="000000"/>
                <w:sz w:val="32"/>
              </w:rPr>
              <w:t>章丘区2024年</w:t>
            </w:r>
          </w:p>
        </w:tc>
      </w:tr>
      <w:tr>
        <w:tc>
          <w:tcPr>
            <w:tcW w:type="dxa" w:w="3685"/>
          </w:tcPr>
          <w:p>
            <w:pPr>
              <w:spacing w:lineRule="exact" w:line="600"/>
              <w:jc w:val="center"/>
            </w:pPr>
            <w:r/>
            <w:r>
              <w:rPr>
                <w:rFonts w:ascii="仿宋_GB2312" w:hAnsi="仿宋_GB2312" w:eastAsia="仿宋_GB2312"/>
                <w:b w:val="0"/>
                <w:color w:val="000000"/>
                <w:sz w:val="32"/>
              </w:rPr>
              <w:t>技改投资</w:t>
            </w:r>
          </w:p>
        </w:tc>
        <w:tc>
          <w:tcPr>
            <w:tcW w:type="dxa" w:w="2551"/>
          </w:tcPr>
          <w:p>
            <w:pPr>
              <w:spacing w:lineRule="exact" w:line="600"/>
              <w:jc w:val="center"/>
            </w:pPr>
            <w:r/>
            <w:r>
              <w:rPr>
                <w:rFonts w:ascii="仿宋_GB2312" w:hAnsi="仿宋_GB2312" w:eastAsia="仿宋_GB2312"/>
                <w:b w:val="0"/>
                <w:color w:val="000000"/>
                <w:sz w:val="32"/>
              </w:rPr>
              <w:t>71.1亿元（+11.5%）</w:t>
            </w:r>
          </w:p>
        </w:tc>
        <w:tc>
          <w:tcPr>
            <w:tcW w:type="dxa" w:w="2835"/>
          </w:tcPr>
          <w:p>
            <w:pPr>
              <w:spacing w:lineRule="exact" w:line="600"/>
              <w:jc w:val="center"/>
            </w:pPr>
            <w:r/>
            <w:r>
              <w:rPr>
                <w:rFonts w:ascii="仿宋_GB2312" w:hAnsi="仿宋_GB2312" w:eastAsia="仿宋_GB2312"/>
                <w:b w:val="0"/>
                <w:color w:val="000000"/>
                <w:sz w:val="32"/>
              </w:rPr>
              <w:t>章丘区2024年</w:t>
            </w:r>
          </w:p>
        </w:tc>
      </w:tr>
      <w:tr>
        <w:tc>
          <w:tcPr>
            <w:tcW w:type="dxa" w:w="3685"/>
          </w:tcPr>
          <w:p>
            <w:pPr>
              <w:spacing w:lineRule="exact" w:line="600"/>
              <w:jc w:val="center"/>
            </w:pPr>
            <w:r/>
            <w:r>
              <w:rPr>
                <w:rFonts w:ascii="仿宋_GB2312" w:hAnsi="仿宋_GB2312" w:eastAsia="仿宋_GB2312"/>
                <w:b w:val="0"/>
                <w:color w:val="000000"/>
                <w:sz w:val="32"/>
              </w:rPr>
              <w:t>刁镇化工园面积</w:t>
            </w:r>
          </w:p>
        </w:tc>
        <w:tc>
          <w:tcPr>
            <w:tcW w:type="dxa" w:w="2551"/>
          </w:tcPr>
          <w:p>
            <w:pPr>
              <w:spacing w:lineRule="exact" w:line="600"/>
              <w:jc w:val="center"/>
            </w:pPr>
            <w:r/>
            <w:r>
              <w:rPr>
                <w:rFonts w:ascii="仿宋_GB2312" w:hAnsi="仿宋_GB2312" w:eastAsia="仿宋_GB2312"/>
                <w:b w:val="0"/>
                <w:color w:val="000000"/>
                <w:sz w:val="32"/>
              </w:rPr>
              <w:t>7.56平方公里</w:t>
            </w:r>
          </w:p>
        </w:tc>
        <w:tc>
          <w:tcPr>
            <w:tcW w:type="dxa" w:w="2835"/>
          </w:tcPr>
          <w:p>
            <w:pPr>
              <w:spacing w:lineRule="exact" w:line="600"/>
              <w:jc w:val="center"/>
            </w:pPr>
            <w:r/>
            <w:r>
              <w:rPr>
                <w:rFonts w:ascii="仿宋_GB2312" w:hAnsi="仿宋_GB2312" w:eastAsia="仿宋_GB2312"/>
                <w:b w:val="0"/>
                <w:color w:val="000000"/>
                <w:sz w:val="32"/>
              </w:rPr>
              <w:t>省级化工园区</w:t>
            </w:r>
          </w:p>
        </w:tc>
      </w:tr>
      <w:tr>
        <w:tc>
          <w:tcPr>
            <w:tcW w:type="dxa" w:w="3685"/>
          </w:tcPr>
          <w:p>
            <w:pPr>
              <w:spacing w:lineRule="exact" w:line="600"/>
              <w:jc w:val="center"/>
            </w:pPr>
            <w:r/>
            <w:r>
              <w:rPr>
                <w:rFonts w:ascii="仿宋_GB2312" w:hAnsi="仿宋_GB2312" w:eastAsia="仿宋_GB2312"/>
                <w:b w:val="0"/>
                <w:color w:val="000000"/>
                <w:sz w:val="32"/>
              </w:rPr>
              <w:t>园区蒸汽供应</w:t>
            </w:r>
          </w:p>
        </w:tc>
        <w:tc>
          <w:tcPr>
            <w:tcW w:type="dxa" w:w="2551"/>
          </w:tcPr>
          <w:p>
            <w:pPr>
              <w:spacing w:lineRule="exact" w:line="600"/>
              <w:jc w:val="center"/>
            </w:pPr>
            <w:r/>
            <w:r>
              <w:rPr>
                <w:rFonts w:ascii="仿宋_GB2312" w:hAnsi="仿宋_GB2312" w:eastAsia="仿宋_GB2312"/>
                <w:b w:val="0"/>
                <w:color w:val="000000"/>
                <w:sz w:val="32"/>
              </w:rPr>
              <w:t>1775t/h</w:t>
            </w:r>
          </w:p>
        </w:tc>
        <w:tc>
          <w:tcPr>
            <w:tcW w:type="dxa" w:w="2835"/>
          </w:tcPr>
          <w:p>
            <w:pPr>
              <w:spacing w:lineRule="exact" w:line="600"/>
              <w:jc w:val="center"/>
            </w:pPr>
            <w:r/>
            <w:r>
              <w:rPr>
                <w:rFonts w:ascii="仿宋_GB2312" w:hAnsi="仿宋_GB2312" w:eastAsia="仿宋_GB2312"/>
                <w:b w:val="0"/>
                <w:color w:val="000000"/>
                <w:sz w:val="32"/>
              </w:rPr>
              <w:t>刁镇化工园</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老龄化与慢病管理拉动心脑血管、内分泌用药长期需求；一致性评价与高端制剂提升附加值（来源：行业研判）。</w:t>
      </w:r>
    </w:p>
    <w:p>
      <w:pPr>
        <w:spacing w:lineRule="exact" w:line="600" w:before="120" w:after="120"/>
        <w:ind w:firstLine="420"/>
        <w:jc w:val="left"/>
      </w:pPr>
      <w:r>
        <w:rPr>
          <w:rFonts w:ascii="楷体_GB2312" w:hAnsi="楷体_GB2312" w:eastAsia="楷体_GB2312"/>
          <w:b w:val="0"/>
          <w:color w:val="000000"/>
          <w:sz w:val="32"/>
        </w:rPr>
        <w:t>（二）风险</w:t>
      </w:r>
    </w:p>
    <w:p>
      <w:pPr>
        <w:spacing w:lineRule="exact" w:line="600" w:before="0" w:after="0"/>
        <w:ind w:firstLine="420"/>
        <w:jc w:val="both"/>
      </w:pPr>
      <w:r>
        <w:rPr>
          <w:rFonts w:ascii="仿宋_GB2312" w:hAnsi="仿宋_GB2312" w:eastAsia="仿宋_GB2312"/>
          <w:b w:val="0"/>
          <w:color w:val="000000"/>
          <w:sz w:val="32"/>
        </w:rPr>
        <w:t>集采与医保控费压缩利润；原料药价格波动；防护用品需求后疫情回落（来源：行业研判）。</w:t>
      </w:r>
    </w:p>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（一）高端制剂升级</w:t>
      </w:r>
    </w:p>
    <w:p>
      <w:pPr>
        <w:spacing w:lineRule="exact" w:line="600" w:before="0" w:after="0"/>
        <w:ind w:firstLine="420"/>
        <w:jc w:val="both"/>
      </w:pPr>
      <w:r>
        <w:rPr>
          <w:rFonts w:ascii="仿宋_GB2312" w:hAnsi="仿宋_GB2312" w:eastAsia="仿宋_GB2312"/>
          <w:b w:val="0"/>
          <w:color w:val="000000"/>
          <w:sz w:val="32"/>
        </w:rPr>
        <w:t>推动化学药向缓控释、复方制剂等高端剂型升级，依托华润双鹤集团研发与渠道（来源：章丘区重点产业报道）。</w:t>
      </w:r>
    </w:p>
    <w:p>
      <w:pPr>
        <w:spacing w:lineRule="exact" w:line="600" w:before="120" w:after="120"/>
        <w:ind w:firstLine="420"/>
        <w:jc w:val="left"/>
      </w:pPr>
      <w:r>
        <w:rPr>
          <w:rFonts w:ascii="楷体_GB2312" w:hAnsi="楷体_GB2312" w:eastAsia="楷体_GB2312"/>
          <w:b w:val="0"/>
          <w:color w:val="000000"/>
          <w:sz w:val="32"/>
        </w:rPr>
        <w:t>（二）链长制协同</w:t>
      </w:r>
    </w:p>
    <w:p>
      <w:pPr>
        <w:spacing w:lineRule="exact" w:line="600" w:before="0" w:after="0"/>
        <w:ind w:firstLine="420"/>
        <w:jc w:val="both"/>
      </w:pPr>
      <w:r>
        <w:rPr>
          <w:rFonts w:ascii="仿宋_GB2312" w:hAnsi="仿宋_GB2312" w:eastAsia="仿宋_GB2312"/>
          <w:b w:val="0"/>
          <w:color w:val="000000"/>
          <w:sz w:val="32"/>
        </w:rPr>
        <w:t>山东省“十链百群万企”行动推动大中小企业融通，以链主引领配套（来源：山东省工信厅鲁工信发〔2024〕6号）。</w:t>
      </w:r>
    </w:p>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（一）技改与产能融资</w:t>
      </w:r>
    </w:p>
    <w:p>
      <w:pPr>
        <w:spacing w:lineRule="exact" w:line="600" w:before="0" w:after="0"/>
        <w:ind w:firstLine="420"/>
        <w:jc w:val="both"/>
      </w:pPr>
      <w:r>
        <w:rPr>
          <w:rFonts w:ascii="仿宋_GB2312" w:hAnsi="仿宋_GB2312" w:eastAsia="仿宋_GB2312"/>
          <w:b w:val="0"/>
          <w:color w:val="000000"/>
          <w:sz w:val="32"/>
        </w:rPr>
        <w:t>固体制剂车间等技改项目需固定资产贷款，可享技改专项贷贴息（来源：章丘区2024年计划报告；山东省技改政策）。</w:t>
      </w:r>
    </w:p>
    <w:p>
      <w:pPr>
        <w:spacing w:lineRule="exact" w:line="600" w:before="120" w:after="120"/>
        <w:ind w:firstLine="420"/>
        <w:jc w:val="left"/>
      </w:pPr>
      <w:r>
        <w:rPr>
          <w:rFonts w:ascii="楷体_GB2312" w:hAnsi="楷体_GB2312" w:eastAsia="楷体_GB2312"/>
          <w:b w:val="0"/>
          <w:color w:val="000000"/>
          <w:sz w:val="32"/>
        </w:rPr>
        <w:t>（二）流动资金融资</w:t>
      </w:r>
    </w:p>
    <w:p>
      <w:pPr>
        <w:spacing w:lineRule="exact" w:line="600" w:before="0" w:after="0"/>
        <w:ind w:firstLine="420"/>
        <w:jc w:val="both"/>
      </w:pPr>
      <w:r>
        <w:rPr>
          <w:rFonts w:ascii="仿宋_GB2312" w:hAnsi="仿宋_GB2312" w:eastAsia="仿宋_GB2312"/>
          <w:b w:val="0"/>
          <w:color w:val="000000"/>
          <w:sz w:val="32"/>
        </w:rPr>
        <w:t>集采下回款周期长，企业需营运资金，可依托“泉融通”平台与供应链金融（来源：章丘区2024年计划报告）。</w:t>
      </w:r>
    </w:p>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科兴生物制药股份有限公司：主营生物制品/化学药（重组蛋白药物、人干扰素α1b、人促红素等）；科创板上市公司（688136），位于章丘埠村街道，为章丘医药及防护用品集群生物制药龙头（注：原‘科兴生物制药（山东）有限公司’应为‘科兴生物制药股份有限公司’）。来源：章丘区重点产业报道、天眼查/公司官网。</w:t>
      </w:r>
    </w:p>
    <w:p>
      <w:pPr>
        <w:spacing w:lineRule="exact" w:line="600" w:before="0" w:after="0"/>
        <w:ind w:firstLine="420"/>
        <w:jc w:val="both"/>
      </w:pPr>
      <w:r>
        <w:rPr>
          <w:rFonts w:ascii="仿宋_GB2312" w:hAnsi="仿宋_GB2312" w:eastAsia="仿宋_GB2312"/>
          <w:b w:val="0"/>
          <w:color w:val="000000"/>
          <w:sz w:val="32"/>
        </w:rPr>
        <w:t>山东博科生物产业有限公司：主营体外诊断设备及试剂、生物安全防护设备；国家级专精特新‘小巨人’、制造业单项冠军，位于章丘明水经开区，为集群医疗器械与体外诊断龙头。来源：章丘区重点产业报道、天眼查。</w:t>
      </w:r>
    </w:p>
    <w:p>
      <w:pPr>
        <w:spacing w:lineRule="exact" w:line="600" w:before="0" w:after="0"/>
        <w:ind w:firstLine="420"/>
        <w:jc w:val="both"/>
      </w:pPr>
      <w:r>
        <w:rPr>
          <w:rFonts w:ascii="仿宋_GB2312" w:hAnsi="仿宋_GB2312" w:eastAsia="仿宋_GB2312"/>
          <w:b w:val="0"/>
          <w:color w:val="000000"/>
          <w:sz w:val="32"/>
        </w:rPr>
        <w:t>华润双鹤利民药业（济南）有限公司：主营西药制剂（心脑血管、抗生素、内分泌等）；华润双鹤全资子公司，位于章丘，为集群化学药骨干企业。来源：章丘区重点产业报道。</w:t>
      </w:r>
    </w:p>
    <w:p>
      <w:pPr>
        <w:spacing w:lineRule="exact" w:line="600" w:before="0" w:after="0"/>
        <w:jc w:val="left"/>
      </w:pPr>
      <w:r>
        <w:rPr>
          <w:rFonts w:ascii="仿宋_GB2312" w:hAnsi="仿宋_GB2312" w:eastAsia="仿宋_GB2312"/>
          <w:b w:val="0"/>
          <w:color w:val="000000"/>
          <w:sz w:val="28"/>
        </w:rPr>
        <w:t>主要数据来源：山东省人民政府《“十强产业”行动计划（2024—2025年）》（鲁政发〔2024〕5号）；济南市工信局：现代医药产业链数据（大众日报，2025-06-13）；章丘区2024年国民经济和社会发展计划执行情况报告；章丘区重点产业报道（华润双鹤利民等）；山东省工信厅《山东省“十链百群万企”融链固链三年行动计划（2024-2026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