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山东济南章丘区（医药及防护用品）特色产业集群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生物制药（生物医药）行业深度分析报告</w:t>
      </w:r>
    </w:p>
    <w:p>
      <w:pPr>
        <w:spacing w:lineRule="exact" w:line="600" w:before="0" w:after="0"/>
        <w:jc w:val="left"/>
      </w:pPr>
      <w:r>
        <w:rPr>
          <w:rFonts w:ascii="仿宋_GB2312" w:hAnsi="仿宋_GB2312" w:eastAsia="仿宋_GB2312"/>
          <w:b w:val="0"/>
          <w:color w:val="000000"/>
          <w:sz w:val="28"/>
        </w:rPr>
        <w:t>（本报告基于政府公报、工信/发改部门公开数据、行业协会及上市公司年报等权威来源编制，数据截至2024年，部分细分领域公开官方统计有限，已依据行业共性事实研判并在文中标注。）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生物制药（生物医药）是章丘区重点培育的两大新兴产业集群之一，也是济南市现代医药产业链（13条标志性产业链之一）的核心组成。2024年济南市现代医药产业链规上企业750家、实现营业收入2343.4亿元，其中医药工业（含医疗器械）规上128家、营收446.3亿元；医药制造业规模居全国15个副省级城市第4位。章丘以科兴生物制药、华润双鹤利民等龙头企业为主体，依托明水经济技术开发区构建“龙头引领+配套跟进”格局，在重组蛋白药物、微生态制剂等领域具备国内领先优势。</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济南市现代医药产业链规上企业数（2024）</w:t>
            </w:r>
          </w:p>
        </w:tc>
        <w:tc>
          <w:tcPr>
            <w:tcW w:type="dxa" w:w="2835"/>
          </w:tcPr>
          <w:p>
            <w:pPr>
              <w:spacing w:lineRule="exact" w:line="600"/>
              <w:jc w:val="center"/>
            </w:pPr>
            <w:r/>
            <w:r>
              <w:rPr>
                <w:rFonts w:ascii="仿宋_GB2312" w:hAnsi="仿宋_GB2312" w:eastAsia="仿宋_GB2312"/>
                <w:b w:val="0"/>
                <w:color w:val="000000"/>
                <w:sz w:val="32"/>
              </w:rPr>
              <w:t>750家</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济南市现代医药产业链营业收入（2024）</w:t>
            </w:r>
          </w:p>
        </w:tc>
        <w:tc>
          <w:tcPr>
            <w:tcW w:type="dxa" w:w="2835"/>
          </w:tcPr>
          <w:p>
            <w:pPr>
              <w:spacing w:lineRule="exact" w:line="600"/>
              <w:jc w:val="center"/>
            </w:pPr>
            <w:r/>
            <w:r>
              <w:rPr>
                <w:rFonts w:ascii="仿宋_GB2312" w:hAnsi="仿宋_GB2312" w:eastAsia="仿宋_GB2312"/>
                <w:b w:val="0"/>
                <w:color w:val="000000"/>
                <w:sz w:val="32"/>
              </w:rPr>
              <w:t>2343.4亿元，同比+5.1%</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济南市医药工业（含医疗器械）营收（2024）</w:t>
            </w:r>
          </w:p>
        </w:tc>
        <w:tc>
          <w:tcPr>
            <w:tcW w:type="dxa" w:w="2835"/>
          </w:tcPr>
          <w:p>
            <w:pPr>
              <w:spacing w:lineRule="exact" w:line="600"/>
              <w:jc w:val="center"/>
            </w:pPr>
            <w:r/>
            <w:r>
              <w:rPr>
                <w:rFonts w:ascii="仿宋_GB2312" w:hAnsi="仿宋_GB2312" w:eastAsia="仿宋_GB2312"/>
                <w:b w:val="0"/>
                <w:color w:val="000000"/>
                <w:sz w:val="32"/>
              </w:rPr>
              <w:t>446.3亿元，同比+0.8%</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章丘区地区生产总值（2024）</w:t>
            </w:r>
          </w:p>
        </w:tc>
        <w:tc>
          <w:tcPr>
            <w:tcW w:type="dxa" w:w="2835"/>
          </w:tcPr>
          <w:p>
            <w:pPr>
              <w:spacing w:lineRule="exact" w:line="600"/>
              <w:jc w:val="center"/>
            </w:pPr>
            <w:r/>
            <w:r>
              <w:rPr>
                <w:rFonts w:ascii="仿宋_GB2312" w:hAnsi="仿宋_GB2312" w:eastAsia="仿宋_GB2312"/>
                <w:b w:val="0"/>
                <w:color w:val="000000"/>
                <w:sz w:val="32"/>
              </w:rPr>
              <w:t>1301.3亿元，+6%</w:t>
            </w:r>
          </w:p>
        </w:tc>
        <w:tc>
          <w:tcPr>
            <w:tcW w:type="dxa" w:w="3118"/>
          </w:tcPr>
          <w:p>
            <w:pPr>
              <w:spacing w:lineRule="exact" w:line="600"/>
              <w:jc w:val="center"/>
            </w:pPr>
            <w:r/>
            <w:r>
              <w:rPr>
                <w:rFonts w:ascii="仿宋_GB2312" w:hAnsi="仿宋_GB2312" w:eastAsia="仿宋_GB2312"/>
                <w:b w:val="0"/>
                <w:color w:val="000000"/>
                <w:sz w:val="32"/>
              </w:rPr>
              <w:t>章丘区2024年计划执行情况报告</w:t>
            </w:r>
          </w:p>
        </w:tc>
      </w:tr>
      <w:tr>
        <w:tc>
          <w:tcPr>
            <w:tcW w:type="dxa" w:w="2835"/>
          </w:tcPr>
          <w:p>
            <w:pPr>
              <w:spacing w:lineRule="exact" w:line="600"/>
              <w:jc w:val="center"/>
            </w:pPr>
            <w:r/>
            <w:r>
              <w:rPr>
                <w:rFonts w:ascii="仿宋_GB2312" w:hAnsi="仿宋_GB2312" w:eastAsia="仿宋_GB2312"/>
                <w:b w:val="0"/>
                <w:color w:val="000000"/>
                <w:sz w:val="32"/>
              </w:rPr>
              <w:t>章丘区规上工业总产值（2024）</w:t>
            </w:r>
          </w:p>
        </w:tc>
        <w:tc>
          <w:tcPr>
            <w:tcW w:type="dxa" w:w="2835"/>
          </w:tcPr>
          <w:p>
            <w:pPr>
              <w:spacing w:lineRule="exact" w:line="600"/>
              <w:jc w:val="center"/>
            </w:pPr>
            <w:r/>
            <w:r>
              <w:rPr>
                <w:rFonts w:ascii="仿宋_GB2312" w:hAnsi="仿宋_GB2312" w:eastAsia="仿宋_GB2312"/>
                <w:b w:val="0"/>
                <w:color w:val="000000"/>
                <w:sz w:val="32"/>
              </w:rPr>
              <w:t>1251.3亿元，+3.1%</w:t>
            </w:r>
          </w:p>
        </w:tc>
        <w:tc>
          <w:tcPr>
            <w:tcW w:type="dxa" w:w="3118"/>
          </w:tcPr>
          <w:p>
            <w:pPr>
              <w:spacing w:lineRule="exact" w:line="600"/>
              <w:jc w:val="center"/>
            </w:pPr>
            <w:r/>
            <w:r>
              <w:rPr>
                <w:rFonts w:ascii="仿宋_GB2312" w:hAnsi="仿宋_GB2312" w:eastAsia="仿宋_GB2312"/>
                <w:b w:val="0"/>
                <w:color w:val="000000"/>
                <w:sz w:val="32"/>
              </w:rPr>
              <w:t>章丘区2024年计划执行情况报告</w:t>
            </w:r>
          </w:p>
        </w:tc>
      </w:tr>
      <w:tr>
        <w:tc>
          <w:tcPr>
            <w:tcW w:type="dxa" w:w="2835"/>
          </w:tcPr>
          <w:p>
            <w:pPr>
              <w:spacing w:lineRule="exact" w:line="600"/>
              <w:jc w:val="center"/>
            </w:pPr>
            <w:r/>
            <w:r>
              <w:rPr>
                <w:rFonts w:ascii="仿宋_GB2312" w:hAnsi="仿宋_GB2312" w:eastAsia="仿宋_GB2312"/>
                <w:b w:val="0"/>
                <w:color w:val="000000"/>
                <w:sz w:val="32"/>
              </w:rPr>
              <w:t>科兴制药营业收入（2024）</w:t>
            </w:r>
          </w:p>
        </w:tc>
        <w:tc>
          <w:tcPr>
            <w:tcW w:type="dxa" w:w="2835"/>
          </w:tcPr>
          <w:p>
            <w:pPr>
              <w:spacing w:lineRule="exact" w:line="600"/>
              <w:jc w:val="center"/>
            </w:pPr>
            <w:r/>
            <w:r>
              <w:rPr>
                <w:rFonts w:ascii="仿宋_GB2312" w:hAnsi="仿宋_GB2312" w:eastAsia="仿宋_GB2312"/>
                <w:b w:val="0"/>
                <w:color w:val="000000"/>
                <w:sz w:val="32"/>
              </w:rPr>
              <w:t>14.07亿元，+11.75%</w:t>
            </w:r>
          </w:p>
        </w:tc>
        <w:tc>
          <w:tcPr>
            <w:tcW w:type="dxa" w:w="3118"/>
          </w:tcPr>
          <w:p>
            <w:pPr>
              <w:spacing w:lineRule="exact" w:line="600"/>
              <w:jc w:val="center"/>
            </w:pPr>
            <w:r/>
            <w:r>
              <w:rPr>
                <w:rFonts w:ascii="仿宋_GB2312" w:hAnsi="仿宋_GB2312" w:eastAsia="仿宋_GB2312"/>
                <w:b w:val="0"/>
                <w:color w:val="000000"/>
                <w:sz w:val="32"/>
              </w:rPr>
              <w:t>科兴制药2024年报</w:t>
            </w:r>
          </w:p>
        </w:tc>
      </w:tr>
      <w:tr>
        <w:tc>
          <w:tcPr>
            <w:tcW w:type="dxa" w:w="2835"/>
          </w:tcPr>
          <w:p>
            <w:pPr>
              <w:spacing w:lineRule="exact" w:line="600"/>
              <w:jc w:val="center"/>
            </w:pPr>
            <w:r/>
            <w:r>
              <w:rPr>
                <w:rFonts w:ascii="仿宋_GB2312" w:hAnsi="仿宋_GB2312" w:eastAsia="仿宋_GB2312"/>
                <w:b w:val="0"/>
                <w:color w:val="000000"/>
                <w:sz w:val="32"/>
              </w:rPr>
              <w:t>科兴制药归母净利润（2024）</w:t>
            </w:r>
          </w:p>
        </w:tc>
        <w:tc>
          <w:tcPr>
            <w:tcW w:type="dxa" w:w="2835"/>
          </w:tcPr>
          <w:p>
            <w:pPr>
              <w:spacing w:lineRule="exact" w:line="600"/>
              <w:jc w:val="center"/>
            </w:pPr>
            <w:r/>
            <w:r>
              <w:rPr>
                <w:rFonts w:ascii="仿宋_GB2312" w:hAnsi="仿宋_GB2312" w:eastAsia="仿宋_GB2312"/>
                <w:b w:val="0"/>
                <w:color w:val="000000"/>
                <w:sz w:val="32"/>
              </w:rPr>
              <w:t>0.31亿元（扭亏）</w:t>
            </w:r>
          </w:p>
        </w:tc>
        <w:tc>
          <w:tcPr>
            <w:tcW w:type="dxa" w:w="3118"/>
          </w:tcPr>
          <w:p>
            <w:pPr>
              <w:spacing w:lineRule="exact" w:line="600"/>
              <w:jc w:val="center"/>
            </w:pPr>
            <w:r/>
            <w:r>
              <w:rPr>
                <w:rFonts w:ascii="仿宋_GB2312" w:hAnsi="仿宋_GB2312" w:eastAsia="仿宋_GB2312"/>
                <w:b w:val="0"/>
                <w:color w:val="000000"/>
                <w:sz w:val="32"/>
              </w:rPr>
              <w:t>科兴制药2024年报</w:t>
            </w:r>
          </w:p>
        </w:tc>
      </w:tr>
      <w:tr>
        <w:tc>
          <w:tcPr>
            <w:tcW w:type="dxa" w:w="2835"/>
          </w:tcPr>
          <w:p>
            <w:pPr>
              <w:spacing w:lineRule="exact" w:line="600"/>
              <w:jc w:val="center"/>
            </w:pPr>
            <w:r/>
            <w:r>
              <w:rPr>
                <w:rFonts w:ascii="仿宋_GB2312" w:hAnsi="仿宋_GB2312" w:eastAsia="仿宋_GB2312"/>
                <w:b w:val="0"/>
                <w:color w:val="000000"/>
                <w:sz w:val="32"/>
              </w:rPr>
              <w:t>赛若金国内市占率（2024）</w:t>
            </w:r>
          </w:p>
        </w:tc>
        <w:tc>
          <w:tcPr>
            <w:tcW w:type="dxa" w:w="2835"/>
          </w:tcPr>
          <w:p>
            <w:pPr>
              <w:spacing w:lineRule="exact" w:line="600"/>
              <w:jc w:val="center"/>
            </w:pPr>
            <w:r/>
            <w:r>
              <w:rPr>
                <w:rFonts w:ascii="仿宋_GB2312" w:hAnsi="仿宋_GB2312" w:eastAsia="仿宋_GB2312"/>
                <w:b w:val="0"/>
                <w:color w:val="000000"/>
                <w:sz w:val="32"/>
              </w:rPr>
              <w:t>约55.2%，连续6年第一</w:t>
            </w:r>
          </w:p>
        </w:tc>
        <w:tc>
          <w:tcPr>
            <w:tcW w:type="dxa" w:w="3118"/>
          </w:tcPr>
          <w:p>
            <w:pPr>
              <w:spacing w:lineRule="exact" w:line="600"/>
              <w:jc w:val="center"/>
            </w:pPr>
            <w:r/>
            <w:r>
              <w:rPr>
                <w:rFonts w:ascii="仿宋_GB2312" w:hAnsi="仿宋_GB2312" w:eastAsia="仿宋_GB2312"/>
                <w:b w:val="0"/>
                <w:color w:val="000000"/>
                <w:sz w:val="32"/>
              </w:rPr>
              <w:t>弗若斯特沙利文/科兴招股书</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（一）国家战略与省级政策导向</w:t>
      </w:r>
    </w:p>
    <w:p>
      <w:pPr>
        <w:spacing w:lineRule="exact" w:line="600" w:before="0" w:after="0"/>
        <w:ind w:firstLine="420"/>
        <w:jc w:val="both"/>
      </w:pPr>
      <w:r>
        <w:rPr>
          <w:rFonts w:ascii="仿宋_GB2312" w:hAnsi="仿宋_GB2312" w:eastAsia="仿宋_GB2312"/>
          <w:b w:val="0"/>
          <w:color w:val="000000"/>
          <w:sz w:val="32"/>
        </w:rPr>
        <w:t>山东省将现代医药列入“十强产业”，《“十强产业”行动计划（2024—2025年）》明确培育壮大现代医药等新兴产业，2024年全社会研发经费投入年均增长10%左右、高新技术企业突破3.5万家（来源：山东省人民政府鲁政发〔2024〕5号）。济南市将现代医药列为13条标志性产业链之一，构建以生物药、化学药、中医药、医疗器械等六大细分产业链为基础的产业体系（来源：济南市工信局，2025）。</w:t>
      </w:r>
    </w:p>
    <w:p>
      <w:pPr>
        <w:spacing w:lineRule="exact" w:line="600" w:before="120" w:after="120"/>
        <w:ind w:firstLine="420"/>
        <w:jc w:val="left"/>
      </w:pPr>
      <w:r>
        <w:rPr>
          <w:rFonts w:ascii="楷体_GB2312" w:hAnsi="楷体_GB2312" w:eastAsia="楷体_GB2312"/>
          <w:b w:val="0"/>
          <w:color w:val="000000"/>
          <w:sz w:val="32"/>
        </w:rPr>
        <w:t>（二）区域经济运行与产业定位</w:t>
      </w:r>
    </w:p>
    <w:p>
      <w:pPr>
        <w:spacing w:lineRule="exact" w:line="600" w:before="0" w:after="0"/>
        <w:ind w:firstLine="420"/>
        <w:jc w:val="both"/>
      </w:pPr>
      <w:r>
        <w:rPr>
          <w:rFonts w:ascii="仿宋_GB2312" w:hAnsi="仿宋_GB2312" w:eastAsia="仿宋_GB2312"/>
          <w:b w:val="0"/>
          <w:color w:val="000000"/>
          <w:sz w:val="32"/>
        </w:rPr>
        <w:t>章丘区2024年实现地区生产总值1301.3亿元、增长6%，规上工业总产值1251.3亿元、增长3.1%，技改投资71.1亿元、增长11.5%（来源：章丘区2024年国民经济和社会发展计划执行情况报告）。全区构建“2+2+3”现代产业体系，将生物医药作为两大新兴产业集群之一重点培育，以科兴生物等龙头企业为主体打造生物制药高地（来源：章丘区政府官网）。</w:t>
      </w:r>
    </w:p>
    <w:p>
      <w:pPr>
        <w:spacing w:lineRule="exact" w:line="600" w:before="120" w:after="120"/>
        <w:ind w:firstLine="420"/>
        <w:jc w:val="left"/>
      </w:pPr>
      <w:r>
        <w:rPr>
          <w:rFonts w:ascii="楷体_GB2312" w:hAnsi="楷体_GB2312" w:eastAsia="楷体_GB2312"/>
          <w:b w:val="0"/>
          <w:color w:val="000000"/>
          <w:sz w:val="32"/>
        </w:rPr>
        <w:t>（三）金融与要素保障环境</w:t>
      </w:r>
    </w:p>
    <w:p>
      <w:pPr>
        <w:spacing w:lineRule="exact" w:line="600" w:before="0" w:after="0"/>
        <w:ind w:firstLine="420"/>
        <w:jc w:val="both"/>
      </w:pPr>
      <w:r>
        <w:rPr>
          <w:rFonts w:ascii="仿宋_GB2312" w:hAnsi="仿宋_GB2312" w:eastAsia="仿宋_GB2312"/>
          <w:b w:val="0"/>
          <w:color w:val="000000"/>
          <w:sz w:val="32"/>
        </w:rPr>
        <w:t>章丘搭建“政会银企”四方金融合作平台，推广“泉融通”综合融资服务平台，2024年开展政银企对接活动27次、惠及企业300余家，全区年新增贷款156亿元（来源：章丘区2024年计划执行情况报告）。山东省完善“鲁科贷”“鲁科担”“鲁科保”科技金融服务体系，对科技型中小企业提供无抵押无担保融资（来源：山东省“十强产业”行动计划）。</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济南市现代医药产业链规上企业数（2024）</w:t>
            </w:r>
          </w:p>
        </w:tc>
        <w:tc>
          <w:tcPr>
            <w:tcW w:type="dxa" w:w="2835"/>
          </w:tcPr>
          <w:p>
            <w:pPr>
              <w:spacing w:lineRule="exact" w:line="600"/>
              <w:jc w:val="center"/>
            </w:pPr>
            <w:r/>
            <w:r>
              <w:rPr>
                <w:rFonts w:ascii="仿宋_GB2312" w:hAnsi="仿宋_GB2312" w:eastAsia="仿宋_GB2312"/>
                <w:b w:val="0"/>
                <w:color w:val="000000"/>
                <w:sz w:val="32"/>
              </w:rPr>
              <w:t>750家</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济南市现代医药产业链营业收入（2024）</w:t>
            </w:r>
          </w:p>
        </w:tc>
        <w:tc>
          <w:tcPr>
            <w:tcW w:type="dxa" w:w="2835"/>
          </w:tcPr>
          <w:p>
            <w:pPr>
              <w:spacing w:lineRule="exact" w:line="600"/>
              <w:jc w:val="center"/>
            </w:pPr>
            <w:r/>
            <w:r>
              <w:rPr>
                <w:rFonts w:ascii="仿宋_GB2312" w:hAnsi="仿宋_GB2312" w:eastAsia="仿宋_GB2312"/>
                <w:b w:val="0"/>
                <w:color w:val="000000"/>
                <w:sz w:val="32"/>
              </w:rPr>
              <w:t>2343.4亿元，同比+5.1%</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济南市医药工业（含医疗器械）营收（2024）</w:t>
            </w:r>
          </w:p>
        </w:tc>
        <w:tc>
          <w:tcPr>
            <w:tcW w:type="dxa" w:w="2835"/>
          </w:tcPr>
          <w:p>
            <w:pPr>
              <w:spacing w:lineRule="exact" w:line="600"/>
              <w:jc w:val="center"/>
            </w:pPr>
            <w:r/>
            <w:r>
              <w:rPr>
                <w:rFonts w:ascii="仿宋_GB2312" w:hAnsi="仿宋_GB2312" w:eastAsia="仿宋_GB2312"/>
                <w:b w:val="0"/>
                <w:color w:val="000000"/>
                <w:sz w:val="32"/>
              </w:rPr>
              <w:t>446.3亿元，同比+0.8%</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章丘区地区生产总值（2024）</w:t>
            </w:r>
          </w:p>
        </w:tc>
        <w:tc>
          <w:tcPr>
            <w:tcW w:type="dxa" w:w="2835"/>
          </w:tcPr>
          <w:p>
            <w:pPr>
              <w:spacing w:lineRule="exact" w:line="600"/>
              <w:jc w:val="center"/>
            </w:pPr>
            <w:r/>
            <w:r>
              <w:rPr>
                <w:rFonts w:ascii="仿宋_GB2312" w:hAnsi="仿宋_GB2312" w:eastAsia="仿宋_GB2312"/>
                <w:b w:val="0"/>
                <w:color w:val="000000"/>
                <w:sz w:val="32"/>
              </w:rPr>
              <w:t>1301.3亿元，+6%</w:t>
            </w:r>
          </w:p>
        </w:tc>
        <w:tc>
          <w:tcPr>
            <w:tcW w:type="dxa" w:w="3118"/>
          </w:tcPr>
          <w:p>
            <w:pPr>
              <w:spacing w:lineRule="exact" w:line="600"/>
              <w:jc w:val="center"/>
            </w:pPr>
            <w:r/>
            <w:r>
              <w:rPr>
                <w:rFonts w:ascii="仿宋_GB2312" w:hAnsi="仿宋_GB2312" w:eastAsia="仿宋_GB2312"/>
                <w:b w:val="0"/>
                <w:color w:val="000000"/>
                <w:sz w:val="32"/>
              </w:rPr>
              <w:t>章丘区2024年计划执行情况报告</w:t>
            </w:r>
          </w:p>
        </w:tc>
      </w:tr>
      <w:tr>
        <w:tc>
          <w:tcPr>
            <w:tcW w:type="dxa" w:w="2835"/>
          </w:tcPr>
          <w:p>
            <w:pPr>
              <w:spacing w:lineRule="exact" w:line="600"/>
              <w:jc w:val="center"/>
            </w:pPr>
            <w:r/>
            <w:r>
              <w:rPr>
                <w:rFonts w:ascii="仿宋_GB2312" w:hAnsi="仿宋_GB2312" w:eastAsia="仿宋_GB2312"/>
                <w:b w:val="0"/>
                <w:color w:val="000000"/>
                <w:sz w:val="32"/>
              </w:rPr>
              <w:t>章丘区规上工业总产值（2024）</w:t>
            </w:r>
          </w:p>
        </w:tc>
        <w:tc>
          <w:tcPr>
            <w:tcW w:type="dxa" w:w="2835"/>
          </w:tcPr>
          <w:p>
            <w:pPr>
              <w:spacing w:lineRule="exact" w:line="600"/>
              <w:jc w:val="center"/>
            </w:pPr>
            <w:r/>
            <w:r>
              <w:rPr>
                <w:rFonts w:ascii="仿宋_GB2312" w:hAnsi="仿宋_GB2312" w:eastAsia="仿宋_GB2312"/>
                <w:b w:val="0"/>
                <w:color w:val="000000"/>
                <w:sz w:val="32"/>
              </w:rPr>
              <w:t>1251.3亿元，+3.1%</w:t>
            </w:r>
          </w:p>
        </w:tc>
        <w:tc>
          <w:tcPr>
            <w:tcW w:type="dxa" w:w="3118"/>
          </w:tcPr>
          <w:p>
            <w:pPr>
              <w:spacing w:lineRule="exact" w:line="600"/>
              <w:jc w:val="center"/>
            </w:pPr>
            <w:r/>
            <w:r>
              <w:rPr>
                <w:rFonts w:ascii="仿宋_GB2312" w:hAnsi="仿宋_GB2312" w:eastAsia="仿宋_GB2312"/>
                <w:b w:val="0"/>
                <w:color w:val="000000"/>
                <w:sz w:val="32"/>
              </w:rPr>
              <w:t>章丘区2024年计划执行情况报告</w:t>
            </w:r>
          </w:p>
        </w:tc>
      </w:tr>
    </w:tbl>
    <w:p>
      <w:pPr>
        <w:spacing w:lineRule="exact" w:line="600" w:before="120" w:after="120"/>
        <w:ind w:firstLine="420"/>
        <w:jc w:val="left"/>
      </w:pPr>
      <w:r>
        <w:rPr>
          <w:rFonts w:ascii="楷体_GB2312" w:hAnsi="楷体_GB2312" w:eastAsia="楷体_GB2312"/>
          <w:b w:val="0"/>
          <w:color w:val="000000"/>
          <w:sz w:val="32"/>
        </w:rPr>
        <w:t>（一）章丘区产业宏观环境（真实检索补充）</w:t>
      </w:r>
    </w:p>
    <w:p>
      <w:pPr>
        <w:spacing w:lineRule="exact" w:line="600" w:before="0" w:after="0"/>
        <w:ind w:firstLine="420"/>
        <w:jc w:val="both"/>
      </w:pPr>
      <w:r>
        <w:rPr>
          <w:rFonts w:ascii="仿宋_GB2312" w:hAnsi="仿宋_GB2312" w:eastAsia="仿宋_GB2312"/>
          <w:b w:val="0"/>
          <w:color w:val="000000"/>
          <w:sz w:val="32"/>
        </w:rPr>
        <w:t>章丘区2024年实现地区生产总值1301.3亿元、增长6%，规上工业总产值1251.3亿元、增长3.1%，制造业增加值占GDP比重达32.3%；依托国家级明水经济技术开发区与省级刁镇化工产业园两大载体，构建“2+2+3”现代产业体系，将生物医药列为两大新兴产业集群之一。（来源：章丘区2024年国民经济和社会发展计划执行报告、2025年政府工作报告）（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969"/>
          </w:tcPr>
          <w:p>
            <w:pPr>
              <w:spacing w:lineRule="exact" w:line="600"/>
              <w:jc w:val="center"/>
            </w:pPr>
            <w:r/>
            <w:r>
              <w:rPr>
                <w:rFonts w:ascii="黑体" w:hAnsi="黑体" w:eastAsia="黑体"/>
                <w:b/>
                <w:color w:val="000000"/>
                <w:sz w:val="32"/>
              </w:rPr>
              <w:t>章丘区宏观指标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来源/年份</w:t>
            </w:r>
          </w:p>
        </w:tc>
      </w:tr>
      <w:tr>
        <w:tc>
          <w:tcPr>
            <w:tcW w:type="dxa" w:w="3969"/>
          </w:tcPr>
          <w:p>
            <w:pPr>
              <w:spacing w:lineRule="exact" w:line="600"/>
              <w:jc w:val="center"/>
            </w:pPr>
            <w:r/>
            <w:r>
              <w:rPr>
                <w:rFonts w:ascii="仿宋_GB2312" w:hAnsi="仿宋_GB2312" w:eastAsia="仿宋_GB2312"/>
                <w:b w:val="0"/>
                <w:color w:val="000000"/>
                <w:sz w:val="32"/>
              </w:rPr>
              <w:t>地区生产总值</w:t>
            </w:r>
          </w:p>
        </w:tc>
        <w:tc>
          <w:tcPr>
            <w:tcW w:type="dxa" w:w="2835"/>
          </w:tcPr>
          <w:p>
            <w:pPr>
              <w:spacing w:lineRule="exact" w:line="600"/>
              <w:jc w:val="center"/>
            </w:pPr>
            <w:r/>
            <w:r>
              <w:rPr>
                <w:rFonts w:ascii="仿宋_GB2312" w:hAnsi="仿宋_GB2312" w:eastAsia="仿宋_GB2312"/>
                <w:b w:val="0"/>
                <w:color w:val="000000"/>
                <w:sz w:val="32"/>
              </w:rPr>
              <w:t>1301.3亿元（增长6%）</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规上工业总产值</w:t>
            </w:r>
          </w:p>
        </w:tc>
        <w:tc>
          <w:tcPr>
            <w:tcW w:type="dxa" w:w="2835"/>
          </w:tcPr>
          <w:p>
            <w:pPr>
              <w:spacing w:lineRule="exact" w:line="600"/>
              <w:jc w:val="center"/>
            </w:pPr>
            <w:r/>
            <w:r>
              <w:rPr>
                <w:rFonts w:ascii="仿宋_GB2312" w:hAnsi="仿宋_GB2312" w:eastAsia="仿宋_GB2312"/>
                <w:b w:val="0"/>
                <w:color w:val="000000"/>
                <w:sz w:val="32"/>
              </w:rPr>
              <w:t>1251.3亿元（增长3.1%）</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制造业增加值占GDP</w:t>
            </w:r>
          </w:p>
        </w:tc>
        <w:tc>
          <w:tcPr>
            <w:tcW w:type="dxa" w:w="2835"/>
          </w:tcPr>
          <w:p>
            <w:pPr>
              <w:spacing w:lineRule="exact" w:line="600"/>
              <w:jc w:val="center"/>
            </w:pPr>
            <w:r/>
            <w:r>
              <w:rPr>
                <w:rFonts w:ascii="仿宋_GB2312" w:hAnsi="仿宋_GB2312" w:eastAsia="仿宋_GB2312"/>
                <w:b w:val="0"/>
                <w:color w:val="000000"/>
                <w:sz w:val="32"/>
              </w:rPr>
              <w:t>32.3%</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规上工业企业</w:t>
            </w:r>
          </w:p>
        </w:tc>
        <w:tc>
          <w:tcPr>
            <w:tcW w:type="dxa" w:w="2835"/>
          </w:tcPr>
          <w:p>
            <w:pPr>
              <w:spacing w:lineRule="exact" w:line="600"/>
              <w:jc w:val="center"/>
            </w:pPr>
            <w:r/>
            <w:r>
              <w:rPr>
                <w:rFonts w:ascii="仿宋_GB2312" w:hAnsi="仿宋_GB2312" w:eastAsia="仿宋_GB2312"/>
                <w:b w:val="0"/>
                <w:color w:val="000000"/>
                <w:sz w:val="32"/>
              </w:rPr>
              <w:t>579家（占全市20.35%）</w:t>
            </w:r>
          </w:p>
        </w:tc>
        <w:tc>
          <w:tcPr>
            <w:tcW w:type="dxa" w:w="2551"/>
          </w:tcPr>
          <w:p>
            <w:pPr>
              <w:spacing w:lineRule="exact" w:line="600"/>
              <w:jc w:val="center"/>
            </w:pPr>
            <w:r/>
            <w:r>
              <w:rPr>
                <w:rFonts w:ascii="仿宋_GB2312" w:hAnsi="仿宋_GB2312" w:eastAsia="仿宋_GB2312"/>
                <w:b w:val="0"/>
                <w:color w:val="000000"/>
                <w:sz w:val="32"/>
              </w:rPr>
              <w:t>章丘区2024年</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（一）研发—中试—生产—流通链条</w:t>
      </w:r>
    </w:p>
    <w:p>
      <w:pPr>
        <w:spacing w:lineRule="exact" w:line="600" w:before="0" w:after="0"/>
        <w:ind w:firstLine="420"/>
        <w:jc w:val="both"/>
      </w:pPr>
      <w:r>
        <w:rPr>
          <w:rFonts w:ascii="仿宋_GB2312" w:hAnsi="仿宋_GB2312" w:eastAsia="仿宋_GB2312"/>
          <w:b w:val="0"/>
          <w:color w:val="000000"/>
          <w:sz w:val="32"/>
        </w:rPr>
        <w:t>生物制药产业链上游为基因工程菌种、培养基与生物反应器，中游为发酵、纯化、制剂，下游为药品流通与终端。章丘以科兴生物制药（重组蛋白药物、微生态制剂）为链主，配套华润双鹤利民（化学药制剂）形成“龙头引领+配套跟进”格局，依托明水经济技术开发区集聚（来源：章丘区重点产业报道）。</w:t>
      </w:r>
    </w:p>
    <w:p>
      <w:pPr>
        <w:spacing w:lineRule="exact" w:line="600" w:before="120" w:after="120"/>
        <w:ind w:firstLine="420"/>
        <w:jc w:val="left"/>
      </w:pPr>
      <w:r>
        <w:rPr>
          <w:rFonts w:ascii="楷体_GB2312" w:hAnsi="楷体_GB2312" w:eastAsia="楷体_GB2312"/>
          <w:b w:val="0"/>
          <w:color w:val="000000"/>
          <w:sz w:val="32"/>
        </w:rPr>
        <w:t>（二）创新平台与中试能力</w:t>
      </w:r>
    </w:p>
    <w:p>
      <w:pPr>
        <w:spacing w:lineRule="exact" w:line="600" w:before="0" w:after="0"/>
        <w:ind w:firstLine="420"/>
        <w:jc w:val="both"/>
      </w:pPr>
      <w:r>
        <w:rPr>
          <w:rFonts w:ascii="仿宋_GB2312" w:hAnsi="仿宋_GB2312" w:eastAsia="仿宋_GB2312"/>
          <w:b w:val="0"/>
          <w:color w:val="000000"/>
          <w:sz w:val="32"/>
        </w:rPr>
        <w:t>科兴生物已构建重组蛋白药物、抗体药物、递送系统技术、微生态制剂研发及产业化、载体疫苗五大技术平台，拥有专利36项（来源：科兴制药招股书/2024年报）。章丘有14家企业成功备案为济南市重点实验室，科兴生物等入选，数量居全市前列（来源：章丘区2024年计划执行情况报告）。</w:t>
      </w:r>
    </w:p>
    <w:p>
      <w:pPr>
        <w:spacing w:lineRule="exact" w:line="600" w:before="120" w:after="120"/>
        <w:ind w:firstLine="420"/>
        <w:jc w:val="left"/>
      </w:pPr>
      <w:r>
        <w:rPr>
          <w:rFonts w:ascii="楷体_GB2312" w:hAnsi="楷体_GB2312" w:eastAsia="楷体_GB2312"/>
          <w:b w:val="0"/>
          <w:color w:val="000000"/>
          <w:sz w:val="32"/>
        </w:rPr>
        <w:t>（二）章丘生物医药产业链（真实检索补充）</w:t>
      </w:r>
    </w:p>
    <w:p>
      <w:pPr>
        <w:spacing w:lineRule="exact" w:line="600" w:before="0" w:after="0"/>
        <w:ind w:firstLine="420"/>
        <w:jc w:val="both"/>
      </w:pPr>
      <w:r>
        <w:rPr>
          <w:rFonts w:ascii="仿宋_GB2312" w:hAnsi="仿宋_GB2312" w:eastAsia="仿宋_GB2312"/>
          <w:b w:val="0"/>
          <w:color w:val="000000"/>
          <w:sz w:val="32"/>
        </w:rPr>
        <w:t>章丘生物医药产业链呈“上游生物原料与医药中间体—中游制剂与原料药—下游医疗防疫应用”格局：上游依托刁镇化工产业园圣泉集团以玉米芯、秸秆等生物原料发展生物化工与医药中间体；中游聚集科兴生物（生物制药谷扩建投产）、华润双鹤利民制药（固体制剂车间项目）等龙头企业；下游对接医院、防疫与医药流通。医药及防护用品产业集群已入选省级特色产业集群；上游生物化工依托刁镇化工产业园，2024年园区工业总产值234.18亿元，生物化工与医药中间体为三大主导产业之一。（来源：章丘区2024年计划执行报告、刁镇化工园资料）（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产业链环节</w:t>
            </w:r>
          </w:p>
        </w:tc>
        <w:tc>
          <w:tcPr>
            <w:tcW w:type="dxa" w:w="3969"/>
          </w:tcPr>
          <w:p>
            <w:pPr>
              <w:spacing w:lineRule="exact" w:line="600"/>
              <w:jc w:val="center"/>
            </w:pPr>
            <w:r/>
            <w:r>
              <w:rPr>
                <w:rFonts w:ascii="黑体" w:hAnsi="黑体" w:eastAsia="黑体"/>
                <w:b/>
                <w:color w:val="000000"/>
                <w:sz w:val="32"/>
              </w:rPr>
              <w:t>代表主体/内容</w:t>
            </w:r>
          </w:p>
        </w:tc>
        <w:tc>
          <w:tcPr>
            <w:tcW w:type="dxa" w:w="2551"/>
          </w:tcPr>
          <w:p>
            <w:pPr>
              <w:spacing w:lineRule="exact" w:line="600"/>
              <w:jc w:val="center"/>
            </w:pPr>
            <w:r/>
            <w:r>
              <w:rPr>
                <w:rFonts w:ascii="黑体" w:hAnsi="黑体" w:eastAsia="黑体"/>
                <w:b/>
                <w:color w:val="000000"/>
                <w:sz w:val="32"/>
              </w:rPr>
              <w:t>载体/数值</w:t>
            </w:r>
          </w:p>
        </w:tc>
      </w:tr>
      <w:tr>
        <w:tc>
          <w:tcPr>
            <w:tcW w:type="dxa" w:w="2835"/>
          </w:tcPr>
          <w:p>
            <w:pPr>
              <w:spacing w:lineRule="exact" w:line="600"/>
              <w:jc w:val="center"/>
            </w:pPr>
            <w:r/>
            <w:r>
              <w:rPr>
                <w:rFonts w:ascii="仿宋_GB2312" w:hAnsi="仿宋_GB2312" w:eastAsia="仿宋_GB2312"/>
                <w:b w:val="0"/>
                <w:color w:val="000000"/>
                <w:sz w:val="32"/>
              </w:rPr>
              <w:t>上游</w:t>
            </w:r>
          </w:p>
        </w:tc>
        <w:tc>
          <w:tcPr>
            <w:tcW w:type="dxa" w:w="3969"/>
          </w:tcPr>
          <w:p>
            <w:pPr>
              <w:spacing w:lineRule="exact" w:line="600"/>
              <w:jc w:val="center"/>
            </w:pPr>
            <w:r/>
            <w:r>
              <w:rPr>
                <w:rFonts w:ascii="仿宋_GB2312" w:hAnsi="仿宋_GB2312" w:eastAsia="仿宋_GB2312"/>
                <w:b w:val="0"/>
                <w:color w:val="000000"/>
                <w:sz w:val="32"/>
              </w:rPr>
              <w:t>圣泉生物化工/医药中间体（玉米芯、秸秆）</w:t>
            </w:r>
          </w:p>
        </w:tc>
        <w:tc>
          <w:tcPr>
            <w:tcW w:type="dxa" w:w="2551"/>
          </w:tcPr>
          <w:p>
            <w:pPr>
              <w:spacing w:lineRule="exact" w:line="600"/>
              <w:jc w:val="center"/>
            </w:pPr>
            <w:r/>
            <w:r>
              <w:rPr>
                <w:rFonts w:ascii="仿宋_GB2312" w:hAnsi="仿宋_GB2312" w:eastAsia="仿宋_GB2312"/>
                <w:b w:val="0"/>
                <w:color w:val="000000"/>
                <w:sz w:val="32"/>
              </w:rPr>
              <w:t>刁镇化工产业园</w:t>
            </w:r>
          </w:p>
        </w:tc>
      </w:tr>
      <w:tr>
        <w:tc>
          <w:tcPr>
            <w:tcW w:type="dxa" w:w="2835"/>
          </w:tcPr>
          <w:p>
            <w:pPr>
              <w:spacing w:lineRule="exact" w:line="600"/>
              <w:jc w:val="center"/>
            </w:pPr>
            <w:r/>
            <w:r>
              <w:rPr>
                <w:rFonts w:ascii="仿宋_GB2312" w:hAnsi="仿宋_GB2312" w:eastAsia="仿宋_GB2312"/>
                <w:b w:val="0"/>
                <w:color w:val="000000"/>
                <w:sz w:val="32"/>
              </w:rPr>
              <w:t>中游</w:t>
            </w:r>
          </w:p>
        </w:tc>
        <w:tc>
          <w:tcPr>
            <w:tcW w:type="dxa" w:w="3969"/>
          </w:tcPr>
          <w:p>
            <w:pPr>
              <w:spacing w:lineRule="exact" w:line="600"/>
              <w:jc w:val="center"/>
            </w:pPr>
            <w:r/>
            <w:r>
              <w:rPr>
                <w:rFonts w:ascii="仿宋_GB2312" w:hAnsi="仿宋_GB2312" w:eastAsia="仿宋_GB2312"/>
                <w:b w:val="0"/>
                <w:color w:val="000000"/>
                <w:sz w:val="32"/>
              </w:rPr>
              <w:t>科兴生物、华润双鹤利民等制剂与原料药</w:t>
            </w:r>
          </w:p>
        </w:tc>
        <w:tc>
          <w:tcPr>
            <w:tcW w:type="dxa" w:w="2551"/>
          </w:tcPr>
          <w:p>
            <w:pPr>
              <w:spacing w:lineRule="exact" w:line="600"/>
              <w:jc w:val="center"/>
            </w:pPr>
            <w:r/>
            <w:r>
              <w:rPr>
                <w:rFonts w:ascii="仿宋_GB2312" w:hAnsi="仿宋_GB2312" w:eastAsia="仿宋_GB2312"/>
                <w:b w:val="0"/>
                <w:color w:val="000000"/>
                <w:sz w:val="32"/>
              </w:rPr>
              <w:t>明水经开区</w:t>
            </w:r>
          </w:p>
        </w:tc>
      </w:tr>
      <w:tr>
        <w:tc>
          <w:tcPr>
            <w:tcW w:type="dxa" w:w="2835"/>
          </w:tcPr>
          <w:p>
            <w:pPr>
              <w:spacing w:lineRule="exact" w:line="600"/>
              <w:jc w:val="center"/>
            </w:pPr>
            <w:r/>
            <w:r>
              <w:rPr>
                <w:rFonts w:ascii="仿宋_GB2312" w:hAnsi="仿宋_GB2312" w:eastAsia="仿宋_GB2312"/>
                <w:b w:val="0"/>
                <w:color w:val="000000"/>
                <w:sz w:val="32"/>
              </w:rPr>
              <w:t>下游</w:t>
            </w:r>
          </w:p>
        </w:tc>
        <w:tc>
          <w:tcPr>
            <w:tcW w:type="dxa" w:w="3969"/>
          </w:tcPr>
          <w:p>
            <w:pPr>
              <w:spacing w:lineRule="exact" w:line="600"/>
              <w:jc w:val="center"/>
            </w:pPr>
            <w:r/>
            <w:r>
              <w:rPr>
                <w:rFonts w:ascii="仿宋_GB2312" w:hAnsi="仿宋_GB2312" w:eastAsia="仿宋_GB2312"/>
                <w:b w:val="0"/>
                <w:color w:val="000000"/>
                <w:sz w:val="32"/>
              </w:rPr>
              <w:t>医院/防疫/医药流通</w:t>
            </w:r>
          </w:p>
        </w:tc>
        <w:tc>
          <w:tcPr>
            <w:tcW w:type="dxa" w:w="2551"/>
          </w:tcPr>
          <w:p>
            <w:pPr>
              <w:spacing w:lineRule="exact" w:line="600"/>
              <w:jc w:val="center"/>
            </w:pPr>
            <w:r/>
            <w:r>
              <w:rPr>
                <w:rFonts w:ascii="仿宋_GB2312" w:hAnsi="仿宋_GB2312" w:eastAsia="仿宋_GB2312"/>
                <w:b w:val="0"/>
                <w:color w:val="000000"/>
                <w:sz w:val="32"/>
              </w:rPr>
              <w:t>省级特色产业集群</w:t>
            </w:r>
          </w:p>
        </w:tc>
      </w:tr>
      <w:tr>
        <w:tc>
          <w:tcPr>
            <w:tcW w:type="dxa" w:w="2835"/>
          </w:tcPr>
          <w:p>
            <w:pPr>
              <w:spacing w:lineRule="exact" w:line="600"/>
              <w:jc w:val="center"/>
            </w:pPr>
            <w:r/>
            <w:r>
              <w:rPr>
                <w:rFonts w:ascii="仿宋_GB2312" w:hAnsi="仿宋_GB2312" w:eastAsia="仿宋_GB2312"/>
                <w:b w:val="0"/>
                <w:color w:val="000000"/>
                <w:sz w:val="32"/>
              </w:rPr>
              <w:t>刁镇化工园产值</w:t>
            </w:r>
          </w:p>
        </w:tc>
        <w:tc>
          <w:tcPr>
            <w:tcW w:type="dxa" w:w="3969"/>
          </w:tcPr>
          <w:p>
            <w:pPr>
              <w:spacing w:lineRule="exact" w:line="600"/>
              <w:jc w:val="center"/>
            </w:pPr>
            <w:r/>
            <w:r>
              <w:rPr>
                <w:rFonts w:ascii="仿宋_GB2312" w:hAnsi="仿宋_GB2312" w:eastAsia="仿宋_GB2312"/>
                <w:b w:val="0"/>
                <w:color w:val="000000"/>
                <w:sz w:val="32"/>
              </w:rPr>
              <w:t>234.18亿元（2024）</w:t>
            </w:r>
          </w:p>
        </w:tc>
        <w:tc>
          <w:tcPr>
            <w:tcW w:type="dxa" w:w="2551"/>
          </w:tcPr>
          <w:p>
            <w:pPr>
              <w:spacing w:lineRule="exact" w:line="600"/>
              <w:jc w:val="center"/>
            </w:pPr>
            <w:r/>
            <w:r>
              <w:rPr>
                <w:rFonts w:ascii="仿宋_GB2312" w:hAnsi="仿宋_GB2312" w:eastAsia="仿宋_GB2312"/>
                <w:b w:val="0"/>
                <w:color w:val="000000"/>
                <w:sz w:val="32"/>
              </w:rPr>
              <w:t>刁镇化工园</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（一）细分产品市场份额</w:t>
      </w:r>
    </w:p>
    <w:p>
      <w:pPr>
        <w:spacing w:lineRule="exact" w:line="600" w:before="0" w:after="0"/>
        <w:ind w:firstLine="420"/>
        <w:jc w:val="both"/>
      </w:pPr>
      <w:r>
        <w:rPr>
          <w:rFonts w:ascii="仿宋_GB2312" w:hAnsi="仿宋_GB2312" w:eastAsia="仿宋_GB2312"/>
          <w:b w:val="0"/>
          <w:color w:val="000000"/>
          <w:sz w:val="32"/>
        </w:rPr>
        <w:t>科兴制药“赛若金”（重组人干扰素α1b注射液）按2024年销售额计占中国市场约55.2%，自2019年以来连续六年排名第一；“依普定”（重组人促红素注射液）约占16.7%，自2021年以来连续四年位列第二（来源：科兴制药港股招股书/弗若斯特沙利文）。产品主要用于抗病毒、血液、肿瘤与免疫等领域（来源：科兴制药2024年报）。</w:t>
      </w:r>
    </w:p>
    <w:p>
      <w:pPr>
        <w:spacing w:lineRule="exact" w:line="600" w:before="120" w:after="120"/>
        <w:ind w:firstLine="420"/>
        <w:jc w:val="left"/>
      </w:pPr>
      <w:r>
        <w:rPr>
          <w:rFonts w:ascii="楷体_GB2312" w:hAnsi="楷体_GB2312" w:eastAsia="楷体_GB2312"/>
          <w:b w:val="0"/>
          <w:color w:val="000000"/>
          <w:sz w:val="32"/>
        </w:rPr>
        <w:t>（二）供需格局与国际化</w:t>
      </w:r>
    </w:p>
    <w:p>
      <w:pPr>
        <w:spacing w:lineRule="exact" w:line="600" w:before="0" w:after="0"/>
        <w:ind w:firstLine="420"/>
        <w:jc w:val="both"/>
      </w:pPr>
      <w:r>
        <w:rPr>
          <w:rFonts w:ascii="仿宋_GB2312" w:hAnsi="仿宋_GB2312" w:eastAsia="仿宋_GB2312"/>
          <w:b w:val="0"/>
          <w:color w:val="000000"/>
          <w:sz w:val="32"/>
        </w:rPr>
        <w:t>2024年中国医药市场规模持续扩大，重组蛋白与微生态制剂需求稳健。科兴制药2024年海外销售收入约2.25亿元、同比增长62%，位于济南的白蛋白紫杉醇生产线获欧洲EMA的GMP证书与欧盟上市批准，已在60余个国家提交120多项注册申请（来源：科兴制药2024年报/甬兴证券研报）。</w:t>
      </w:r>
    </w:p>
    <w:p>
      <w:pPr>
        <w:spacing w:lineRule="exact" w:line="600" w:before="120" w:after="120"/>
        <w:ind w:firstLine="420"/>
        <w:jc w:val="left"/>
      </w:pPr>
      <w:r>
        <w:rPr>
          <w:rFonts w:ascii="楷体_GB2312" w:hAnsi="楷体_GB2312" w:eastAsia="楷体_GB2312"/>
          <w:b w:val="0"/>
          <w:color w:val="000000"/>
          <w:sz w:val="32"/>
        </w:rPr>
        <w:t>（三）区域竞争格局</w:t>
      </w:r>
    </w:p>
    <w:p>
      <w:pPr>
        <w:spacing w:lineRule="exact" w:line="600" w:before="0" w:after="0"/>
        <w:ind w:firstLine="420"/>
        <w:jc w:val="both"/>
      </w:pPr>
      <w:r>
        <w:rPr>
          <w:rFonts w:ascii="仿宋_GB2312" w:hAnsi="仿宋_GB2312" w:eastAsia="仿宋_GB2312"/>
          <w:b w:val="0"/>
          <w:color w:val="000000"/>
          <w:sz w:val="32"/>
        </w:rPr>
        <w:t>济南市医药制造业规模居全国副省级城市第4位，齐鲁制药为链主企业，科兴生物、宏济堂等为重点企业；章丘在重组蛋白药物细分领域具备差异化优势（来源：济南市现代医药产业链对接会，大众日报2025）。省内生物制药竞争集中于济南、青岛、烟台（荣昌、绿叶）等地（来源：山东省工信厅）。</w:t>
      </w:r>
    </w:p>
    <w:p>
      <w:pPr>
        <w:spacing w:lineRule="exact" w:line="600" w:before="120" w:after="120"/>
        <w:ind w:firstLine="420"/>
        <w:jc w:val="left"/>
      </w:pPr>
      <w:r>
        <w:rPr>
          <w:rFonts w:ascii="楷体_GB2312" w:hAnsi="楷体_GB2312" w:eastAsia="楷体_GB2312"/>
          <w:b w:val="0"/>
          <w:color w:val="000000"/>
          <w:sz w:val="32"/>
        </w:rPr>
        <w:t>章丘生物医药市场供需与竞争（本批真实数据补充·来源见正文）</w:t>
      </w:r>
    </w:p>
    <w:p>
      <w:pPr>
        <w:spacing w:lineRule="exact" w:line="600" w:before="0" w:after="0"/>
        <w:ind w:firstLine="420"/>
        <w:jc w:val="both"/>
      </w:pPr>
      <w:r>
        <w:rPr>
          <w:rFonts w:ascii="仿宋_GB2312" w:hAnsi="仿宋_GB2312" w:eastAsia="仿宋_GB2312"/>
          <w:b w:val="0"/>
          <w:color w:val="000000"/>
          <w:sz w:val="32"/>
        </w:rPr>
        <w:t>明水经济技术开发区医药及防护用品特色产业集群是山东省特色产业集群，现有生物医药关联企业157家（其中医药类109家、医疗物资生产48家、规模以上18家），2021年产值超过130亿元，获2022年度山东省特色产业集群综合评价第一名。以科兴生物制药（重组蛋白药物、微生态制剂）、山东博科生物（体外诊断设备及试剂，目标向百亿级迈进）、华润双鹤利民药业、济南明鑫制药等为龙头，形成生物制药、化学药、医疗器械、医药流通协同发展的产业体系；体外诊断与化学药领域加速进口替代，下游需求受益于全国医药市场持续增长与基层医疗扩容。（来源：济南市工信局、章丘区、明水经开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关联企业</w:t>
            </w:r>
          </w:p>
        </w:tc>
        <w:tc>
          <w:tcPr>
            <w:tcW w:type="dxa" w:w="2835"/>
          </w:tcPr>
          <w:p>
            <w:pPr>
              <w:spacing w:lineRule="exact" w:line="600"/>
              <w:jc w:val="center"/>
            </w:pPr>
            <w:r/>
            <w:r>
              <w:rPr>
                <w:rFonts w:ascii="仿宋_GB2312" w:hAnsi="仿宋_GB2312" w:eastAsia="仿宋_GB2312"/>
                <w:b w:val="0"/>
                <w:color w:val="000000"/>
                <w:sz w:val="32"/>
              </w:rPr>
              <w:t>157家（医药109/医疗物资48/规上18）</w:t>
            </w:r>
          </w:p>
        </w:tc>
        <w:tc>
          <w:tcPr>
            <w:tcW w:type="dxa" w:w="2551"/>
          </w:tcPr>
          <w:p>
            <w:pPr>
              <w:spacing w:lineRule="exact" w:line="600"/>
              <w:jc w:val="center"/>
            </w:pPr>
            <w:r/>
            <w:r>
              <w:rPr>
                <w:rFonts w:ascii="仿宋_GB2312" w:hAnsi="仿宋_GB2312" w:eastAsia="仿宋_GB2312"/>
                <w:b w:val="0"/>
                <w:color w:val="000000"/>
                <w:sz w:val="32"/>
              </w:rPr>
              <w:t>省级集群第一</w:t>
            </w:r>
          </w:p>
        </w:tc>
      </w:tr>
      <w:tr>
        <w:tc>
          <w:tcPr>
            <w:tcW w:type="dxa" w:w="3118"/>
          </w:tcPr>
          <w:p>
            <w:pPr>
              <w:spacing w:lineRule="exact" w:line="600"/>
              <w:jc w:val="center"/>
            </w:pPr>
            <w:r/>
            <w:r>
              <w:rPr>
                <w:rFonts w:ascii="仿宋_GB2312" w:hAnsi="仿宋_GB2312" w:eastAsia="仿宋_GB2312"/>
                <w:b w:val="0"/>
                <w:color w:val="000000"/>
                <w:sz w:val="32"/>
              </w:rPr>
              <w:t>2021产值</w:t>
            </w:r>
          </w:p>
        </w:tc>
        <w:tc>
          <w:tcPr>
            <w:tcW w:type="dxa" w:w="2835"/>
          </w:tcPr>
          <w:p>
            <w:pPr>
              <w:spacing w:lineRule="exact" w:line="600"/>
              <w:jc w:val="center"/>
            </w:pPr>
            <w:r/>
            <w:r>
              <w:rPr>
                <w:rFonts w:ascii="仿宋_GB2312" w:hAnsi="仿宋_GB2312" w:eastAsia="仿宋_GB2312"/>
                <w:b w:val="0"/>
                <w:color w:val="000000"/>
                <w:sz w:val="32"/>
              </w:rPr>
              <w:t>超130亿元</w:t>
            </w:r>
          </w:p>
        </w:tc>
        <w:tc>
          <w:tcPr>
            <w:tcW w:type="dxa" w:w="2551"/>
          </w:tcPr>
          <w:p>
            <w:pPr>
              <w:spacing w:lineRule="exact" w:line="600"/>
              <w:jc w:val="center"/>
            </w:pPr>
            <w:r/>
            <w:r>
              <w:rPr>
                <w:rFonts w:ascii="仿宋_GB2312" w:hAnsi="仿宋_GB2312" w:eastAsia="仿宋_GB2312"/>
                <w:b w:val="0"/>
                <w:color w:val="000000"/>
                <w:sz w:val="32"/>
              </w:rPr>
              <w:t>综合评价第一</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科兴/博科/华润双鹤利民等</w:t>
            </w:r>
          </w:p>
        </w:tc>
        <w:tc>
          <w:tcPr>
            <w:tcW w:type="dxa" w:w="2551"/>
          </w:tcPr>
          <w:p>
            <w:pPr>
              <w:spacing w:lineRule="exact" w:line="600"/>
              <w:jc w:val="center"/>
            </w:pPr>
            <w:r/>
            <w:r>
              <w:rPr>
                <w:rFonts w:ascii="仿宋_GB2312" w:hAnsi="仿宋_GB2312" w:eastAsia="仿宋_GB2312"/>
                <w:b w:val="0"/>
                <w:color w:val="000000"/>
                <w:sz w:val="32"/>
              </w:rPr>
              <w:t>体外诊断+化学药</w:t>
            </w:r>
          </w:p>
        </w:tc>
      </w:tr>
      <w:tr>
        <w:tc>
          <w:tcPr>
            <w:tcW w:type="dxa" w:w="3118"/>
          </w:tcPr>
          <w:p>
            <w:pPr>
              <w:spacing w:lineRule="exact" w:line="600"/>
              <w:jc w:val="center"/>
            </w:pPr>
            <w:r/>
            <w:r>
              <w:rPr>
                <w:rFonts w:ascii="仿宋_GB2312" w:hAnsi="仿宋_GB2312" w:eastAsia="仿宋_GB2312"/>
                <w:b w:val="0"/>
                <w:color w:val="000000"/>
                <w:sz w:val="32"/>
              </w:rPr>
              <w:t>市场趋势</w:t>
            </w:r>
          </w:p>
        </w:tc>
        <w:tc>
          <w:tcPr>
            <w:tcW w:type="dxa" w:w="2835"/>
          </w:tcPr>
          <w:p>
            <w:pPr>
              <w:spacing w:lineRule="exact" w:line="600"/>
              <w:jc w:val="center"/>
            </w:pPr>
            <w:r/>
            <w:r>
              <w:rPr>
                <w:rFonts w:ascii="仿宋_GB2312" w:hAnsi="仿宋_GB2312" w:eastAsia="仿宋_GB2312"/>
                <w:b w:val="0"/>
                <w:color w:val="000000"/>
                <w:sz w:val="32"/>
              </w:rPr>
              <w:t>进口替代+基层医疗扩容</w:t>
            </w:r>
          </w:p>
        </w:tc>
        <w:tc>
          <w:tcPr>
            <w:tcW w:type="dxa" w:w="2551"/>
          </w:tcPr>
          <w:p>
            <w:pPr>
              <w:spacing w:lineRule="exact" w:line="600"/>
              <w:jc w:val="center"/>
            </w:pPr>
            <w:r/>
            <w:r>
              <w:rPr>
                <w:rFonts w:ascii="仿宋_GB2312" w:hAnsi="仿宋_GB2312" w:eastAsia="仿宋_GB2312"/>
                <w:b w:val="0"/>
                <w:color w:val="000000"/>
                <w:sz w:val="32"/>
              </w:rPr>
              <w:t>需求增长</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（一）集群规模与企业梯队</w:t>
      </w:r>
    </w:p>
    <w:p>
      <w:pPr>
        <w:spacing w:lineRule="exact" w:line="600" w:before="0" w:after="0"/>
        <w:ind w:firstLine="420"/>
        <w:jc w:val="both"/>
      </w:pPr>
      <w:r>
        <w:rPr>
          <w:rFonts w:ascii="仿宋_GB2312" w:hAnsi="仿宋_GB2312" w:eastAsia="仿宋_GB2312"/>
          <w:b w:val="0"/>
          <w:color w:val="000000"/>
          <w:sz w:val="32"/>
        </w:rPr>
        <w:t>济南现代医药产业链2024年规上企业750家，营业收入2343.4亿元、同比增长5.1%；其中医药工业（含医疗器械）规上128家、营收446.3亿元、同比增长0.8%，占全省医药制造业的14.7%（来源：济南市工信局，2025）。章丘集聚科兴生物、华润双鹤利民、博科生物等骨干企业（来源：章丘区重点产业报道）。</w:t>
      </w:r>
    </w:p>
    <w:p>
      <w:pPr>
        <w:spacing w:lineRule="exact" w:line="600" w:before="120" w:after="120"/>
        <w:ind w:firstLine="420"/>
        <w:jc w:val="left"/>
      </w:pPr>
      <w:r>
        <w:rPr>
          <w:rFonts w:ascii="楷体_GB2312" w:hAnsi="楷体_GB2312" w:eastAsia="楷体_GB2312"/>
          <w:b w:val="0"/>
          <w:color w:val="000000"/>
          <w:sz w:val="32"/>
        </w:rPr>
        <w:t>（二）重点企业画像</w:t>
      </w:r>
    </w:p>
    <w:p>
      <w:pPr>
        <w:spacing w:lineRule="exact" w:line="600" w:before="0" w:after="0"/>
        <w:ind w:firstLine="420"/>
        <w:jc w:val="both"/>
      </w:pPr>
      <w:r>
        <w:rPr>
          <w:rFonts w:ascii="仿宋_GB2312" w:hAnsi="仿宋_GB2312" w:eastAsia="仿宋_GB2312"/>
          <w:b w:val="0"/>
          <w:color w:val="000000"/>
          <w:sz w:val="32"/>
        </w:rPr>
        <w:t>科兴生物制药股份有限公司为科创板上市公司（688136），位于章丘埠村街道，是集群生物制药龙头，2024年营收14.07亿元、归母净利润0.31亿元，实现扭亏为盈（来源：科兴制药2024年报）。华润双鹤利民药业为华润双鹤全资子公司，是集群化学药骨干，章丘51个市级重点项目完成投资225亿元（来源：章丘区2024年计划执行情况报告）。</w:t>
      </w:r>
    </w:p>
    <w:p>
      <w:pPr>
        <w:spacing w:lineRule="exact" w:line="600" w:before="120" w:after="120"/>
        <w:ind w:firstLine="420"/>
        <w:jc w:val="left"/>
      </w:pPr>
      <w:r>
        <w:rPr>
          <w:rFonts w:ascii="楷体_GB2312" w:hAnsi="楷体_GB2312" w:eastAsia="楷体_GB2312"/>
          <w:b w:val="0"/>
          <w:color w:val="000000"/>
          <w:sz w:val="32"/>
        </w:rPr>
        <w:t>（四）章丘生物医药市场主体（真实检索补充）</w:t>
      </w:r>
    </w:p>
    <w:p>
      <w:pPr>
        <w:spacing w:lineRule="exact" w:line="600" w:before="0" w:after="0"/>
        <w:ind w:firstLine="420"/>
        <w:jc w:val="both"/>
      </w:pPr>
      <w:r>
        <w:rPr>
          <w:rFonts w:ascii="仿宋_GB2312" w:hAnsi="仿宋_GB2312" w:eastAsia="仿宋_GB2312"/>
          <w:b w:val="0"/>
          <w:color w:val="000000"/>
          <w:sz w:val="32"/>
        </w:rPr>
        <w:t>章丘区拥有规上工业企业579家，其中国家级专精特新“小巨人”26家、省级以上制造业单项冠军36家、省级专精特新及瞪羚企业750余家；生物医药龙头包括科兴生物（济南市重点实验室备案）、华润双鹤利民制药等，形成“龙头引领+配套跟进”格局。（来源：章丘区2024年工业强市发布、区政府工作报告）（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969"/>
          </w:tcPr>
          <w:p>
            <w:pPr>
              <w:spacing w:lineRule="exact" w:line="600"/>
              <w:jc w:val="center"/>
            </w:pPr>
            <w:r/>
            <w:r>
              <w:rPr>
                <w:rFonts w:ascii="黑体" w:hAnsi="黑体" w:eastAsia="黑体"/>
                <w:b/>
                <w:color w:val="000000"/>
                <w:sz w:val="32"/>
              </w:rPr>
              <w:t>章丘区企业指标</w:t>
            </w:r>
          </w:p>
        </w:tc>
        <w:tc>
          <w:tcPr>
            <w:tcW w:type="dxa" w:w="2551"/>
          </w:tcPr>
          <w:p>
            <w:pPr>
              <w:spacing w:lineRule="exact" w:line="600"/>
              <w:jc w:val="center"/>
            </w:pPr>
            <w:r/>
            <w:r>
              <w:rPr>
                <w:rFonts w:ascii="黑体" w:hAnsi="黑体" w:eastAsia="黑体"/>
                <w:b/>
                <w:color w:val="000000"/>
                <w:sz w:val="32"/>
              </w:rPr>
              <w:t>数量</w:t>
            </w:r>
          </w:p>
        </w:tc>
        <w:tc>
          <w:tcPr>
            <w:tcW w:type="dxa" w:w="2551"/>
          </w:tcPr>
          <w:p>
            <w:pPr>
              <w:spacing w:lineRule="exact" w:line="600"/>
              <w:jc w:val="center"/>
            </w:pPr>
            <w:r/>
            <w:r>
              <w:rPr>
                <w:rFonts w:ascii="黑体" w:hAnsi="黑体" w:eastAsia="黑体"/>
                <w:b/>
                <w:color w:val="000000"/>
                <w:sz w:val="32"/>
              </w:rPr>
              <w:t>来源/年份</w:t>
            </w:r>
          </w:p>
        </w:tc>
      </w:tr>
      <w:tr>
        <w:tc>
          <w:tcPr>
            <w:tcW w:type="dxa" w:w="3969"/>
          </w:tcPr>
          <w:p>
            <w:pPr>
              <w:spacing w:lineRule="exact" w:line="600"/>
              <w:jc w:val="center"/>
            </w:pPr>
            <w:r/>
            <w:r>
              <w:rPr>
                <w:rFonts w:ascii="仿宋_GB2312" w:hAnsi="仿宋_GB2312" w:eastAsia="仿宋_GB2312"/>
                <w:b w:val="0"/>
                <w:color w:val="000000"/>
                <w:sz w:val="32"/>
              </w:rPr>
              <w:t>规上工业企业</w:t>
            </w:r>
          </w:p>
        </w:tc>
        <w:tc>
          <w:tcPr>
            <w:tcW w:type="dxa" w:w="2551"/>
          </w:tcPr>
          <w:p>
            <w:pPr>
              <w:spacing w:lineRule="exact" w:line="600"/>
              <w:jc w:val="center"/>
            </w:pPr>
            <w:r/>
            <w:r>
              <w:rPr>
                <w:rFonts w:ascii="仿宋_GB2312" w:hAnsi="仿宋_GB2312" w:eastAsia="仿宋_GB2312"/>
                <w:b w:val="0"/>
                <w:color w:val="000000"/>
                <w:sz w:val="32"/>
              </w:rPr>
              <w:t>579家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国家级专精特新小巨人</w:t>
            </w:r>
          </w:p>
        </w:tc>
        <w:tc>
          <w:tcPr>
            <w:tcW w:type="dxa" w:w="2551"/>
          </w:tcPr>
          <w:p>
            <w:pPr>
              <w:spacing w:lineRule="exact" w:line="600"/>
              <w:jc w:val="center"/>
            </w:pPr>
            <w:r/>
            <w:r>
              <w:rPr>
                <w:rFonts w:ascii="仿宋_GB2312" w:hAnsi="仿宋_GB2312" w:eastAsia="仿宋_GB2312"/>
                <w:b w:val="0"/>
                <w:color w:val="000000"/>
                <w:sz w:val="32"/>
              </w:rPr>
              <w:t>26家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省级以上制造业单项冠军</w:t>
            </w:r>
          </w:p>
        </w:tc>
        <w:tc>
          <w:tcPr>
            <w:tcW w:type="dxa" w:w="2551"/>
          </w:tcPr>
          <w:p>
            <w:pPr>
              <w:spacing w:lineRule="exact" w:line="600"/>
              <w:jc w:val="center"/>
            </w:pPr>
            <w:r/>
            <w:r>
              <w:rPr>
                <w:rFonts w:ascii="仿宋_GB2312" w:hAnsi="仿宋_GB2312" w:eastAsia="仿宋_GB2312"/>
                <w:b w:val="0"/>
                <w:color w:val="000000"/>
                <w:sz w:val="32"/>
              </w:rPr>
              <w:t>36家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生物医药龙头</w:t>
            </w:r>
          </w:p>
        </w:tc>
        <w:tc>
          <w:tcPr>
            <w:tcW w:type="dxa" w:w="2551"/>
          </w:tcPr>
          <w:p>
            <w:pPr>
              <w:spacing w:lineRule="exact" w:line="600"/>
              <w:jc w:val="center"/>
            </w:pPr>
            <w:r/>
            <w:r>
              <w:rPr>
                <w:rFonts w:ascii="仿宋_GB2312" w:hAnsi="仿宋_GB2312" w:eastAsia="仿宋_GB2312"/>
                <w:b w:val="0"/>
                <w:color w:val="000000"/>
                <w:sz w:val="32"/>
              </w:rPr>
              <w:t>科兴生物、华润双鹤利民</w:t>
            </w:r>
          </w:p>
        </w:tc>
        <w:tc>
          <w:tcPr>
            <w:tcW w:type="dxa" w:w="2551"/>
          </w:tcPr>
          <w:p>
            <w:pPr>
              <w:spacing w:lineRule="exact" w:line="600"/>
              <w:jc w:val="center"/>
            </w:pPr>
            <w:r/>
            <w:r>
              <w:rPr>
                <w:rFonts w:ascii="仿宋_GB2312" w:hAnsi="仿宋_GB2312" w:eastAsia="仿宋_GB2312"/>
                <w:b w:val="0"/>
                <w:color w:val="000000"/>
                <w:sz w:val="32"/>
              </w:rPr>
              <w:t>明水经开区</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（一）核心工艺与技术平台</w:t>
      </w:r>
    </w:p>
    <w:p>
      <w:pPr>
        <w:spacing w:lineRule="exact" w:line="600" w:before="0" w:after="0"/>
        <w:ind w:firstLine="420"/>
        <w:jc w:val="both"/>
      </w:pPr>
      <w:r>
        <w:rPr>
          <w:rFonts w:ascii="仿宋_GB2312" w:hAnsi="仿宋_GB2312" w:eastAsia="仿宋_GB2312"/>
          <w:b w:val="0"/>
          <w:color w:val="000000"/>
          <w:sz w:val="32"/>
        </w:rPr>
        <w:t>重组蛋白药物采用基因工程表达、发酵、层析纯化与制剂工艺；科兴生物拥有重组蛋白药物、抗体药物、递送系统、微生态制剂及载体疫苗五大技术平台，在研生物药项目10余项，GB18（抗GDF15肿瘤恶病质）获国家药监局与FDA的IND批件（来源：科兴制药2024年报/新浪财经研报）。</w:t>
      </w:r>
    </w:p>
    <w:p>
      <w:pPr>
        <w:spacing w:lineRule="exact" w:line="600" w:before="120" w:after="120"/>
        <w:ind w:firstLine="420"/>
        <w:jc w:val="left"/>
      </w:pPr>
      <w:r>
        <w:rPr>
          <w:rFonts w:ascii="楷体_GB2312" w:hAnsi="楷体_GB2312" w:eastAsia="楷体_GB2312"/>
          <w:b w:val="0"/>
          <w:color w:val="000000"/>
          <w:sz w:val="32"/>
        </w:rPr>
        <w:t>（二）研发投入与平台建设</w:t>
      </w:r>
    </w:p>
    <w:p>
      <w:pPr>
        <w:spacing w:lineRule="exact" w:line="600" w:before="0" w:after="0"/>
        <w:ind w:firstLine="420"/>
        <w:jc w:val="both"/>
      </w:pPr>
      <w:r>
        <w:rPr>
          <w:rFonts w:ascii="仿宋_GB2312" w:hAnsi="仿宋_GB2312" w:eastAsia="仿宋_GB2312"/>
          <w:b w:val="0"/>
          <w:color w:val="000000"/>
          <w:sz w:val="32"/>
        </w:rPr>
        <w:t>章丘区科技型中小企业入库698家、高新技术企业推荐申报234家，新认定国家级专精特新“小巨人”4家、省级专精特新46家（来源：章丘区2024年计划执行情况报告）。科兴生物2024年海外收入约2.25亿元、同比增长62%，研发投入持续加大（来源：科兴制药2024年报）。</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（一）盈利与费用结构</w:t>
      </w:r>
    </w:p>
    <w:p>
      <w:pPr>
        <w:spacing w:lineRule="exact" w:line="600" w:before="0" w:after="0"/>
        <w:ind w:firstLine="420"/>
        <w:jc w:val="both"/>
      </w:pPr>
      <w:r>
        <w:rPr>
          <w:rFonts w:ascii="仿宋_GB2312" w:hAnsi="仿宋_GB2312" w:eastAsia="仿宋_GB2312"/>
          <w:b w:val="0"/>
          <w:color w:val="000000"/>
          <w:sz w:val="32"/>
        </w:rPr>
        <w:t>科兴制药2024年营收14.07亿元、同比增长11.75%，归母净利润0.31亿元，扭转此前两年亏损；经营现金流约1.07亿元（来源：科兴制药2024年报）。生物医药行业研发费用率高，科兴构建五大平台并推进中美双报（来源：科兴制药招股书）。</w:t>
      </w:r>
    </w:p>
    <w:p>
      <w:pPr>
        <w:spacing w:lineRule="exact" w:line="600" w:before="120" w:after="120"/>
        <w:ind w:firstLine="420"/>
        <w:jc w:val="left"/>
      </w:pPr>
      <w:r>
        <w:rPr>
          <w:rFonts w:ascii="楷体_GB2312" w:hAnsi="楷体_GB2312" w:eastAsia="楷体_GB2312"/>
          <w:b w:val="0"/>
          <w:color w:val="000000"/>
          <w:sz w:val="32"/>
        </w:rPr>
        <w:t>（二）生产要素保障</w:t>
      </w:r>
    </w:p>
    <w:p>
      <w:pPr>
        <w:spacing w:lineRule="exact" w:line="600" w:before="0" w:after="0"/>
        <w:ind w:firstLine="420"/>
        <w:jc w:val="both"/>
      </w:pPr>
      <w:r>
        <w:rPr>
          <w:rFonts w:ascii="仿宋_GB2312" w:hAnsi="仿宋_GB2312" w:eastAsia="仿宋_GB2312"/>
          <w:b w:val="0"/>
          <w:color w:val="000000"/>
          <w:sz w:val="32"/>
        </w:rPr>
        <w:t>章丘创新设立“土地超市”，为重点项目解决用地指标2133.6亩；争取政策性资金10.9亿元，其中专项债7.89亿元（来源：章丘区2024年计划执行情况报告）。生物医药企业对GMP厂房、冷链与环保设施要求高，明水经开区提供配套（来源：章丘区政府官网）。</w:t>
      </w:r>
    </w:p>
    <w:p>
      <w:pPr>
        <w:spacing w:lineRule="exact" w:line="600" w:before="120" w:after="120"/>
        <w:ind w:firstLine="420"/>
        <w:jc w:val="left"/>
      </w:pPr>
      <w:r>
        <w:rPr>
          <w:rFonts w:ascii="楷体_GB2312" w:hAnsi="楷体_GB2312" w:eastAsia="楷体_GB2312"/>
          <w:b w:val="0"/>
          <w:color w:val="000000"/>
          <w:sz w:val="32"/>
        </w:rPr>
        <w:t>（六）章丘生物医药要素保障（真实检索补充）</w:t>
      </w:r>
    </w:p>
    <w:p>
      <w:pPr>
        <w:spacing w:lineRule="exact" w:line="600" w:before="0" w:after="0"/>
        <w:ind w:firstLine="420"/>
        <w:jc w:val="both"/>
      </w:pPr>
      <w:r>
        <w:rPr>
          <w:rFonts w:ascii="仿宋_GB2312" w:hAnsi="仿宋_GB2312" w:eastAsia="仿宋_GB2312"/>
          <w:b w:val="0"/>
          <w:color w:val="000000"/>
          <w:sz w:val="32"/>
        </w:rPr>
        <w:t>2024年章丘实施华润双鹤利民固体制剂车间等400余个工业项目，完成工业投资110亿元、技改投资71.1亿元（增长11.5%）；刁镇化工产业园建成区7.56平方公里，日供水4.67万m³、蒸汽供应1775t/h、双电源547MVA，要素保障完备，利于生物医药企业控本增效。（来源：章丘区2024年计划执行报告、刁镇化工园资料）（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章丘要素/投资指标</w:t>
            </w:r>
          </w:p>
        </w:tc>
        <w:tc>
          <w:tcPr>
            <w:tcW w:type="dxa" w:w="2551"/>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2024工业投资</w:t>
            </w:r>
          </w:p>
        </w:tc>
        <w:tc>
          <w:tcPr>
            <w:tcW w:type="dxa" w:w="2551"/>
          </w:tcPr>
          <w:p>
            <w:pPr>
              <w:spacing w:lineRule="exact" w:line="600"/>
              <w:jc w:val="center"/>
            </w:pPr>
            <w:r/>
            <w:r>
              <w:rPr>
                <w:rFonts w:ascii="仿宋_GB2312" w:hAnsi="仿宋_GB2312" w:eastAsia="仿宋_GB2312"/>
                <w:b w:val="0"/>
                <w:color w:val="000000"/>
                <w:sz w:val="32"/>
              </w:rPr>
              <w:t>110亿元</w:t>
            </w:r>
          </w:p>
        </w:tc>
        <w:tc>
          <w:tcPr>
            <w:tcW w:type="dxa" w:w="2835"/>
          </w:tcPr>
          <w:p>
            <w:pPr>
              <w:spacing w:lineRule="exact" w:line="600"/>
              <w:jc w:val="center"/>
            </w:pPr>
            <w:r/>
            <w:r>
              <w:rPr>
                <w:rFonts w:ascii="仿宋_GB2312" w:hAnsi="仿宋_GB2312" w:eastAsia="仿宋_GB2312"/>
                <w:b w:val="0"/>
                <w:color w:val="000000"/>
                <w:sz w:val="32"/>
              </w:rPr>
              <w:t>章丘区2024年</w:t>
            </w:r>
          </w:p>
        </w:tc>
      </w:tr>
      <w:tr>
        <w:tc>
          <w:tcPr>
            <w:tcW w:type="dxa" w:w="3685"/>
          </w:tcPr>
          <w:p>
            <w:pPr>
              <w:spacing w:lineRule="exact" w:line="600"/>
              <w:jc w:val="center"/>
            </w:pPr>
            <w:r/>
            <w:r>
              <w:rPr>
                <w:rFonts w:ascii="仿宋_GB2312" w:hAnsi="仿宋_GB2312" w:eastAsia="仿宋_GB2312"/>
                <w:b w:val="0"/>
                <w:color w:val="000000"/>
                <w:sz w:val="32"/>
              </w:rPr>
              <w:t>技改投资</w:t>
            </w:r>
          </w:p>
        </w:tc>
        <w:tc>
          <w:tcPr>
            <w:tcW w:type="dxa" w:w="2551"/>
          </w:tcPr>
          <w:p>
            <w:pPr>
              <w:spacing w:lineRule="exact" w:line="600"/>
              <w:jc w:val="center"/>
            </w:pPr>
            <w:r/>
            <w:r>
              <w:rPr>
                <w:rFonts w:ascii="仿宋_GB2312" w:hAnsi="仿宋_GB2312" w:eastAsia="仿宋_GB2312"/>
                <w:b w:val="0"/>
                <w:color w:val="000000"/>
                <w:sz w:val="32"/>
              </w:rPr>
              <w:t>71.1亿元（+11.5%）</w:t>
            </w:r>
          </w:p>
        </w:tc>
        <w:tc>
          <w:tcPr>
            <w:tcW w:type="dxa" w:w="2835"/>
          </w:tcPr>
          <w:p>
            <w:pPr>
              <w:spacing w:lineRule="exact" w:line="600"/>
              <w:jc w:val="center"/>
            </w:pPr>
            <w:r/>
            <w:r>
              <w:rPr>
                <w:rFonts w:ascii="仿宋_GB2312" w:hAnsi="仿宋_GB2312" w:eastAsia="仿宋_GB2312"/>
                <w:b w:val="0"/>
                <w:color w:val="000000"/>
                <w:sz w:val="32"/>
              </w:rPr>
              <w:t>章丘区2024年</w:t>
            </w:r>
          </w:p>
        </w:tc>
      </w:tr>
      <w:tr>
        <w:tc>
          <w:tcPr>
            <w:tcW w:type="dxa" w:w="3685"/>
          </w:tcPr>
          <w:p>
            <w:pPr>
              <w:spacing w:lineRule="exact" w:line="600"/>
              <w:jc w:val="center"/>
            </w:pPr>
            <w:r/>
            <w:r>
              <w:rPr>
                <w:rFonts w:ascii="仿宋_GB2312" w:hAnsi="仿宋_GB2312" w:eastAsia="仿宋_GB2312"/>
                <w:b w:val="0"/>
                <w:color w:val="000000"/>
                <w:sz w:val="32"/>
              </w:rPr>
              <w:t>刁镇化工园面积</w:t>
            </w:r>
          </w:p>
        </w:tc>
        <w:tc>
          <w:tcPr>
            <w:tcW w:type="dxa" w:w="2551"/>
          </w:tcPr>
          <w:p>
            <w:pPr>
              <w:spacing w:lineRule="exact" w:line="600"/>
              <w:jc w:val="center"/>
            </w:pPr>
            <w:r/>
            <w:r>
              <w:rPr>
                <w:rFonts w:ascii="仿宋_GB2312" w:hAnsi="仿宋_GB2312" w:eastAsia="仿宋_GB2312"/>
                <w:b w:val="0"/>
                <w:color w:val="000000"/>
                <w:sz w:val="32"/>
              </w:rPr>
              <w:t>7.56平方公里</w:t>
            </w:r>
          </w:p>
        </w:tc>
        <w:tc>
          <w:tcPr>
            <w:tcW w:type="dxa" w:w="2835"/>
          </w:tcPr>
          <w:p>
            <w:pPr>
              <w:spacing w:lineRule="exact" w:line="600"/>
              <w:jc w:val="center"/>
            </w:pPr>
            <w:r/>
            <w:r>
              <w:rPr>
                <w:rFonts w:ascii="仿宋_GB2312" w:hAnsi="仿宋_GB2312" w:eastAsia="仿宋_GB2312"/>
                <w:b w:val="0"/>
                <w:color w:val="000000"/>
                <w:sz w:val="32"/>
              </w:rPr>
              <w:t>省级化工园区</w:t>
            </w:r>
          </w:p>
        </w:tc>
      </w:tr>
      <w:tr>
        <w:tc>
          <w:tcPr>
            <w:tcW w:type="dxa" w:w="3685"/>
          </w:tcPr>
          <w:p>
            <w:pPr>
              <w:spacing w:lineRule="exact" w:line="600"/>
              <w:jc w:val="center"/>
            </w:pPr>
            <w:r/>
            <w:r>
              <w:rPr>
                <w:rFonts w:ascii="仿宋_GB2312" w:hAnsi="仿宋_GB2312" w:eastAsia="仿宋_GB2312"/>
                <w:b w:val="0"/>
                <w:color w:val="000000"/>
                <w:sz w:val="32"/>
              </w:rPr>
              <w:t>园区蒸汽供应</w:t>
            </w:r>
          </w:p>
        </w:tc>
        <w:tc>
          <w:tcPr>
            <w:tcW w:type="dxa" w:w="2551"/>
          </w:tcPr>
          <w:p>
            <w:pPr>
              <w:spacing w:lineRule="exact" w:line="600"/>
              <w:jc w:val="center"/>
            </w:pPr>
            <w:r/>
            <w:r>
              <w:rPr>
                <w:rFonts w:ascii="仿宋_GB2312" w:hAnsi="仿宋_GB2312" w:eastAsia="仿宋_GB2312"/>
                <w:b w:val="0"/>
                <w:color w:val="000000"/>
                <w:sz w:val="32"/>
              </w:rPr>
              <w:t>1775t/h</w:t>
            </w:r>
          </w:p>
        </w:tc>
        <w:tc>
          <w:tcPr>
            <w:tcW w:type="dxa" w:w="2835"/>
          </w:tcPr>
          <w:p>
            <w:pPr>
              <w:spacing w:lineRule="exact" w:line="600"/>
              <w:jc w:val="center"/>
            </w:pPr>
            <w:r/>
            <w:r>
              <w:rPr>
                <w:rFonts w:ascii="仿宋_GB2312" w:hAnsi="仿宋_GB2312" w:eastAsia="仿宋_GB2312"/>
                <w:b w:val="0"/>
                <w:color w:val="000000"/>
                <w:sz w:val="32"/>
              </w:rPr>
              <w:t>刁镇化工园</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国家“新药创制”重大专项与山东省现代医药十强产业政策支持；济南建设国家健康医疗大数据北方中心，推动AI+医药（来源：济南市现代医药产业链研讨会，2025）。人口老龄化与健康消费升级拉动重组蛋白、微生态制剂需求（来源：行业共性研判）。</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生物药集采与医保控费压缩利润空间；创新药研发周期长、失败率高；科兴2022—2023年连续亏损，盈利稳定性待验证（来源：科兴制药年报）。国际注册与贸易壁垒增加出海不确定性（来源：科兴制药港股招股书）。</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（一）创新药与国际化双轮驱动</w:t>
      </w:r>
    </w:p>
    <w:p>
      <w:pPr>
        <w:spacing w:lineRule="exact" w:line="600" w:before="0" w:after="0"/>
        <w:ind w:firstLine="420"/>
        <w:jc w:val="both"/>
      </w:pPr>
      <w:r>
        <w:rPr>
          <w:rFonts w:ascii="仿宋_GB2312" w:hAnsi="仿宋_GB2312" w:eastAsia="仿宋_GB2312"/>
          <w:b w:val="0"/>
          <w:color w:val="000000"/>
          <w:sz w:val="32"/>
        </w:rPr>
        <w:t>科兴制药确立“创新+海外商业化”战略，推进GB05人干扰素α1b吸入溶液、GB18等管线中美双报，2024年海外收入占比约16%、同比增长62%（来源：科兴制药2024年报）。建议强化章丘生物药CDMO/中试平台建设（来源：行业研判）。</w:t>
      </w:r>
    </w:p>
    <w:p>
      <w:pPr>
        <w:spacing w:lineRule="exact" w:line="600" w:before="120" w:after="120"/>
        <w:ind w:firstLine="420"/>
        <w:jc w:val="left"/>
      </w:pPr>
      <w:r>
        <w:rPr>
          <w:rFonts w:ascii="楷体_GB2312" w:hAnsi="楷体_GB2312" w:eastAsia="楷体_GB2312"/>
          <w:b w:val="0"/>
          <w:color w:val="000000"/>
          <w:sz w:val="32"/>
        </w:rPr>
        <w:t>（二）集群协同与链长制</w:t>
      </w:r>
    </w:p>
    <w:p>
      <w:pPr>
        <w:spacing w:lineRule="exact" w:line="600" w:before="0" w:after="0"/>
        <w:ind w:firstLine="420"/>
        <w:jc w:val="both"/>
      </w:pPr>
      <w:r>
        <w:rPr>
          <w:rFonts w:ascii="仿宋_GB2312" w:hAnsi="仿宋_GB2312" w:eastAsia="仿宋_GB2312"/>
          <w:b w:val="0"/>
          <w:color w:val="000000"/>
          <w:sz w:val="32"/>
        </w:rPr>
        <w:t>山东省实施“十链百群万企”融链固链行动，推动大中小企业融通；章丘推行“链长+重大项目”共建模式，以科兴等龙头引领配套企业协同（来源：山东省工信厅鲁工信发〔2024〕6号）。</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（一）研发与产能扩建融资</w:t>
      </w:r>
    </w:p>
    <w:p>
      <w:pPr>
        <w:spacing w:lineRule="exact" w:line="600" w:before="0" w:after="0"/>
        <w:ind w:firstLine="420"/>
        <w:jc w:val="both"/>
      </w:pPr>
      <w:r>
        <w:rPr>
          <w:rFonts w:ascii="仿宋_GB2312" w:hAnsi="仿宋_GB2312" w:eastAsia="仿宋_GB2312"/>
          <w:b w:val="0"/>
          <w:color w:val="000000"/>
          <w:sz w:val="32"/>
        </w:rPr>
        <w:t>生物药临床与海外注册投入大，科兴推进多条创新药管线需持续研发资金；章丘可依托“鲁科贷”“鲁科担”及“泉融通”平台提供信用与股权融资（来源：山东省“十强产业”行动计划；章丘区2024年计划报告）。</w:t>
      </w:r>
    </w:p>
    <w:p>
      <w:pPr>
        <w:spacing w:lineRule="exact" w:line="600" w:before="120" w:after="120"/>
        <w:ind w:firstLine="420"/>
        <w:jc w:val="left"/>
      </w:pPr>
      <w:r>
        <w:rPr>
          <w:rFonts w:ascii="楷体_GB2312" w:hAnsi="楷体_GB2312" w:eastAsia="楷体_GB2312"/>
          <w:b w:val="0"/>
          <w:color w:val="000000"/>
          <w:sz w:val="32"/>
        </w:rPr>
        <w:t>（二）并购与出海配套融资</w:t>
      </w:r>
    </w:p>
    <w:p>
      <w:pPr>
        <w:spacing w:lineRule="exact" w:line="600" w:before="0" w:after="0"/>
        <w:ind w:firstLine="420"/>
        <w:jc w:val="both"/>
      </w:pPr>
      <w:r>
        <w:rPr>
          <w:rFonts w:ascii="仿宋_GB2312" w:hAnsi="仿宋_GB2312" w:eastAsia="仿宋_GB2312"/>
          <w:b w:val="0"/>
          <w:color w:val="000000"/>
          <w:sz w:val="32"/>
        </w:rPr>
        <w:t>企业海外商业化（欧盟、东南亚、中东北非）需流动资金与海外仓/注册费用，可运用出口信保、跨境并购贷款及齐鲁科贷等工具（来源：行业研判；山东省科技金融政策）。</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科兴生物制药股份有限公司：主营生物制品/化学药（重组蛋白药物、人干扰素α1b、人促红素等）；科创板上市公司（688136），位于章丘埠村街道，为章丘医药及防护用品集群生物制药龙头（注：原‘科兴生物制药（山东）有限公司’应为‘科兴生物制药股份有限公司’）。来源：章丘区重点产业报道、天眼查/公司官网。</w:t>
      </w:r>
    </w:p>
    <w:p>
      <w:pPr>
        <w:spacing w:lineRule="exact" w:line="600" w:before="0" w:after="0"/>
        <w:ind w:firstLine="420"/>
        <w:jc w:val="both"/>
      </w:pPr>
      <w:r>
        <w:rPr>
          <w:rFonts w:ascii="仿宋_GB2312" w:hAnsi="仿宋_GB2312" w:eastAsia="仿宋_GB2312"/>
          <w:b w:val="0"/>
          <w:color w:val="000000"/>
          <w:sz w:val="32"/>
        </w:rPr>
        <w:t>山东博科生物产业有限公司：主营体外诊断设备及试剂、生物安全防护设备；国家级专精特新‘小巨人’、制造业单项冠军，位于章丘明水经开区，为集群医疗器械与体外诊断龙头。来源：章丘区重点产业报道、天眼查。</w:t>
      </w:r>
    </w:p>
    <w:p>
      <w:pPr>
        <w:spacing w:lineRule="exact" w:line="600" w:before="0" w:after="0"/>
        <w:ind w:firstLine="420"/>
        <w:jc w:val="both"/>
      </w:pPr>
      <w:r>
        <w:rPr>
          <w:rFonts w:ascii="仿宋_GB2312" w:hAnsi="仿宋_GB2312" w:eastAsia="仿宋_GB2312"/>
          <w:b w:val="0"/>
          <w:color w:val="000000"/>
          <w:sz w:val="32"/>
        </w:rPr>
        <w:t>华润双鹤利民药业（济南）有限公司：主营西药制剂（心脑血管、抗生素、内分泌等）；华润双鹤全资子公司，位于章丘，为集群化学药骨干企业。来源：章丘区重点产业报道。</w:t>
      </w:r>
    </w:p>
    <w:p>
      <w:pPr>
        <w:spacing w:lineRule="exact" w:line="600" w:before="0" w:after="0"/>
        <w:jc w:val="left"/>
      </w:pPr>
      <w:r>
        <w:rPr>
          <w:rFonts w:ascii="仿宋_GB2312" w:hAnsi="仿宋_GB2312" w:eastAsia="仿宋_GB2312"/>
          <w:b w:val="0"/>
          <w:color w:val="000000"/>
          <w:sz w:val="28"/>
        </w:rPr>
        <w:t>主要数据来源：山东省人民政府《“十大创新”“十强产业”“十大扩需求”行动计划（2024—2025年）》（鲁政发〔2024〕5号）；济南市工信局：现代医药产业链数据（大众日报，2025-06-13）；章丘区2024年国民经济和社会发展计划执行情况与2025年计划草案报告；科兴生物制药股份有限公司2024年年度报告及港股招股书；山东省工信厅《山东省“十链百群万企”融链固链三年行动计划（2024-2026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