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山东青岛（轨道交通）特色产业集群</w:t>
      </w:r>
    </w:p>
    <w:p>
      <w:pPr>
        <w:spacing w:lineRule="exact" w:line="600" w:before="240" w:after="240"/>
        <w:ind w:firstLine="0"/>
        <w:jc w:val="center"/>
      </w:pPr>
      <w:r>
        <w:rPr>
          <w:rFonts w:ascii="方正小标宋简体" w:hAnsi="方正小标宋简体" w:eastAsia="方正小标宋简体"/>
          <w:b w:val="0"/>
          <w:color w:val="000000"/>
          <w:sz w:val="44"/>
        </w:rPr>
        <w:t>轨道交通整车制造行业深度分析报告</w:t>
      </w:r>
    </w:p>
    <w:p>
      <w:pPr>
        <w:spacing w:lineRule="exact" w:line="600" w:before="0" w:after="0"/>
        <w:jc w:val="left"/>
      </w:pPr>
      <w:r>
        <w:rPr>
          <w:rFonts w:ascii="仿宋_GB2312" w:hAnsi="仿宋_GB2312" w:eastAsia="仿宋_GB2312"/>
          <w:b w:val="0"/>
          <w:color w:val="000000"/>
          <w:sz w:val="28"/>
        </w:rPr>
        <w:t>（本报告基于青岛统计年鉴、工信部门公开数据、企业年报及权威媒体编制，数据截至2024年，部分细分领域公开官方统计有限，已依据行业共性事实研判并标注。）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轨道交通整车制造是青岛轨道交通装备国家先进制造业集群的核心。2024年青岛市轨道交通装备产业规上企业87家、主营业务收入595.2亿元、同比增长26.7%，生产动车组847辆、增长47%，中标高速动车组新造订单122组、占全部招标的49.8%。中车青岛四方机车车辆股份有限公司为整车龙头，2024年产值290亿元、增长43.7%，全国约43%的高速动车组在此生产，城阳区棘洪滩街道产出全国55%高铁动车、25%地铁车辆。</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青岛轨道交通装备规上企业数（2024）</w:t>
            </w:r>
          </w:p>
        </w:tc>
        <w:tc>
          <w:tcPr>
            <w:tcW w:type="dxa" w:w="2835"/>
          </w:tcPr>
          <w:p>
            <w:pPr>
              <w:spacing w:lineRule="exact" w:line="600"/>
              <w:jc w:val="center"/>
            </w:pPr>
            <w:r/>
            <w:r>
              <w:rPr>
                <w:rFonts w:ascii="仿宋_GB2312" w:hAnsi="仿宋_GB2312" w:eastAsia="仿宋_GB2312"/>
                <w:b w:val="0"/>
                <w:color w:val="000000"/>
                <w:sz w:val="32"/>
              </w:rPr>
              <w:t>87家</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青岛轨道交通装备主营业务收入（2024）</w:t>
            </w:r>
          </w:p>
        </w:tc>
        <w:tc>
          <w:tcPr>
            <w:tcW w:type="dxa" w:w="2835"/>
          </w:tcPr>
          <w:p>
            <w:pPr>
              <w:spacing w:lineRule="exact" w:line="600"/>
              <w:jc w:val="center"/>
            </w:pPr>
            <w:r/>
            <w:r>
              <w:rPr>
                <w:rFonts w:ascii="仿宋_GB2312" w:hAnsi="仿宋_GB2312" w:eastAsia="仿宋_GB2312"/>
                <w:b w:val="0"/>
                <w:color w:val="000000"/>
                <w:sz w:val="32"/>
              </w:rPr>
              <w:t>595.2亿元，+26.7%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青岛市生产动车组（2024）</w:t>
            </w:r>
          </w:p>
        </w:tc>
        <w:tc>
          <w:tcPr>
            <w:tcW w:type="dxa" w:w="2835"/>
          </w:tcPr>
          <w:p>
            <w:pPr>
              <w:spacing w:lineRule="exact" w:line="600"/>
              <w:jc w:val="center"/>
            </w:pPr>
            <w:r/>
            <w:r>
              <w:rPr>
                <w:rFonts w:ascii="仿宋_GB2312" w:hAnsi="仿宋_GB2312" w:eastAsia="仿宋_GB2312"/>
                <w:b w:val="0"/>
                <w:color w:val="000000"/>
                <w:sz w:val="32"/>
              </w:rPr>
              <w:t>847辆，+47%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青岛中标高速动车组新造订单（2024）</w:t>
            </w:r>
          </w:p>
        </w:tc>
        <w:tc>
          <w:tcPr>
            <w:tcW w:type="dxa" w:w="2835"/>
          </w:tcPr>
          <w:p>
            <w:pPr>
              <w:spacing w:lineRule="exact" w:line="600"/>
              <w:jc w:val="center"/>
            </w:pPr>
            <w:r/>
            <w:r>
              <w:rPr>
                <w:rFonts w:ascii="仿宋_GB2312" w:hAnsi="仿宋_GB2312" w:eastAsia="仿宋_GB2312"/>
                <w:b w:val="0"/>
                <w:color w:val="000000"/>
                <w:sz w:val="32"/>
              </w:rPr>
              <w:t>122组，占49.8%</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中车四方产值（2024）</w:t>
            </w:r>
          </w:p>
        </w:tc>
        <w:tc>
          <w:tcPr>
            <w:tcW w:type="dxa" w:w="2835"/>
          </w:tcPr>
          <w:p>
            <w:pPr>
              <w:spacing w:lineRule="exact" w:line="600"/>
              <w:jc w:val="center"/>
            </w:pPr>
            <w:r/>
            <w:r>
              <w:rPr>
                <w:rFonts w:ascii="仿宋_GB2312" w:hAnsi="仿宋_GB2312" w:eastAsia="仿宋_GB2312"/>
                <w:b w:val="0"/>
                <w:color w:val="000000"/>
                <w:sz w:val="32"/>
              </w:rPr>
              <w:t>290亿元，+43.7%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中车四方营收（2024）</w:t>
            </w:r>
          </w:p>
        </w:tc>
        <w:tc>
          <w:tcPr>
            <w:tcW w:type="dxa" w:w="2835"/>
          </w:tcPr>
          <w:p>
            <w:pPr>
              <w:spacing w:lineRule="exact" w:line="600"/>
              <w:jc w:val="center"/>
            </w:pPr>
            <w:r/>
            <w:r>
              <w:rPr>
                <w:rFonts w:ascii="仿宋_GB2312" w:hAnsi="仿宋_GB2312" w:eastAsia="仿宋_GB2312"/>
                <w:b w:val="0"/>
                <w:color w:val="000000"/>
                <w:sz w:val="32"/>
              </w:rPr>
              <w:t>408.59亿元，+24.19%</w:t>
            </w:r>
          </w:p>
        </w:tc>
        <w:tc>
          <w:tcPr>
            <w:tcW w:type="dxa" w:w="3118"/>
          </w:tcPr>
          <w:p>
            <w:pPr>
              <w:spacing w:lineRule="exact" w:line="600"/>
              <w:jc w:val="center"/>
            </w:pPr>
            <w:r/>
            <w:r>
              <w:rPr>
                <w:rFonts w:ascii="仿宋_GB2312" w:hAnsi="仿宋_GB2312" w:eastAsia="仿宋_GB2312"/>
                <w:b w:val="0"/>
                <w:color w:val="000000"/>
                <w:sz w:val="32"/>
              </w:rPr>
              <w:t>中车四方公开数据</w:t>
            </w:r>
          </w:p>
        </w:tc>
      </w:tr>
      <w:tr>
        <w:tc>
          <w:tcPr>
            <w:tcW w:type="dxa" w:w="2835"/>
          </w:tcPr>
          <w:p>
            <w:pPr>
              <w:spacing w:lineRule="exact" w:line="600"/>
              <w:jc w:val="center"/>
            </w:pPr>
            <w:r/>
            <w:r>
              <w:rPr>
                <w:rFonts w:ascii="仿宋_GB2312" w:hAnsi="仿宋_GB2312" w:eastAsia="仿宋_GB2312"/>
                <w:b w:val="0"/>
                <w:color w:val="000000"/>
                <w:sz w:val="32"/>
              </w:rPr>
              <w:t>中车四方新造动车组（2024）</w:t>
            </w:r>
          </w:p>
        </w:tc>
        <w:tc>
          <w:tcPr>
            <w:tcW w:type="dxa" w:w="2835"/>
          </w:tcPr>
          <w:p>
            <w:pPr>
              <w:spacing w:lineRule="exact" w:line="600"/>
              <w:jc w:val="center"/>
            </w:pPr>
            <w:r/>
            <w:r>
              <w:rPr>
                <w:rFonts w:ascii="仿宋_GB2312" w:hAnsi="仿宋_GB2312" w:eastAsia="仿宋_GB2312"/>
                <w:b w:val="0"/>
                <w:color w:val="000000"/>
                <w:sz w:val="32"/>
              </w:rPr>
              <w:t>653辆，+37.2%</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全国高速动车组生产占比（中车四方）</w:t>
            </w:r>
          </w:p>
        </w:tc>
        <w:tc>
          <w:tcPr>
            <w:tcW w:type="dxa" w:w="2835"/>
          </w:tcPr>
          <w:p>
            <w:pPr>
              <w:spacing w:lineRule="exact" w:line="600"/>
              <w:jc w:val="center"/>
            </w:pPr>
            <w:r/>
            <w:r>
              <w:rPr>
                <w:rFonts w:ascii="仿宋_GB2312" w:hAnsi="仿宋_GB2312" w:eastAsia="仿宋_GB2312"/>
                <w:b w:val="0"/>
                <w:color w:val="000000"/>
                <w:sz w:val="32"/>
              </w:rPr>
              <w:t>约43%</w:t>
            </w:r>
          </w:p>
        </w:tc>
        <w:tc>
          <w:tcPr>
            <w:tcW w:type="dxa" w:w="3118"/>
          </w:tcPr>
          <w:p>
            <w:pPr>
              <w:spacing w:lineRule="exact" w:line="600"/>
              <w:jc w:val="center"/>
            </w:pPr>
            <w:r/>
            <w:r>
              <w:rPr>
                <w:rFonts w:ascii="仿宋_GB2312" w:hAnsi="仿宋_GB2312" w:eastAsia="仿宋_GB2312"/>
                <w:b w:val="0"/>
                <w:color w:val="000000"/>
                <w:sz w:val="32"/>
              </w:rPr>
              <w:t>青岛统计年鉴2025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w:t>
      </w:r>
    </w:p>
    <w:p>
      <w:pPr>
        <w:spacing w:lineRule="exact" w:line="600" w:before="0" w:after="0"/>
        <w:ind w:firstLine="420"/>
        <w:jc w:val="both"/>
      </w:pPr>
      <w:r>
        <w:rPr>
          <w:rFonts w:ascii="仿宋_GB2312" w:hAnsi="仿宋_GB2312" w:eastAsia="仿宋_GB2312"/>
          <w:b w:val="0"/>
          <w:color w:val="000000"/>
          <w:sz w:val="32"/>
        </w:rPr>
        <w:t>轨道交通装备属国家高端装备重点领域，山东将高端装备列入“十强产业”；青岛轨道交通装备集群入选国家先进制造业集群、国家首批战略性新兴产业集群（来源：青岛轨道交通产业示范区，2025）。国家“交通强国”与铁路投资支撑需求（来源：行业研判）。</w:t>
      </w:r>
    </w:p>
    <w:p>
      <w:pPr>
        <w:spacing w:lineRule="exact" w:line="600" w:before="120" w:after="120"/>
        <w:ind w:firstLine="420"/>
        <w:jc w:val="left"/>
      </w:pPr>
      <w:r>
        <w:rPr>
          <w:rFonts w:ascii="楷体_GB2312" w:hAnsi="楷体_GB2312" w:eastAsia="楷体_GB2312"/>
          <w:b w:val="0"/>
          <w:color w:val="000000"/>
          <w:sz w:val="32"/>
        </w:rPr>
        <w:t>（二）区域产业地位</w:t>
      </w:r>
    </w:p>
    <w:p>
      <w:pPr>
        <w:spacing w:lineRule="exact" w:line="600" w:before="0" w:after="0"/>
        <w:ind w:firstLine="420"/>
        <w:jc w:val="both"/>
      </w:pPr>
      <w:r>
        <w:rPr>
          <w:rFonts w:ascii="仿宋_GB2312" w:hAnsi="仿宋_GB2312" w:eastAsia="仿宋_GB2312"/>
          <w:b w:val="0"/>
          <w:color w:val="000000"/>
          <w:sz w:val="32"/>
        </w:rPr>
        <w:t>2024年青岛轨道交通装备产业工业增加值同比增长40.2%、占全市工业增加值5.9%；主营业务收入595.2亿元、增长26.7%（来源：青岛统计年鉴2025）。城阳区轨道交通业产值同比增长40.8%，拉动全市工业（来源：青岛十区市GDP分析，观海新闻）。</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青岛轨道交通装备规上企业数（2024）</w:t>
            </w:r>
          </w:p>
        </w:tc>
        <w:tc>
          <w:tcPr>
            <w:tcW w:type="dxa" w:w="2835"/>
          </w:tcPr>
          <w:p>
            <w:pPr>
              <w:spacing w:lineRule="exact" w:line="600"/>
              <w:jc w:val="center"/>
            </w:pPr>
            <w:r/>
            <w:r>
              <w:rPr>
                <w:rFonts w:ascii="仿宋_GB2312" w:hAnsi="仿宋_GB2312" w:eastAsia="仿宋_GB2312"/>
                <w:b w:val="0"/>
                <w:color w:val="000000"/>
                <w:sz w:val="32"/>
              </w:rPr>
              <w:t>87家</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青岛轨道交通装备主营业务收入（2024）</w:t>
            </w:r>
          </w:p>
        </w:tc>
        <w:tc>
          <w:tcPr>
            <w:tcW w:type="dxa" w:w="2835"/>
          </w:tcPr>
          <w:p>
            <w:pPr>
              <w:spacing w:lineRule="exact" w:line="600"/>
              <w:jc w:val="center"/>
            </w:pPr>
            <w:r/>
            <w:r>
              <w:rPr>
                <w:rFonts w:ascii="仿宋_GB2312" w:hAnsi="仿宋_GB2312" w:eastAsia="仿宋_GB2312"/>
                <w:b w:val="0"/>
                <w:color w:val="000000"/>
                <w:sz w:val="32"/>
              </w:rPr>
              <w:t>595.2亿元，+26.7%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青岛市生产动车组（2024）</w:t>
            </w:r>
          </w:p>
        </w:tc>
        <w:tc>
          <w:tcPr>
            <w:tcW w:type="dxa" w:w="2835"/>
          </w:tcPr>
          <w:p>
            <w:pPr>
              <w:spacing w:lineRule="exact" w:line="600"/>
              <w:jc w:val="center"/>
            </w:pPr>
            <w:r/>
            <w:r>
              <w:rPr>
                <w:rFonts w:ascii="仿宋_GB2312" w:hAnsi="仿宋_GB2312" w:eastAsia="仿宋_GB2312"/>
                <w:b w:val="0"/>
                <w:color w:val="000000"/>
                <w:sz w:val="32"/>
              </w:rPr>
              <w:t>847辆，+47%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青岛中标高速动车组新造订单（2024）</w:t>
            </w:r>
          </w:p>
        </w:tc>
        <w:tc>
          <w:tcPr>
            <w:tcW w:type="dxa" w:w="2835"/>
          </w:tcPr>
          <w:p>
            <w:pPr>
              <w:spacing w:lineRule="exact" w:line="600"/>
              <w:jc w:val="center"/>
            </w:pPr>
            <w:r/>
            <w:r>
              <w:rPr>
                <w:rFonts w:ascii="仿宋_GB2312" w:hAnsi="仿宋_GB2312" w:eastAsia="仿宋_GB2312"/>
                <w:b w:val="0"/>
                <w:color w:val="000000"/>
                <w:sz w:val="32"/>
              </w:rPr>
              <w:t>122组，占49.8%</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中车四方产值（2024）</w:t>
            </w:r>
          </w:p>
        </w:tc>
        <w:tc>
          <w:tcPr>
            <w:tcW w:type="dxa" w:w="2835"/>
          </w:tcPr>
          <w:p>
            <w:pPr>
              <w:spacing w:lineRule="exact" w:line="600"/>
              <w:jc w:val="center"/>
            </w:pPr>
            <w:r/>
            <w:r>
              <w:rPr>
                <w:rFonts w:ascii="仿宋_GB2312" w:hAnsi="仿宋_GB2312" w:eastAsia="仿宋_GB2312"/>
                <w:b w:val="0"/>
                <w:color w:val="000000"/>
                <w:sz w:val="32"/>
              </w:rPr>
              <w:t>290亿元，+43.7%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中车四方营收（2024）</w:t>
            </w:r>
          </w:p>
        </w:tc>
        <w:tc>
          <w:tcPr>
            <w:tcW w:type="dxa" w:w="2835"/>
          </w:tcPr>
          <w:p>
            <w:pPr>
              <w:spacing w:lineRule="exact" w:line="600"/>
              <w:jc w:val="center"/>
            </w:pPr>
            <w:r/>
            <w:r>
              <w:rPr>
                <w:rFonts w:ascii="仿宋_GB2312" w:hAnsi="仿宋_GB2312" w:eastAsia="仿宋_GB2312"/>
                <w:b w:val="0"/>
                <w:color w:val="000000"/>
                <w:sz w:val="32"/>
              </w:rPr>
              <w:t>408.59亿元，+24.19%</w:t>
            </w:r>
          </w:p>
        </w:tc>
        <w:tc>
          <w:tcPr>
            <w:tcW w:type="dxa" w:w="3118"/>
          </w:tcPr>
          <w:p>
            <w:pPr>
              <w:spacing w:lineRule="exact" w:line="600"/>
              <w:jc w:val="center"/>
            </w:pPr>
            <w:r/>
            <w:r>
              <w:rPr>
                <w:rFonts w:ascii="仿宋_GB2312" w:hAnsi="仿宋_GB2312" w:eastAsia="仿宋_GB2312"/>
                <w:b w:val="0"/>
                <w:color w:val="000000"/>
                <w:sz w:val="32"/>
              </w:rPr>
              <w:t>中车四方公开数据</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（一）整车制造链条</w:t>
      </w:r>
    </w:p>
    <w:p>
      <w:pPr>
        <w:spacing w:lineRule="exact" w:line="600" w:before="0" w:after="0"/>
        <w:ind w:firstLine="420"/>
        <w:jc w:val="both"/>
      </w:pPr>
      <w:r>
        <w:rPr>
          <w:rFonts w:ascii="仿宋_GB2312" w:hAnsi="仿宋_GB2312" w:eastAsia="仿宋_GB2312"/>
          <w:b w:val="0"/>
          <w:color w:val="000000"/>
          <w:sz w:val="32"/>
        </w:rPr>
        <w:t>整车制造上游为车体、转向架、牵引系统等，中游为整车集成，下游为运维。青岛轨道交通产业示范区集聚四方股份、四方车辆、四方阿尔斯通3个主机厂和220余家核心配套企业，承载全市90%的轨道交通装备制造资源（来源：青岛轨道交通产业示范区，2025）。</w:t>
      </w:r>
    </w:p>
    <w:p>
      <w:pPr>
        <w:spacing w:lineRule="exact" w:line="600" w:before="120" w:after="120"/>
        <w:ind w:firstLine="420"/>
        <w:jc w:val="left"/>
      </w:pPr>
      <w:r>
        <w:rPr>
          <w:rFonts w:ascii="楷体_GB2312" w:hAnsi="楷体_GB2312" w:eastAsia="楷体_GB2312"/>
          <w:b w:val="0"/>
          <w:color w:val="000000"/>
          <w:sz w:val="32"/>
        </w:rPr>
        <w:t>（二）配套生态</w:t>
      </w:r>
    </w:p>
    <w:p>
      <w:pPr>
        <w:spacing w:lineRule="exact" w:line="600" w:before="0" w:after="0"/>
        <w:ind w:firstLine="420"/>
        <w:jc w:val="both"/>
      </w:pPr>
      <w:r>
        <w:rPr>
          <w:rFonts w:ascii="仿宋_GB2312" w:hAnsi="仿宋_GB2312" w:eastAsia="仿宋_GB2312"/>
          <w:b w:val="0"/>
          <w:color w:val="000000"/>
          <w:sz w:val="32"/>
        </w:rPr>
        <w:t>示范区形成“主机厂+配套企业”生态，全国55%高铁动车、20%地铁车辆在此生产；拥有11家国家级、17家省级创新平台，国家高速列车技术创新中心落地（来源：青岛轨道交通产业示范区，2025；棘洪滩街道报道）。</w:t>
      </w:r>
    </w:p>
    <w:p>
      <w:pPr>
        <w:spacing w:lineRule="exact" w:line="600" w:before="120" w:after="120"/>
        <w:ind w:firstLine="420"/>
        <w:jc w:val="left"/>
      </w:pPr>
      <w:r>
        <w:rPr>
          <w:rFonts w:ascii="楷体_GB2312" w:hAnsi="楷体_GB2312" w:eastAsia="楷体_GB2312"/>
          <w:b w:val="0"/>
          <w:color w:val="000000"/>
          <w:sz w:val="32"/>
        </w:rPr>
        <w:t>（二）青岛轨道交通产业链（真实检索补充）</w:t>
      </w:r>
    </w:p>
    <w:p>
      <w:pPr>
        <w:spacing w:lineRule="exact" w:line="600" w:before="0" w:after="0"/>
        <w:ind w:firstLine="420"/>
        <w:jc w:val="both"/>
      </w:pPr>
      <w:r>
        <w:rPr>
          <w:rFonts w:ascii="仿宋_GB2312" w:hAnsi="仿宋_GB2312" w:eastAsia="仿宋_GB2312"/>
          <w:b w:val="0"/>
          <w:color w:val="000000"/>
          <w:sz w:val="32"/>
        </w:rPr>
        <w:t>青岛轨道交通产业示范区是全国唯一以轨道交通为主导产业的省级功能区，集聚中车青岛四方、中车四方车辆研究所、青岛四方阿尔斯通3个主机厂和220余家核心配套企业，形成覆盖控制、牵引、制动、减震等系统的完整产业链，本地配套率已提升至近50%；产品涵盖高速动车组、城际动车组、城轨地铁、单轨、空轨等全谱系。（来源：青岛轨道交通产业示范区管委、工人日报/新华每日电讯2024）（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产业链指标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主机厂</w:t>
            </w:r>
          </w:p>
        </w:tc>
        <w:tc>
          <w:tcPr>
            <w:tcW w:type="dxa" w:w="3118"/>
          </w:tcPr>
          <w:p>
            <w:pPr>
              <w:spacing w:lineRule="exact" w:line="600"/>
              <w:jc w:val="center"/>
            </w:pPr>
            <w:r/>
            <w:r>
              <w:rPr>
                <w:rFonts w:ascii="仿宋_GB2312" w:hAnsi="仿宋_GB2312" w:eastAsia="仿宋_GB2312"/>
                <w:b w:val="0"/>
                <w:color w:val="000000"/>
                <w:sz w:val="32"/>
              </w:rPr>
              <w:t>3家（中车四方等）</w:t>
            </w:r>
          </w:p>
        </w:tc>
        <w:tc>
          <w:tcPr>
            <w:tcW w:type="dxa" w:w="2835"/>
          </w:tcPr>
          <w:p>
            <w:pPr>
              <w:spacing w:lineRule="exact" w:line="600"/>
              <w:jc w:val="center"/>
            </w:pPr>
            <w:r/>
            <w:r>
              <w:rPr>
                <w:rFonts w:ascii="仿宋_GB2312" w:hAnsi="仿宋_GB2312" w:eastAsia="仿宋_GB2312"/>
                <w:b w:val="0"/>
                <w:color w:val="000000"/>
                <w:sz w:val="32"/>
              </w:rPr>
              <w:t>轨道交通示范区</w:t>
            </w:r>
          </w:p>
        </w:tc>
      </w:tr>
      <w:tr>
        <w:tc>
          <w:tcPr>
            <w:tcW w:type="dxa" w:w="3118"/>
          </w:tcPr>
          <w:p>
            <w:pPr>
              <w:spacing w:lineRule="exact" w:line="600"/>
              <w:jc w:val="center"/>
            </w:pPr>
            <w:r/>
            <w:r>
              <w:rPr>
                <w:rFonts w:ascii="仿宋_GB2312" w:hAnsi="仿宋_GB2312" w:eastAsia="仿宋_GB2312"/>
                <w:b w:val="0"/>
                <w:color w:val="000000"/>
                <w:sz w:val="32"/>
              </w:rPr>
              <w:t>核心配套企业</w:t>
            </w:r>
          </w:p>
        </w:tc>
        <w:tc>
          <w:tcPr>
            <w:tcW w:type="dxa" w:w="3118"/>
          </w:tcPr>
          <w:p>
            <w:pPr>
              <w:spacing w:lineRule="exact" w:line="600"/>
              <w:jc w:val="center"/>
            </w:pPr>
            <w:r/>
            <w:r>
              <w:rPr>
                <w:rFonts w:ascii="仿宋_GB2312" w:hAnsi="仿宋_GB2312" w:eastAsia="仿宋_GB2312"/>
                <w:b w:val="0"/>
                <w:color w:val="000000"/>
                <w:sz w:val="32"/>
              </w:rPr>
              <w:t>220余家</w:t>
            </w:r>
          </w:p>
        </w:tc>
        <w:tc>
          <w:tcPr>
            <w:tcW w:type="dxa" w:w="2835"/>
          </w:tcPr>
          <w:p>
            <w:pPr>
              <w:spacing w:lineRule="exact" w:line="600"/>
              <w:jc w:val="center"/>
            </w:pPr>
            <w:r/>
            <w:r>
              <w:rPr>
                <w:rFonts w:ascii="仿宋_GB2312" w:hAnsi="仿宋_GB2312" w:eastAsia="仿宋_GB2312"/>
                <w:b w:val="0"/>
                <w:color w:val="000000"/>
                <w:sz w:val="32"/>
              </w:rPr>
              <w:t>轨道交通示范区</w:t>
            </w:r>
          </w:p>
        </w:tc>
      </w:tr>
      <w:tr>
        <w:tc>
          <w:tcPr>
            <w:tcW w:type="dxa" w:w="3118"/>
          </w:tcPr>
          <w:p>
            <w:pPr>
              <w:spacing w:lineRule="exact" w:line="600"/>
              <w:jc w:val="center"/>
            </w:pPr>
            <w:r/>
            <w:r>
              <w:rPr>
                <w:rFonts w:ascii="仿宋_GB2312" w:hAnsi="仿宋_GB2312" w:eastAsia="仿宋_GB2312"/>
                <w:b w:val="0"/>
                <w:color w:val="000000"/>
                <w:sz w:val="32"/>
              </w:rPr>
              <w:t>本地配套率</w:t>
            </w:r>
          </w:p>
        </w:tc>
        <w:tc>
          <w:tcPr>
            <w:tcW w:type="dxa" w:w="3118"/>
          </w:tcPr>
          <w:p>
            <w:pPr>
              <w:spacing w:lineRule="exact" w:line="600"/>
              <w:jc w:val="center"/>
            </w:pPr>
            <w:r/>
            <w:r>
              <w:rPr>
                <w:rFonts w:ascii="仿宋_GB2312" w:hAnsi="仿宋_GB2312" w:eastAsia="仿宋_GB2312"/>
                <w:b w:val="0"/>
                <w:color w:val="000000"/>
                <w:sz w:val="32"/>
              </w:rPr>
              <w:t>近50%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整车占比</w:t>
            </w:r>
          </w:p>
        </w:tc>
        <w:tc>
          <w:tcPr>
            <w:tcW w:type="dxa" w:w="3118"/>
          </w:tcPr>
          <w:p>
            <w:pPr>
              <w:spacing w:lineRule="exact" w:line="600"/>
              <w:jc w:val="center"/>
            </w:pPr>
            <w:r/>
            <w:r>
              <w:rPr>
                <w:rFonts w:ascii="仿宋_GB2312" w:hAnsi="仿宋_GB2312" w:eastAsia="仿宋_GB2312"/>
                <w:b w:val="0"/>
                <w:color w:val="000000"/>
                <w:sz w:val="32"/>
              </w:rPr>
              <w:t>全国55%高铁动车、20%地铁</w:t>
            </w:r>
          </w:p>
        </w:tc>
        <w:tc>
          <w:tcPr>
            <w:tcW w:type="dxa" w:w="2835"/>
          </w:tcPr>
          <w:p>
            <w:pPr>
              <w:spacing w:lineRule="exact" w:line="600"/>
              <w:jc w:val="center"/>
            </w:pPr>
            <w:r/>
            <w:r>
              <w:rPr>
                <w:rFonts w:ascii="仿宋_GB2312" w:hAnsi="仿宋_GB2312" w:eastAsia="仿宋_GB2312"/>
                <w:b w:val="0"/>
                <w:color w:val="000000"/>
                <w:sz w:val="32"/>
              </w:rPr>
              <w:t>轨道交通示范区</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（一）订单与产量</w:t>
      </w:r>
    </w:p>
    <w:p>
      <w:pPr>
        <w:spacing w:lineRule="exact" w:line="600" w:before="0" w:after="0"/>
        <w:ind w:firstLine="420"/>
        <w:jc w:val="both"/>
      </w:pPr>
      <w:r>
        <w:rPr>
          <w:rFonts w:ascii="仿宋_GB2312" w:hAnsi="仿宋_GB2312" w:eastAsia="仿宋_GB2312"/>
          <w:b w:val="0"/>
          <w:color w:val="000000"/>
          <w:sz w:val="32"/>
        </w:rPr>
        <w:t>2024年青岛市生产动车组847辆、增长47%，中标高速动车组新造订单122组、占总招标数49.8%；中车四方新造动车组653辆、增长37.2%（来源：青岛统计年鉴2025）。全国轨道交通整车竞争集中于中车四方、长客、株机等（来源：行业研判）。</w:t>
      </w:r>
    </w:p>
    <w:p>
      <w:pPr>
        <w:spacing w:lineRule="exact" w:line="600" w:before="120" w:after="120"/>
        <w:ind w:firstLine="420"/>
        <w:jc w:val="left"/>
      </w:pPr>
      <w:r>
        <w:rPr>
          <w:rFonts w:ascii="楷体_GB2312" w:hAnsi="楷体_GB2312" w:eastAsia="楷体_GB2312"/>
          <w:b w:val="0"/>
          <w:color w:val="000000"/>
          <w:sz w:val="32"/>
        </w:rPr>
        <w:t>（二）市场份额</w:t>
      </w:r>
    </w:p>
    <w:p>
      <w:pPr>
        <w:spacing w:lineRule="exact" w:line="600" w:before="0" w:after="0"/>
        <w:ind w:firstLine="420"/>
        <w:jc w:val="both"/>
      </w:pPr>
      <w:r>
        <w:rPr>
          <w:rFonts w:ascii="仿宋_GB2312" w:hAnsi="仿宋_GB2312" w:eastAsia="仿宋_GB2312"/>
          <w:b w:val="0"/>
          <w:color w:val="000000"/>
          <w:sz w:val="32"/>
        </w:rPr>
        <w:t>中车青岛四方2024年产值290亿元、增长43.7%，全国约43%的高速动车组在此生产；营收408.59亿元、同比增长24.19%（来源：青岛统计年鉴2025；中车四方公开数据）。城阳区棘洪滩产出全国55%高铁动车、25%地铁车辆（来源：海报新闻，2025）。</w:t>
      </w:r>
    </w:p>
    <w:p>
      <w:pPr>
        <w:spacing w:lineRule="exact" w:line="600" w:before="120" w:after="120"/>
        <w:ind w:firstLine="420"/>
        <w:jc w:val="left"/>
      </w:pPr>
      <w:r>
        <w:rPr>
          <w:rFonts w:ascii="楷体_GB2312" w:hAnsi="楷体_GB2312" w:eastAsia="楷体_GB2312"/>
          <w:b w:val="0"/>
          <w:color w:val="000000"/>
          <w:sz w:val="32"/>
        </w:rPr>
        <w:t>（三）青岛轨道交通市场供需（真实检索补充）</w:t>
      </w:r>
    </w:p>
    <w:p>
      <w:pPr>
        <w:spacing w:lineRule="exact" w:line="600" w:before="0" w:after="0"/>
        <w:ind w:firstLine="420"/>
        <w:jc w:val="both"/>
      </w:pPr>
      <w:r>
        <w:rPr>
          <w:rFonts w:ascii="仿宋_GB2312" w:hAnsi="仿宋_GB2312" w:eastAsia="仿宋_GB2312"/>
          <w:b w:val="0"/>
          <w:color w:val="000000"/>
          <w:sz w:val="32"/>
        </w:rPr>
        <w:t>2024年青岛轨道交通装备产业生产动车组847辆、城轨地铁车辆新造520辆，全市动车组年产能超1600辆；中标高速动车组新造订单122组（占国铁招标49.8%），国内高速铁路与城市轨道交通建设持续拉动需求，雅万高铁等“出海”订单拓展出口。（来源：青岛市2024统计、工人日报2024）（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动车组产量</w:t>
            </w:r>
          </w:p>
        </w:tc>
        <w:tc>
          <w:tcPr>
            <w:tcW w:type="dxa" w:w="3118"/>
          </w:tcPr>
          <w:p>
            <w:pPr>
              <w:spacing w:lineRule="exact" w:line="600"/>
              <w:jc w:val="center"/>
            </w:pPr>
            <w:r/>
            <w:r>
              <w:rPr>
                <w:rFonts w:ascii="仿宋_GB2312" w:hAnsi="仿宋_GB2312" w:eastAsia="仿宋_GB2312"/>
                <w:b w:val="0"/>
                <w:color w:val="000000"/>
                <w:sz w:val="32"/>
              </w:rPr>
              <w:t>847辆（+47%）</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城轨地铁新造</w:t>
            </w:r>
          </w:p>
        </w:tc>
        <w:tc>
          <w:tcPr>
            <w:tcW w:type="dxa" w:w="3118"/>
          </w:tcPr>
          <w:p>
            <w:pPr>
              <w:spacing w:lineRule="exact" w:line="600"/>
              <w:jc w:val="center"/>
            </w:pPr>
            <w:r/>
            <w:r>
              <w:rPr>
                <w:rFonts w:ascii="仿宋_GB2312" w:hAnsi="仿宋_GB2312" w:eastAsia="仿宋_GB2312"/>
                <w:b w:val="0"/>
                <w:color w:val="000000"/>
                <w:sz w:val="32"/>
              </w:rPr>
              <w:t>520辆（+11.1%）</w:t>
            </w:r>
          </w:p>
        </w:tc>
        <w:tc>
          <w:tcPr>
            <w:tcW w:type="dxa" w:w="2835"/>
          </w:tcPr>
          <w:p>
            <w:pPr>
              <w:spacing w:lineRule="exact" w:line="600"/>
              <w:jc w:val="center"/>
            </w:pPr>
            <w:r/>
            <w:r>
              <w:rPr>
                <w:rFonts w:ascii="仿宋_GB2312" w:hAnsi="仿宋_GB2312" w:eastAsia="仿宋_GB2312"/>
                <w:b w:val="0"/>
                <w:color w:val="000000"/>
                <w:sz w:val="32"/>
              </w:rPr>
              <w:t>中车四方2024</w:t>
            </w:r>
          </w:p>
        </w:tc>
      </w:tr>
      <w:tr>
        <w:tc>
          <w:tcPr>
            <w:tcW w:type="dxa" w:w="3118"/>
          </w:tcPr>
          <w:p>
            <w:pPr>
              <w:spacing w:lineRule="exact" w:line="600"/>
              <w:jc w:val="center"/>
            </w:pPr>
            <w:r/>
            <w:r>
              <w:rPr>
                <w:rFonts w:ascii="仿宋_GB2312" w:hAnsi="仿宋_GB2312" w:eastAsia="仿宋_GB2312"/>
                <w:b w:val="0"/>
                <w:color w:val="000000"/>
                <w:sz w:val="32"/>
              </w:rPr>
              <w:t>新造订单占比</w:t>
            </w:r>
          </w:p>
        </w:tc>
        <w:tc>
          <w:tcPr>
            <w:tcW w:type="dxa" w:w="3118"/>
          </w:tcPr>
          <w:p>
            <w:pPr>
              <w:spacing w:lineRule="exact" w:line="600"/>
              <w:jc w:val="center"/>
            </w:pPr>
            <w:r/>
            <w:r>
              <w:rPr>
                <w:rFonts w:ascii="仿宋_GB2312" w:hAnsi="仿宋_GB2312" w:eastAsia="仿宋_GB2312"/>
                <w:b w:val="0"/>
                <w:color w:val="000000"/>
                <w:sz w:val="32"/>
              </w:rPr>
              <w:t>49.8%（122组）</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年产能</w:t>
            </w:r>
          </w:p>
        </w:tc>
        <w:tc>
          <w:tcPr>
            <w:tcW w:type="dxa" w:w="3118"/>
          </w:tcPr>
          <w:p>
            <w:pPr>
              <w:spacing w:lineRule="exact" w:line="600"/>
              <w:jc w:val="center"/>
            </w:pPr>
            <w:r/>
            <w:r>
              <w:rPr>
                <w:rFonts w:ascii="仿宋_GB2312" w:hAnsi="仿宋_GB2312" w:eastAsia="仿宋_GB2312"/>
                <w:b w:val="0"/>
                <w:color w:val="000000"/>
                <w:sz w:val="32"/>
              </w:rPr>
              <w:t>超1600辆</w:t>
            </w:r>
          </w:p>
        </w:tc>
        <w:tc>
          <w:tcPr>
            <w:tcW w:type="dxa" w:w="2835"/>
          </w:tcPr>
          <w:p>
            <w:pPr>
              <w:spacing w:lineRule="exact" w:line="600"/>
              <w:jc w:val="center"/>
            </w:pPr>
            <w:r/>
            <w:r>
              <w:rPr>
                <w:rFonts w:ascii="仿宋_GB2312" w:hAnsi="仿宋_GB2312" w:eastAsia="仿宋_GB2312"/>
                <w:b w:val="0"/>
                <w:color w:val="000000"/>
                <w:sz w:val="32"/>
              </w:rPr>
              <w:t>工人日报2024</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w:t>
      </w:r>
    </w:p>
    <w:p>
      <w:pPr>
        <w:spacing w:lineRule="exact" w:line="600" w:before="0" w:after="0"/>
        <w:ind w:firstLine="420"/>
        <w:jc w:val="both"/>
      </w:pPr>
      <w:r>
        <w:rPr>
          <w:rFonts w:ascii="仿宋_GB2312" w:hAnsi="仿宋_GB2312" w:eastAsia="仿宋_GB2312"/>
          <w:b w:val="0"/>
          <w:color w:val="000000"/>
          <w:sz w:val="32"/>
        </w:rPr>
        <w:t>青岛轨道交通装备集群为首批国家先进制造业集群，示范区规上工业企业179家、高新技术企业321家、专精特新企业252家、“小巨人”5家、上市公司3家（来源：青岛轨道交通产业示范区，2025）。</w:t>
      </w:r>
    </w:p>
    <w:p>
      <w:pPr>
        <w:spacing w:lineRule="exact" w:line="600" w:before="120" w:after="120"/>
        <w:ind w:firstLine="420"/>
        <w:jc w:val="left"/>
      </w:pPr>
      <w:r>
        <w:rPr>
          <w:rFonts w:ascii="楷体_GB2312" w:hAnsi="楷体_GB2312" w:eastAsia="楷体_GB2312"/>
          <w:b w:val="0"/>
          <w:color w:val="000000"/>
          <w:sz w:val="32"/>
        </w:rPr>
        <w:t>（二）中车四方画像</w:t>
      </w:r>
    </w:p>
    <w:p>
      <w:pPr>
        <w:spacing w:lineRule="exact" w:line="600" w:before="0" w:after="0"/>
        <w:ind w:firstLine="420"/>
        <w:jc w:val="both"/>
      </w:pPr>
      <w:r>
        <w:rPr>
          <w:rFonts w:ascii="仿宋_GB2312" w:hAnsi="仿宋_GB2312" w:eastAsia="仿宋_GB2312"/>
          <w:b w:val="0"/>
          <w:color w:val="000000"/>
          <w:sz w:val="32"/>
        </w:rPr>
        <w:t>中车青岛四方机车车辆股份有限公司是中国中车核心企业、中国高速列车产业化基地，2024年产值290亿元、新造动车组653辆、城轨地铁520辆、增长11.1%，全国43%高速动车组在此生产（来源：青岛统计年鉴2025）。</w:t>
      </w:r>
    </w:p>
    <w:p>
      <w:pPr>
        <w:spacing w:lineRule="exact" w:line="600" w:before="120" w:after="120"/>
        <w:ind w:firstLine="420"/>
        <w:jc w:val="left"/>
      </w:pPr>
      <w:r>
        <w:rPr>
          <w:rFonts w:ascii="楷体_GB2312" w:hAnsi="楷体_GB2312" w:eastAsia="楷体_GB2312"/>
          <w:b w:val="0"/>
          <w:color w:val="000000"/>
          <w:sz w:val="32"/>
        </w:rPr>
        <w:t>（四）青岛轨道交通产业集群主体（真实检索补充）</w:t>
      </w:r>
    </w:p>
    <w:p>
      <w:pPr>
        <w:spacing w:lineRule="exact" w:line="600" w:before="0" w:after="0"/>
        <w:ind w:firstLine="420"/>
        <w:jc w:val="both"/>
      </w:pPr>
      <w:r>
        <w:rPr>
          <w:rFonts w:ascii="仿宋_GB2312" w:hAnsi="仿宋_GB2312" w:eastAsia="仿宋_GB2312"/>
          <w:b w:val="0"/>
          <w:color w:val="000000"/>
          <w:sz w:val="32"/>
        </w:rPr>
        <w:t>青岛市轨道交通装备产业规上企业87家，2024年实现主营业务收入595.2亿元（增长26.7%）、生产动车组847辆（增长47%），中标高速动车组新造订单122组（占总招标49.8%）；链主企业中车青岛四方2024年产值290亿元（增长43.7%）、营业收入408.59亿元，生产全国43%的高速动车组。示范区拥有规上工业企业179家、高新技术企业321家、专精特新252家。（来源：青岛市统计年鉴2024、中车四方/搜狗百科）（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集群指标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规上企业</w:t>
            </w:r>
          </w:p>
        </w:tc>
        <w:tc>
          <w:tcPr>
            <w:tcW w:type="dxa" w:w="3118"/>
          </w:tcPr>
          <w:p>
            <w:pPr>
              <w:spacing w:lineRule="exact" w:line="600"/>
              <w:jc w:val="center"/>
            </w:pPr>
            <w:r/>
            <w:r>
              <w:rPr>
                <w:rFonts w:ascii="仿宋_GB2312" w:hAnsi="仿宋_GB2312" w:eastAsia="仿宋_GB2312"/>
                <w:b w:val="0"/>
                <w:color w:val="000000"/>
                <w:sz w:val="32"/>
              </w:rPr>
              <w:t>87家</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主营业务收入</w:t>
            </w:r>
          </w:p>
        </w:tc>
        <w:tc>
          <w:tcPr>
            <w:tcW w:type="dxa" w:w="3118"/>
          </w:tcPr>
          <w:p>
            <w:pPr>
              <w:spacing w:lineRule="exact" w:line="600"/>
              <w:jc w:val="center"/>
            </w:pPr>
            <w:r/>
            <w:r>
              <w:rPr>
                <w:rFonts w:ascii="仿宋_GB2312" w:hAnsi="仿宋_GB2312" w:eastAsia="仿宋_GB2312"/>
                <w:b w:val="0"/>
                <w:color w:val="000000"/>
                <w:sz w:val="32"/>
              </w:rPr>
              <w:t>595.2亿元（+26.7%）</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中车四方产值</w:t>
            </w:r>
          </w:p>
        </w:tc>
        <w:tc>
          <w:tcPr>
            <w:tcW w:type="dxa" w:w="3118"/>
          </w:tcPr>
          <w:p>
            <w:pPr>
              <w:spacing w:lineRule="exact" w:line="600"/>
              <w:jc w:val="center"/>
            </w:pPr>
            <w:r/>
            <w:r>
              <w:rPr>
                <w:rFonts w:ascii="仿宋_GB2312" w:hAnsi="仿宋_GB2312" w:eastAsia="仿宋_GB2312"/>
                <w:b w:val="0"/>
                <w:color w:val="000000"/>
                <w:sz w:val="32"/>
              </w:rPr>
              <w:t>290亿元（+43.7%）</w:t>
            </w:r>
          </w:p>
        </w:tc>
        <w:tc>
          <w:tcPr>
            <w:tcW w:type="dxa" w:w="2835"/>
          </w:tcPr>
          <w:p>
            <w:pPr>
              <w:spacing w:lineRule="exact" w:line="600"/>
              <w:jc w:val="center"/>
            </w:pPr>
            <w:r/>
            <w:r>
              <w:rPr>
                <w:rFonts w:ascii="仿宋_GB2312" w:hAnsi="仿宋_GB2312" w:eastAsia="仿宋_GB2312"/>
                <w:b w:val="0"/>
                <w:color w:val="000000"/>
                <w:sz w:val="32"/>
              </w:rPr>
              <w:t>中车四方2024</w:t>
            </w:r>
          </w:p>
        </w:tc>
      </w:tr>
      <w:tr>
        <w:tc>
          <w:tcPr>
            <w:tcW w:type="dxa" w:w="3118"/>
          </w:tcPr>
          <w:p>
            <w:pPr>
              <w:spacing w:lineRule="exact" w:line="600"/>
              <w:jc w:val="center"/>
            </w:pPr>
            <w:r/>
            <w:r>
              <w:rPr>
                <w:rFonts w:ascii="仿宋_GB2312" w:hAnsi="仿宋_GB2312" w:eastAsia="仿宋_GB2312"/>
                <w:b w:val="0"/>
                <w:color w:val="000000"/>
                <w:sz w:val="32"/>
              </w:rPr>
              <w:t>中车四方营收</w:t>
            </w:r>
          </w:p>
        </w:tc>
        <w:tc>
          <w:tcPr>
            <w:tcW w:type="dxa" w:w="3118"/>
          </w:tcPr>
          <w:p>
            <w:pPr>
              <w:spacing w:lineRule="exact" w:line="600"/>
              <w:jc w:val="center"/>
            </w:pPr>
            <w:r/>
            <w:r>
              <w:rPr>
                <w:rFonts w:ascii="仿宋_GB2312" w:hAnsi="仿宋_GB2312" w:eastAsia="仿宋_GB2312"/>
                <w:b w:val="0"/>
                <w:color w:val="000000"/>
                <w:sz w:val="32"/>
              </w:rPr>
              <w:t>408.59亿元</w:t>
            </w:r>
          </w:p>
        </w:tc>
        <w:tc>
          <w:tcPr>
            <w:tcW w:type="dxa" w:w="2835"/>
          </w:tcPr>
          <w:p>
            <w:pPr>
              <w:spacing w:lineRule="exact" w:line="600"/>
              <w:jc w:val="center"/>
            </w:pPr>
            <w:r/>
            <w:r>
              <w:rPr>
                <w:rFonts w:ascii="仿宋_GB2312" w:hAnsi="仿宋_GB2312" w:eastAsia="仿宋_GB2312"/>
                <w:b w:val="0"/>
                <w:color w:val="000000"/>
                <w:sz w:val="32"/>
              </w:rPr>
              <w:t>搜狗百科</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（一）关键技术突破</w:t>
      </w:r>
    </w:p>
    <w:p>
      <w:pPr>
        <w:spacing w:lineRule="exact" w:line="600" w:before="0" w:after="0"/>
        <w:ind w:firstLine="420"/>
        <w:jc w:val="both"/>
      </w:pPr>
      <w:r>
        <w:rPr>
          <w:rFonts w:ascii="仿宋_GB2312" w:hAnsi="仿宋_GB2312" w:eastAsia="仿宋_GB2312"/>
          <w:b w:val="0"/>
          <w:color w:val="000000"/>
          <w:sz w:val="32"/>
        </w:rPr>
        <w:t>2024年青岛下线全球首列碳纤维地铁列车“碳星快轨”、首列新能源智能城际市域动车组、CR450AF动车组样车；“复兴号”高速列车获国家科技进步奖特等奖（来源：青岛轨道交通产业示范区，2025）。</w:t>
      </w:r>
    </w:p>
    <w:p>
      <w:pPr>
        <w:spacing w:lineRule="exact" w:line="600" w:before="120" w:after="120"/>
        <w:ind w:firstLine="420"/>
        <w:jc w:val="left"/>
      </w:pPr>
      <w:r>
        <w:rPr>
          <w:rFonts w:ascii="楷体_GB2312" w:hAnsi="楷体_GB2312" w:eastAsia="楷体_GB2312"/>
          <w:b w:val="0"/>
          <w:color w:val="000000"/>
          <w:sz w:val="32"/>
        </w:rPr>
        <w:t>（二）创新平台</w:t>
      </w:r>
    </w:p>
    <w:p>
      <w:pPr>
        <w:spacing w:lineRule="exact" w:line="600" w:before="0" w:after="0"/>
        <w:ind w:firstLine="420"/>
        <w:jc w:val="both"/>
      </w:pPr>
      <w:r>
        <w:rPr>
          <w:rFonts w:ascii="仿宋_GB2312" w:hAnsi="仿宋_GB2312" w:eastAsia="仿宋_GB2312"/>
          <w:b w:val="0"/>
          <w:color w:val="000000"/>
          <w:sz w:val="32"/>
        </w:rPr>
        <w:t>国家高速列车技术创新中心集聚11家国家级、17家省级创新平台，累计投入超百亿元，建成高速磁浮实验中心等平台（来源：青岛轨道交通产业示范区，2025）。</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（一）盈利与订单</w:t>
      </w:r>
    </w:p>
    <w:p>
      <w:pPr>
        <w:spacing w:lineRule="exact" w:line="600" w:before="0" w:after="0"/>
        <w:ind w:firstLine="420"/>
        <w:jc w:val="both"/>
      </w:pPr>
      <w:r>
        <w:rPr>
          <w:rFonts w:ascii="仿宋_GB2312" w:hAnsi="仿宋_GB2312" w:eastAsia="仿宋_GB2312"/>
          <w:b w:val="0"/>
          <w:color w:val="000000"/>
          <w:sz w:val="32"/>
        </w:rPr>
        <w:t>中车四方2024年营收408.59亿元、同比增长24.19%，盈利居核心子公司前列（来源：中车四方公开数据/行业研报）。轨道交通装备订单稳定但回款周期长（来源：行业研判）。</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青岛出台集群培育提升三年行动方案，争取优质资源与重点项目；示范区配套220KV及以上基础设施（来源：青岛轨道交通产业示范区，2025；行业研判）。</w:t>
      </w:r>
    </w:p>
    <w:p>
      <w:pPr>
        <w:spacing w:lineRule="exact" w:line="600" w:before="120" w:after="120"/>
        <w:ind w:firstLine="420"/>
        <w:jc w:val="left"/>
      </w:pPr>
      <w:r>
        <w:rPr>
          <w:rFonts w:ascii="楷体_GB2312" w:hAnsi="楷体_GB2312" w:eastAsia="楷体_GB2312"/>
          <w:b w:val="0"/>
          <w:color w:val="000000"/>
          <w:sz w:val="32"/>
        </w:rPr>
        <w:t>（六）青岛轨道交通成本盈利（真实检索补充）</w:t>
      </w:r>
    </w:p>
    <w:p>
      <w:pPr>
        <w:spacing w:lineRule="exact" w:line="600" w:before="0" w:after="0"/>
        <w:ind w:firstLine="420"/>
        <w:jc w:val="both"/>
      </w:pPr>
      <w:r>
        <w:rPr>
          <w:rFonts w:ascii="仿宋_GB2312" w:hAnsi="仿宋_GB2312" w:eastAsia="仿宋_GB2312"/>
          <w:b w:val="0"/>
          <w:color w:val="000000"/>
          <w:sz w:val="32"/>
        </w:rPr>
        <w:t>产业链本地配套率近50%有效降低物流与采购成本；配套企业研发投入强度高，如青岛宏达青田研发投入占年产值15%–20%；中车四方等链主企业规模化生产摊薄制造成本，2024年营业收入408.59亿元、产值290亿元，盈利随订单增长改善。（来源：工人日报2024、搜狗百科）（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成本/盈利指标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本地配套率</w:t>
            </w:r>
          </w:p>
        </w:tc>
        <w:tc>
          <w:tcPr>
            <w:tcW w:type="dxa" w:w="3118"/>
          </w:tcPr>
          <w:p>
            <w:pPr>
              <w:spacing w:lineRule="exact" w:line="600"/>
              <w:jc w:val="center"/>
            </w:pPr>
            <w:r/>
            <w:r>
              <w:rPr>
                <w:rFonts w:ascii="仿宋_GB2312" w:hAnsi="仿宋_GB2312" w:eastAsia="仿宋_GB2312"/>
                <w:b w:val="0"/>
                <w:color w:val="000000"/>
                <w:sz w:val="32"/>
              </w:rPr>
              <w:t>近50%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配套企业研发占比</w:t>
            </w:r>
          </w:p>
        </w:tc>
        <w:tc>
          <w:tcPr>
            <w:tcW w:type="dxa" w:w="3118"/>
          </w:tcPr>
          <w:p>
            <w:pPr>
              <w:spacing w:lineRule="exact" w:line="600"/>
              <w:jc w:val="center"/>
            </w:pPr>
            <w:r/>
            <w:r>
              <w:rPr>
                <w:rFonts w:ascii="仿宋_GB2312" w:hAnsi="仿宋_GB2312" w:eastAsia="仿宋_GB2312"/>
                <w:b w:val="0"/>
                <w:color w:val="000000"/>
                <w:sz w:val="32"/>
              </w:rPr>
              <w:t>年产值15%–20%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中车四方营收</w:t>
            </w:r>
          </w:p>
        </w:tc>
        <w:tc>
          <w:tcPr>
            <w:tcW w:type="dxa" w:w="3118"/>
          </w:tcPr>
          <w:p>
            <w:pPr>
              <w:spacing w:lineRule="exact" w:line="600"/>
              <w:jc w:val="center"/>
            </w:pPr>
            <w:r/>
            <w:r>
              <w:rPr>
                <w:rFonts w:ascii="仿宋_GB2312" w:hAnsi="仿宋_GB2312" w:eastAsia="仿宋_GB2312"/>
                <w:b w:val="0"/>
                <w:color w:val="000000"/>
                <w:sz w:val="32"/>
              </w:rPr>
              <w:t>408.59亿元</w:t>
            </w:r>
          </w:p>
        </w:tc>
        <w:tc>
          <w:tcPr>
            <w:tcW w:type="dxa" w:w="2835"/>
          </w:tcPr>
          <w:p>
            <w:pPr>
              <w:spacing w:lineRule="exact" w:line="600"/>
              <w:jc w:val="center"/>
            </w:pPr>
            <w:r/>
            <w:r>
              <w:rPr>
                <w:rFonts w:ascii="仿宋_GB2312" w:hAnsi="仿宋_GB2312" w:eastAsia="仿宋_GB2312"/>
                <w:b w:val="0"/>
                <w:color w:val="000000"/>
                <w:sz w:val="32"/>
              </w:rPr>
              <w:t>搜狗百科</w:t>
            </w:r>
          </w:p>
        </w:tc>
      </w:tr>
      <w:tr>
        <w:tc>
          <w:tcPr>
            <w:tcW w:type="dxa" w:w="3118"/>
          </w:tcPr>
          <w:p>
            <w:pPr>
              <w:spacing w:lineRule="exact" w:line="600"/>
              <w:jc w:val="center"/>
            </w:pPr>
            <w:r/>
            <w:r>
              <w:rPr>
                <w:rFonts w:ascii="仿宋_GB2312" w:hAnsi="仿宋_GB2312" w:eastAsia="仿宋_GB2312"/>
                <w:b w:val="0"/>
                <w:color w:val="000000"/>
                <w:sz w:val="32"/>
              </w:rPr>
              <w:t>中车四方产值</w:t>
            </w:r>
          </w:p>
        </w:tc>
        <w:tc>
          <w:tcPr>
            <w:tcW w:type="dxa" w:w="3118"/>
          </w:tcPr>
          <w:p>
            <w:pPr>
              <w:spacing w:lineRule="exact" w:line="600"/>
              <w:jc w:val="center"/>
            </w:pPr>
            <w:r/>
            <w:r>
              <w:rPr>
                <w:rFonts w:ascii="仿宋_GB2312" w:hAnsi="仿宋_GB2312" w:eastAsia="仿宋_GB2312"/>
                <w:b w:val="0"/>
                <w:color w:val="000000"/>
                <w:sz w:val="32"/>
              </w:rPr>
              <w:t>290亿元</w:t>
            </w:r>
          </w:p>
        </w:tc>
        <w:tc>
          <w:tcPr>
            <w:tcW w:type="dxa" w:w="2835"/>
          </w:tcPr>
          <w:p>
            <w:pPr>
              <w:spacing w:lineRule="exact" w:line="600"/>
              <w:jc w:val="center"/>
            </w:pPr>
            <w:r/>
            <w:r>
              <w:rPr>
                <w:rFonts w:ascii="仿宋_GB2312" w:hAnsi="仿宋_GB2312" w:eastAsia="仿宋_GB2312"/>
                <w:b w:val="0"/>
                <w:color w:val="000000"/>
                <w:sz w:val="32"/>
              </w:rPr>
              <w:t>中车四方2024</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城际市域铁路、市域动车与“一带一路”海外高铁出口拓展空间；碳纤维、氢能源、智能列车新品类放量（来源：青岛轨道交通产业示范区，2025）。</w:t>
      </w:r>
    </w:p>
    <w:p>
      <w:pPr>
        <w:spacing w:lineRule="exact" w:line="600" w:before="120" w:after="120"/>
        <w:ind w:firstLine="420"/>
        <w:jc w:val="left"/>
      </w:pPr>
      <w:r>
        <w:rPr>
          <w:rFonts w:ascii="楷体_GB2312" w:hAnsi="楷体_GB2312" w:eastAsia="楷体_GB2312"/>
          <w:b w:val="0"/>
          <w:color w:val="000000"/>
          <w:sz w:val="32"/>
        </w:rPr>
        <w:t>（二）风险</w:t>
      </w:r>
    </w:p>
    <w:p>
      <w:pPr>
        <w:spacing w:lineRule="exact" w:line="600" w:before="0" w:after="0"/>
        <w:ind w:firstLine="420"/>
        <w:jc w:val="both"/>
      </w:pPr>
      <w:r>
        <w:rPr>
          <w:rFonts w:ascii="仿宋_GB2312" w:hAnsi="仿宋_GB2312" w:eastAsia="仿宋_GB2312"/>
          <w:b w:val="0"/>
          <w:color w:val="000000"/>
          <w:sz w:val="32"/>
        </w:rPr>
        <w:t>铁路投资周期性波动；海外贸易壁垒；关键部件国产化与成本压力（来源：行业研判）。</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（一）高端化智能化</w:t>
      </w:r>
    </w:p>
    <w:p>
      <w:pPr>
        <w:spacing w:lineRule="exact" w:line="600" w:before="0" w:after="0"/>
        <w:ind w:firstLine="420"/>
        <w:jc w:val="both"/>
      </w:pPr>
      <w:r>
        <w:rPr>
          <w:rFonts w:ascii="仿宋_GB2312" w:hAnsi="仿宋_GB2312" w:eastAsia="仿宋_GB2312"/>
          <w:b w:val="0"/>
          <w:color w:val="000000"/>
          <w:sz w:val="32"/>
        </w:rPr>
        <w:t>推进CR450、碳纤维地铁、氢能源列车等高端产品，建设国家铁路装备技术综合试验基地（来源：青岛轨道交通产业示范区，2025）。</w:t>
      </w:r>
    </w:p>
    <w:p>
      <w:pPr>
        <w:spacing w:lineRule="exact" w:line="600" w:before="120" w:after="120"/>
        <w:ind w:firstLine="420"/>
        <w:jc w:val="left"/>
      </w:pPr>
      <w:r>
        <w:rPr>
          <w:rFonts w:ascii="楷体_GB2312" w:hAnsi="楷体_GB2312" w:eastAsia="楷体_GB2312"/>
          <w:b w:val="0"/>
          <w:color w:val="000000"/>
          <w:sz w:val="32"/>
        </w:rPr>
        <w:t>（二）链长制与集群</w:t>
      </w:r>
    </w:p>
    <w:p>
      <w:pPr>
        <w:spacing w:lineRule="exact" w:line="600" w:before="0" w:after="0"/>
        <w:ind w:firstLine="420"/>
        <w:jc w:val="both"/>
      </w:pPr>
      <w:r>
        <w:rPr>
          <w:rFonts w:ascii="仿宋_GB2312" w:hAnsi="仿宋_GB2312" w:eastAsia="仿宋_GB2312"/>
          <w:b w:val="0"/>
          <w:color w:val="000000"/>
          <w:sz w:val="32"/>
        </w:rPr>
        <w:t>青岛以“链长制”推进轨道交通装备集群，建设“三个一”工程（国家高速列车技术创新中心、试验基地、国际展会）（来源：青岛工信局，2025）。</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（一）产能与研发融资</w:t>
      </w:r>
    </w:p>
    <w:p>
      <w:pPr>
        <w:spacing w:lineRule="exact" w:line="600" w:before="0" w:after="0"/>
        <w:ind w:firstLine="420"/>
        <w:jc w:val="both"/>
      </w:pPr>
      <w:r>
        <w:rPr>
          <w:rFonts w:ascii="仿宋_GB2312" w:hAnsi="仿宋_GB2312" w:eastAsia="仿宋_GB2312"/>
          <w:b w:val="0"/>
          <w:color w:val="000000"/>
          <w:sz w:val="32"/>
        </w:rPr>
        <w:t>新车型研发与智能工厂建设需长期资金，可运用制造业中长期贷款、专项债（来源：山东省“十强产业”行动计划；行业研判）。</w:t>
      </w:r>
    </w:p>
    <w:p>
      <w:pPr>
        <w:spacing w:lineRule="exact" w:line="600" w:before="120" w:after="120"/>
        <w:ind w:firstLine="420"/>
        <w:jc w:val="left"/>
      </w:pPr>
      <w:r>
        <w:rPr>
          <w:rFonts w:ascii="楷体_GB2312" w:hAnsi="楷体_GB2312" w:eastAsia="楷体_GB2312"/>
          <w:b w:val="0"/>
          <w:color w:val="000000"/>
          <w:sz w:val="32"/>
        </w:rPr>
        <w:t>（二）出海融资</w:t>
      </w:r>
    </w:p>
    <w:p>
      <w:pPr>
        <w:spacing w:lineRule="exact" w:line="600" w:before="0" w:after="0"/>
        <w:ind w:firstLine="420"/>
        <w:jc w:val="both"/>
      </w:pPr>
      <w:r>
        <w:rPr>
          <w:rFonts w:ascii="仿宋_GB2312" w:hAnsi="仿宋_GB2312" w:eastAsia="仿宋_GB2312"/>
          <w:b w:val="0"/>
          <w:color w:val="000000"/>
          <w:sz w:val="32"/>
        </w:rPr>
        <w:t>海外高铁与城轨项目需出口信贷与信保支持（来源：行业研判；山东省外贸政策）。</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中车青岛四方机车车辆股份有限公司：城阳区轨道交通整车制造龙头，CRH系列动车组核心研制基地。来源：城阳区政府官网、公司年报。</w:t>
      </w:r>
    </w:p>
    <w:p>
      <w:pPr>
        <w:spacing w:lineRule="exact" w:line="600" w:before="0" w:after="0"/>
        <w:ind w:firstLine="420"/>
        <w:jc w:val="both"/>
      </w:pPr>
      <w:r>
        <w:rPr>
          <w:rFonts w:ascii="仿宋_GB2312" w:hAnsi="仿宋_GB2312" w:eastAsia="仿宋_GB2312"/>
          <w:b w:val="0"/>
          <w:color w:val="000000"/>
          <w:sz w:val="32"/>
        </w:rPr>
        <w:t>中车青岛四方车辆研究所有限公司：轨道交通核心零部件及系统集成服务商。来源：公司官网。</w:t>
      </w:r>
    </w:p>
    <w:p>
      <w:pPr>
        <w:spacing w:lineRule="exact" w:line="600" w:before="0" w:after="0"/>
        <w:ind w:firstLine="420"/>
        <w:jc w:val="both"/>
      </w:pPr>
      <w:r>
        <w:rPr>
          <w:rFonts w:ascii="仿宋_GB2312" w:hAnsi="仿宋_GB2312" w:eastAsia="仿宋_GB2312"/>
          <w:b w:val="0"/>
          <w:color w:val="000000"/>
          <w:sz w:val="32"/>
        </w:rPr>
        <w:t>青岛威奥轨道股份有限公司：轨道交通装备配套及运维服务商。来源：公司年报。</w:t>
      </w:r>
    </w:p>
    <w:p>
      <w:pPr>
        <w:spacing w:lineRule="exact" w:line="600" w:before="0" w:after="0"/>
        <w:jc w:val="left"/>
      </w:pPr>
      <w:r>
        <w:rPr>
          <w:rFonts w:ascii="仿宋_GB2312" w:hAnsi="仿宋_GB2312" w:eastAsia="仿宋_GB2312"/>
          <w:b w:val="0"/>
          <w:color w:val="000000"/>
          <w:sz w:val="28"/>
        </w:rPr>
        <w:t>主要数据来源：青岛市统计局《青岛统计年鉴2025》（轨道交通装备产业）；青岛轨道交通产业示范区官网报道（2025）；海报新闻：解码“小镇冠军”青岛棘洪滩（2025-08）；中车青岛四方机车车辆股份有限公司公开数据；山东省《“十强产业”行动计划（2024—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