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山东青岛（轨道交通）特色产业集群</w:t>
      </w:r>
    </w:p>
    <w:p>
      <w:pPr>
        <w:spacing w:lineRule="exact" w:line="600" w:before="240" w:after="240"/>
        <w:ind w:firstLine="0"/>
        <w:jc w:val="center"/>
      </w:pPr>
      <w:r>
        <w:rPr>
          <w:rFonts w:ascii="方正小标宋简体" w:hAnsi="方正小标宋简体" w:eastAsia="方正小标宋简体"/>
          <w:b w:val="0"/>
          <w:color w:val="000000"/>
          <w:sz w:val="44"/>
        </w:rPr>
        <w:t>轨道交通核心零部件行业深度分析报告</w:t>
      </w:r>
    </w:p>
    <w:p>
      <w:pPr>
        <w:spacing w:lineRule="exact" w:line="600" w:before="0" w:after="0"/>
        <w:jc w:val="left"/>
      </w:pPr>
      <w:r>
        <w:rPr>
          <w:rFonts w:ascii="仿宋_GB2312" w:hAnsi="仿宋_GB2312" w:eastAsia="仿宋_GB2312"/>
          <w:b w:val="0"/>
          <w:color w:val="000000"/>
          <w:sz w:val="28"/>
        </w:rPr>
        <w:t>（本报告基于青岛统计年鉴、示范区公开数据、企业公开信息编制，数据截至2024年，部分细分领域公开官方统计有限，已依据行业共性事实研判并标注。）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轨道交通核心零部件（转向架、车体、牵引制动、减震、内饰等）是青岛轨道交通集群“主机厂+220余家配套企业”生态的关键环节。2024年示范区轨道交通配套企业实现产值267.6亿元、同比增长52%，拉动工业产值27.6个百分点。中车青岛四方车辆研究所专注核心零部件与系统集成，威奥轨道等企业提供车体模块、内饰与减震部件，本地配套率持续提升。</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青岛轨道交通装备主营业务收入（2024）</w:t>
            </w:r>
          </w:p>
        </w:tc>
        <w:tc>
          <w:tcPr>
            <w:tcW w:type="dxa" w:w="2835"/>
          </w:tcPr>
          <w:p>
            <w:pPr>
              <w:spacing w:lineRule="exact" w:line="600"/>
              <w:jc w:val="center"/>
            </w:pPr>
            <w:r/>
            <w:r>
              <w:rPr>
                <w:rFonts w:ascii="仿宋_GB2312" w:hAnsi="仿宋_GB2312" w:eastAsia="仿宋_GB2312"/>
                <w:b w:val="0"/>
                <w:color w:val="000000"/>
                <w:sz w:val="32"/>
              </w:rPr>
              <w:t>595.2亿元，+26.7%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示范区核心配套企业数</w:t>
            </w:r>
          </w:p>
        </w:tc>
        <w:tc>
          <w:tcPr>
            <w:tcW w:type="dxa" w:w="2835"/>
          </w:tcPr>
          <w:p>
            <w:pPr>
              <w:spacing w:lineRule="exact" w:line="600"/>
              <w:jc w:val="center"/>
            </w:pPr>
            <w:r/>
            <w:r>
              <w:rPr>
                <w:rFonts w:ascii="仿宋_GB2312" w:hAnsi="仿宋_GB2312" w:eastAsia="仿宋_GB2312"/>
                <w:b w:val="0"/>
                <w:color w:val="000000"/>
                <w:sz w:val="32"/>
              </w:rPr>
              <w:t>220余家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配套企业产值（2024上半年）</w:t>
            </w:r>
          </w:p>
        </w:tc>
        <w:tc>
          <w:tcPr>
            <w:tcW w:type="dxa" w:w="2835"/>
          </w:tcPr>
          <w:p>
            <w:pPr>
              <w:spacing w:lineRule="exact" w:line="600"/>
              <w:jc w:val="center"/>
            </w:pPr>
            <w:r/>
            <w:r>
              <w:rPr>
                <w:rFonts w:ascii="仿宋_GB2312" w:hAnsi="仿宋_GB2312" w:eastAsia="仿宋_GB2312"/>
                <w:b w:val="0"/>
                <w:color w:val="000000"/>
                <w:sz w:val="32"/>
              </w:rPr>
              <w:t>267.6亿元，+52%</w:t>
            </w:r>
          </w:p>
        </w:tc>
        <w:tc>
          <w:tcPr>
            <w:tcW w:type="dxa" w:w="3118"/>
          </w:tcPr>
          <w:p>
            <w:pPr>
              <w:spacing w:lineRule="exact" w:line="600"/>
              <w:jc w:val="center"/>
            </w:pPr>
            <w:r/>
            <w:r>
              <w:rPr>
                <w:rFonts w:ascii="仿宋_GB2312" w:hAnsi="仿宋_GB2312" w:eastAsia="仿宋_GB2312"/>
                <w:b w:val="0"/>
                <w:color w:val="000000"/>
                <w:sz w:val="32"/>
              </w:rPr>
              <w:t>海报新闻，2025</w:t>
            </w:r>
          </w:p>
        </w:tc>
      </w:tr>
      <w:tr>
        <w:tc>
          <w:tcPr>
            <w:tcW w:type="dxa" w:w="2835"/>
          </w:tcPr>
          <w:p>
            <w:pPr>
              <w:spacing w:lineRule="exact" w:line="600"/>
              <w:jc w:val="center"/>
            </w:pPr>
            <w:r/>
            <w:r>
              <w:rPr>
                <w:rFonts w:ascii="仿宋_GB2312" w:hAnsi="仿宋_GB2312" w:eastAsia="仿宋_GB2312"/>
                <w:b w:val="0"/>
                <w:color w:val="000000"/>
                <w:sz w:val="32"/>
              </w:rPr>
              <w:t>示范区专精特新企业</w:t>
            </w:r>
          </w:p>
        </w:tc>
        <w:tc>
          <w:tcPr>
            <w:tcW w:type="dxa" w:w="2835"/>
          </w:tcPr>
          <w:p>
            <w:pPr>
              <w:spacing w:lineRule="exact" w:line="600"/>
              <w:jc w:val="center"/>
            </w:pPr>
            <w:r/>
            <w:r>
              <w:rPr>
                <w:rFonts w:ascii="仿宋_GB2312" w:hAnsi="仿宋_GB2312" w:eastAsia="仿宋_GB2312"/>
                <w:b w:val="0"/>
                <w:color w:val="000000"/>
                <w:sz w:val="32"/>
              </w:rPr>
              <w:t>252家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示范区国家级专精特新小巨人</w:t>
            </w:r>
          </w:p>
        </w:tc>
        <w:tc>
          <w:tcPr>
            <w:tcW w:type="dxa" w:w="2835"/>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威奥轨道营收（2024前三季度）</w:t>
            </w:r>
          </w:p>
        </w:tc>
        <w:tc>
          <w:tcPr>
            <w:tcW w:type="dxa" w:w="2835"/>
          </w:tcPr>
          <w:p>
            <w:pPr>
              <w:spacing w:lineRule="exact" w:line="600"/>
              <w:jc w:val="center"/>
            </w:pPr>
            <w:r/>
            <w:r>
              <w:rPr>
                <w:rFonts w:ascii="仿宋_GB2312" w:hAnsi="仿宋_GB2312" w:eastAsia="仿宋_GB2312"/>
                <w:b w:val="0"/>
                <w:color w:val="000000"/>
                <w:sz w:val="32"/>
              </w:rPr>
              <w:t>7.93亿元，+21.05%</w:t>
            </w:r>
          </w:p>
        </w:tc>
        <w:tc>
          <w:tcPr>
            <w:tcW w:type="dxa" w:w="3118"/>
          </w:tcPr>
          <w:p>
            <w:pPr>
              <w:spacing w:lineRule="exact" w:line="600"/>
              <w:jc w:val="center"/>
            </w:pPr>
            <w:r/>
            <w:r>
              <w:rPr>
                <w:rFonts w:ascii="仿宋_GB2312" w:hAnsi="仿宋_GB2312" w:eastAsia="仿宋_GB2312"/>
                <w:b w:val="0"/>
                <w:color w:val="000000"/>
                <w:sz w:val="32"/>
              </w:rPr>
              <w:t>威奥轨道三季报</w:t>
            </w:r>
          </w:p>
        </w:tc>
      </w:tr>
      <w:tr>
        <w:tc>
          <w:tcPr>
            <w:tcW w:type="dxa" w:w="2835"/>
          </w:tcPr>
          <w:p>
            <w:pPr>
              <w:spacing w:lineRule="exact" w:line="600"/>
              <w:jc w:val="center"/>
            </w:pPr>
            <w:r/>
            <w:r>
              <w:rPr>
                <w:rFonts w:ascii="仿宋_GB2312" w:hAnsi="仿宋_GB2312" w:eastAsia="仿宋_GB2312"/>
                <w:b w:val="0"/>
                <w:color w:val="000000"/>
                <w:sz w:val="32"/>
              </w:rPr>
              <w:t>全国高铁动车生产占比（棘洪滩）</w:t>
            </w:r>
          </w:p>
        </w:tc>
        <w:tc>
          <w:tcPr>
            <w:tcW w:type="dxa" w:w="2835"/>
          </w:tcPr>
          <w:p>
            <w:pPr>
              <w:spacing w:lineRule="exact" w:line="600"/>
              <w:jc w:val="center"/>
            </w:pPr>
            <w:r/>
            <w:r>
              <w:rPr>
                <w:rFonts w:ascii="仿宋_GB2312" w:hAnsi="仿宋_GB2312" w:eastAsia="仿宋_GB2312"/>
                <w:b w:val="0"/>
                <w:color w:val="000000"/>
                <w:sz w:val="32"/>
              </w:rPr>
              <w:t>55%</w:t>
            </w:r>
          </w:p>
        </w:tc>
        <w:tc>
          <w:tcPr>
            <w:tcW w:type="dxa" w:w="3118"/>
          </w:tcPr>
          <w:p>
            <w:pPr>
              <w:spacing w:lineRule="exact" w:line="600"/>
              <w:jc w:val="center"/>
            </w:pPr>
            <w:r/>
            <w:r>
              <w:rPr>
                <w:rFonts w:ascii="仿宋_GB2312" w:hAnsi="仿宋_GB2312" w:eastAsia="仿宋_GB2312"/>
                <w:b w:val="0"/>
                <w:color w:val="000000"/>
                <w:sz w:val="32"/>
              </w:rPr>
              <w:t>海报新闻，2025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山东将高端装备列入“十强产业”，青岛以“链长制”推进轨道交通装备集群；国家支持关键零部件国产化（来源：山东省鲁政发〔2024〕5号；青岛工信局）。</w:t>
      </w:r>
    </w:p>
    <w:p>
      <w:pPr>
        <w:spacing w:lineRule="exact" w:line="600" w:before="120" w:after="120"/>
        <w:ind w:firstLine="420"/>
        <w:jc w:val="left"/>
      </w:pPr>
      <w:r>
        <w:rPr>
          <w:rFonts w:ascii="楷体_GB2312" w:hAnsi="楷体_GB2312" w:eastAsia="楷体_GB2312"/>
          <w:b w:val="0"/>
          <w:color w:val="000000"/>
          <w:sz w:val="32"/>
        </w:rPr>
        <w:t>（二）区域配套基础</w:t>
      </w:r>
    </w:p>
    <w:p>
      <w:pPr>
        <w:spacing w:lineRule="exact" w:line="600" w:before="0" w:after="0"/>
        <w:ind w:firstLine="420"/>
        <w:jc w:val="both"/>
      </w:pPr>
      <w:r>
        <w:rPr>
          <w:rFonts w:ascii="仿宋_GB2312" w:hAnsi="仿宋_GB2312" w:eastAsia="仿宋_GB2312"/>
          <w:b w:val="0"/>
          <w:color w:val="000000"/>
          <w:sz w:val="32"/>
        </w:rPr>
        <w:t>2024年青岛轨道交通装备主营业务收入595.2亿元、增长26.7%；示范区集聚220余家核心配套企业，承载全市90%轨交制造资源（来源：青岛统计年鉴2025；青岛轨道交通产业示范区）。</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青岛轨道交通装备主营业务收入（2024）</w:t>
            </w:r>
          </w:p>
        </w:tc>
        <w:tc>
          <w:tcPr>
            <w:tcW w:type="dxa" w:w="2835"/>
          </w:tcPr>
          <w:p>
            <w:pPr>
              <w:spacing w:lineRule="exact" w:line="600"/>
              <w:jc w:val="center"/>
            </w:pPr>
            <w:r/>
            <w:r>
              <w:rPr>
                <w:rFonts w:ascii="仿宋_GB2312" w:hAnsi="仿宋_GB2312" w:eastAsia="仿宋_GB2312"/>
                <w:b w:val="0"/>
                <w:color w:val="000000"/>
                <w:sz w:val="32"/>
              </w:rPr>
              <w:t>595.2亿元，+26.7%</w:t>
            </w:r>
          </w:p>
        </w:tc>
        <w:tc>
          <w:tcPr>
            <w:tcW w:type="dxa" w:w="3118"/>
          </w:tcPr>
          <w:p>
            <w:pPr>
              <w:spacing w:lineRule="exact" w:line="600"/>
              <w:jc w:val="center"/>
            </w:pPr>
            <w:r/>
            <w:r>
              <w:rPr>
                <w:rFonts w:ascii="仿宋_GB2312" w:hAnsi="仿宋_GB2312" w:eastAsia="仿宋_GB2312"/>
                <w:b w:val="0"/>
                <w:color w:val="000000"/>
                <w:sz w:val="32"/>
              </w:rPr>
              <w:t>青岛统计年鉴2025</w:t>
            </w:r>
          </w:p>
        </w:tc>
      </w:tr>
      <w:tr>
        <w:tc>
          <w:tcPr>
            <w:tcW w:type="dxa" w:w="2835"/>
          </w:tcPr>
          <w:p>
            <w:pPr>
              <w:spacing w:lineRule="exact" w:line="600"/>
              <w:jc w:val="center"/>
            </w:pPr>
            <w:r/>
            <w:r>
              <w:rPr>
                <w:rFonts w:ascii="仿宋_GB2312" w:hAnsi="仿宋_GB2312" w:eastAsia="仿宋_GB2312"/>
                <w:b w:val="0"/>
                <w:color w:val="000000"/>
                <w:sz w:val="32"/>
              </w:rPr>
              <w:t>示范区核心配套企业数</w:t>
            </w:r>
          </w:p>
        </w:tc>
        <w:tc>
          <w:tcPr>
            <w:tcW w:type="dxa" w:w="2835"/>
          </w:tcPr>
          <w:p>
            <w:pPr>
              <w:spacing w:lineRule="exact" w:line="600"/>
              <w:jc w:val="center"/>
            </w:pPr>
            <w:r/>
            <w:r>
              <w:rPr>
                <w:rFonts w:ascii="仿宋_GB2312" w:hAnsi="仿宋_GB2312" w:eastAsia="仿宋_GB2312"/>
                <w:b w:val="0"/>
                <w:color w:val="000000"/>
                <w:sz w:val="32"/>
              </w:rPr>
              <w:t>220余家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配套企业产值（2024上半年）</w:t>
            </w:r>
          </w:p>
        </w:tc>
        <w:tc>
          <w:tcPr>
            <w:tcW w:type="dxa" w:w="2835"/>
          </w:tcPr>
          <w:p>
            <w:pPr>
              <w:spacing w:lineRule="exact" w:line="600"/>
              <w:jc w:val="center"/>
            </w:pPr>
            <w:r/>
            <w:r>
              <w:rPr>
                <w:rFonts w:ascii="仿宋_GB2312" w:hAnsi="仿宋_GB2312" w:eastAsia="仿宋_GB2312"/>
                <w:b w:val="0"/>
                <w:color w:val="000000"/>
                <w:sz w:val="32"/>
              </w:rPr>
              <w:t>267.6亿元，+52%</w:t>
            </w:r>
          </w:p>
        </w:tc>
        <w:tc>
          <w:tcPr>
            <w:tcW w:type="dxa" w:w="3118"/>
          </w:tcPr>
          <w:p>
            <w:pPr>
              <w:spacing w:lineRule="exact" w:line="600"/>
              <w:jc w:val="center"/>
            </w:pPr>
            <w:r/>
            <w:r>
              <w:rPr>
                <w:rFonts w:ascii="仿宋_GB2312" w:hAnsi="仿宋_GB2312" w:eastAsia="仿宋_GB2312"/>
                <w:b w:val="0"/>
                <w:color w:val="000000"/>
                <w:sz w:val="32"/>
              </w:rPr>
              <w:t>海报新闻，2025</w:t>
            </w:r>
          </w:p>
        </w:tc>
      </w:tr>
      <w:tr>
        <w:tc>
          <w:tcPr>
            <w:tcW w:type="dxa" w:w="2835"/>
          </w:tcPr>
          <w:p>
            <w:pPr>
              <w:spacing w:lineRule="exact" w:line="600"/>
              <w:jc w:val="center"/>
            </w:pPr>
            <w:r/>
            <w:r>
              <w:rPr>
                <w:rFonts w:ascii="仿宋_GB2312" w:hAnsi="仿宋_GB2312" w:eastAsia="仿宋_GB2312"/>
                <w:b w:val="0"/>
                <w:color w:val="000000"/>
                <w:sz w:val="32"/>
              </w:rPr>
              <w:t>示范区专精特新企业</w:t>
            </w:r>
          </w:p>
        </w:tc>
        <w:tc>
          <w:tcPr>
            <w:tcW w:type="dxa" w:w="2835"/>
          </w:tcPr>
          <w:p>
            <w:pPr>
              <w:spacing w:lineRule="exact" w:line="600"/>
              <w:jc w:val="center"/>
            </w:pPr>
            <w:r/>
            <w:r>
              <w:rPr>
                <w:rFonts w:ascii="仿宋_GB2312" w:hAnsi="仿宋_GB2312" w:eastAsia="仿宋_GB2312"/>
                <w:b w:val="0"/>
                <w:color w:val="000000"/>
                <w:sz w:val="32"/>
              </w:rPr>
              <w:t>252家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示范区国家级专精特新小巨人</w:t>
            </w:r>
          </w:p>
        </w:tc>
        <w:tc>
          <w:tcPr>
            <w:tcW w:type="dxa" w:w="2835"/>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青岛轨道交通产业示范区，2025</w:t>
            </w:r>
          </w:p>
        </w:tc>
      </w:tr>
      <w:tr>
        <w:tc>
          <w:tcPr>
            <w:tcW w:type="dxa" w:w="2835"/>
          </w:tcPr>
          <w:p>
            <w:pPr>
              <w:spacing w:lineRule="exact" w:line="600"/>
              <w:jc w:val="center"/>
            </w:pPr>
            <w:r/>
            <w:r>
              <w:rPr>
                <w:rFonts w:ascii="仿宋_GB2312" w:hAnsi="仿宋_GB2312" w:eastAsia="仿宋_GB2312"/>
                <w:b w:val="0"/>
                <w:color w:val="000000"/>
                <w:sz w:val="32"/>
              </w:rPr>
              <w:t>威奥轨道营收（2024前三季度）</w:t>
            </w:r>
          </w:p>
        </w:tc>
        <w:tc>
          <w:tcPr>
            <w:tcW w:type="dxa" w:w="2835"/>
          </w:tcPr>
          <w:p>
            <w:pPr>
              <w:spacing w:lineRule="exact" w:line="600"/>
              <w:jc w:val="center"/>
            </w:pPr>
            <w:r/>
            <w:r>
              <w:rPr>
                <w:rFonts w:ascii="仿宋_GB2312" w:hAnsi="仿宋_GB2312" w:eastAsia="仿宋_GB2312"/>
                <w:b w:val="0"/>
                <w:color w:val="000000"/>
                <w:sz w:val="32"/>
              </w:rPr>
              <w:t>7.93亿元，+21.05%</w:t>
            </w:r>
          </w:p>
        </w:tc>
        <w:tc>
          <w:tcPr>
            <w:tcW w:type="dxa" w:w="3118"/>
          </w:tcPr>
          <w:p>
            <w:pPr>
              <w:spacing w:lineRule="exact" w:line="600"/>
              <w:jc w:val="center"/>
            </w:pPr>
            <w:r/>
            <w:r>
              <w:rPr>
                <w:rFonts w:ascii="仿宋_GB2312" w:hAnsi="仿宋_GB2312" w:eastAsia="仿宋_GB2312"/>
                <w:b w:val="0"/>
                <w:color w:val="000000"/>
                <w:sz w:val="32"/>
              </w:rPr>
              <w:t>威奥轨道三季报</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（一）零部件链条</w:t>
      </w:r>
    </w:p>
    <w:p>
      <w:pPr>
        <w:spacing w:lineRule="exact" w:line="600" w:before="0" w:after="0"/>
        <w:ind w:firstLine="420"/>
        <w:jc w:val="both"/>
      </w:pPr>
      <w:r>
        <w:rPr>
          <w:rFonts w:ascii="仿宋_GB2312" w:hAnsi="仿宋_GB2312" w:eastAsia="仿宋_GB2312"/>
          <w:b w:val="0"/>
          <w:color w:val="000000"/>
          <w:sz w:val="32"/>
        </w:rPr>
        <w:t>核心零部件涵盖转向架、牵引与制动系统、车体模块、贯通道、内饰、减震件等；示范区形成“主机厂+配套”闭环，铁龙轨道等生产卫生间模块、源富机械生产转向架精密件（来源：海报新闻，2025；棘洪滩街道报道）。</w:t>
      </w:r>
    </w:p>
    <w:p>
      <w:pPr>
        <w:spacing w:lineRule="exact" w:line="600" w:before="120" w:after="120"/>
        <w:ind w:firstLine="420"/>
        <w:jc w:val="left"/>
      </w:pPr>
      <w:r>
        <w:rPr>
          <w:rFonts w:ascii="楷体_GB2312" w:hAnsi="楷体_GB2312" w:eastAsia="楷体_GB2312"/>
          <w:b w:val="0"/>
          <w:color w:val="000000"/>
          <w:sz w:val="32"/>
        </w:rPr>
        <w:t>（二）配套协同</w:t>
      </w:r>
    </w:p>
    <w:p>
      <w:pPr>
        <w:spacing w:lineRule="exact" w:line="600" w:before="0" w:after="0"/>
        <w:ind w:firstLine="420"/>
        <w:jc w:val="both"/>
      </w:pPr>
      <w:r>
        <w:rPr>
          <w:rFonts w:ascii="仿宋_GB2312" w:hAnsi="仿宋_GB2312" w:eastAsia="仿宋_GB2312"/>
          <w:b w:val="0"/>
          <w:color w:val="000000"/>
          <w:sz w:val="32"/>
        </w:rPr>
        <w:t>2024年上半年辖区轨道交通配套企业实现产值267.6亿元、同比增长52%，拉动示范区工业产值27.6个百分点（来源：海报新闻，2025）。</w:t>
      </w:r>
    </w:p>
    <w:p>
      <w:pPr>
        <w:spacing w:lineRule="exact" w:line="600" w:before="120" w:after="120"/>
        <w:ind w:firstLine="420"/>
        <w:jc w:val="left"/>
      </w:pPr>
      <w:r>
        <w:rPr>
          <w:rFonts w:ascii="楷体_GB2312" w:hAnsi="楷体_GB2312" w:eastAsia="楷体_GB2312"/>
          <w:b w:val="0"/>
          <w:color w:val="000000"/>
          <w:sz w:val="32"/>
        </w:rPr>
        <w:t>（二）青岛轨道交通产业链（真实检索补充）</w:t>
      </w:r>
    </w:p>
    <w:p>
      <w:pPr>
        <w:spacing w:lineRule="exact" w:line="600" w:before="0" w:after="0"/>
        <w:ind w:firstLine="420"/>
        <w:jc w:val="both"/>
      </w:pPr>
      <w:r>
        <w:rPr>
          <w:rFonts w:ascii="仿宋_GB2312" w:hAnsi="仿宋_GB2312" w:eastAsia="仿宋_GB2312"/>
          <w:b w:val="0"/>
          <w:color w:val="000000"/>
          <w:sz w:val="32"/>
        </w:rPr>
        <w:t>青岛轨道交通产业示范区是全国唯一以轨道交通为主导产业的省级功能区，集聚中车青岛四方、中车四方车辆研究所、青岛四方阿尔斯通3个主机厂和220余家核心配套企业，形成覆盖控制、牵引、制动、减震等系统的完整产业链，本地配套率已提升至近50%；产品涵盖高速动车组、城际动车组、城轨地铁、单轨、空轨等全谱系。（来源：青岛轨道交通产业示范区管委、工人日报/新华每日电讯2024）（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产业链指标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主机厂</w:t>
            </w:r>
          </w:p>
        </w:tc>
        <w:tc>
          <w:tcPr>
            <w:tcW w:type="dxa" w:w="3118"/>
          </w:tcPr>
          <w:p>
            <w:pPr>
              <w:spacing w:lineRule="exact" w:line="600"/>
              <w:jc w:val="center"/>
            </w:pPr>
            <w:r/>
            <w:r>
              <w:rPr>
                <w:rFonts w:ascii="仿宋_GB2312" w:hAnsi="仿宋_GB2312" w:eastAsia="仿宋_GB2312"/>
                <w:b w:val="0"/>
                <w:color w:val="000000"/>
                <w:sz w:val="32"/>
              </w:rPr>
              <w:t>3家（中车四方等）</w:t>
            </w:r>
          </w:p>
        </w:tc>
        <w:tc>
          <w:tcPr>
            <w:tcW w:type="dxa" w:w="2835"/>
          </w:tcPr>
          <w:p>
            <w:pPr>
              <w:spacing w:lineRule="exact" w:line="600"/>
              <w:jc w:val="center"/>
            </w:pPr>
            <w:r/>
            <w:r>
              <w:rPr>
                <w:rFonts w:ascii="仿宋_GB2312" w:hAnsi="仿宋_GB2312" w:eastAsia="仿宋_GB2312"/>
                <w:b w:val="0"/>
                <w:color w:val="000000"/>
                <w:sz w:val="32"/>
              </w:rPr>
              <w:t>轨道交通示范区</w:t>
            </w:r>
          </w:p>
        </w:tc>
      </w:tr>
      <w:tr>
        <w:tc>
          <w:tcPr>
            <w:tcW w:type="dxa" w:w="3118"/>
          </w:tcPr>
          <w:p>
            <w:pPr>
              <w:spacing w:lineRule="exact" w:line="600"/>
              <w:jc w:val="center"/>
            </w:pPr>
            <w:r/>
            <w:r>
              <w:rPr>
                <w:rFonts w:ascii="仿宋_GB2312" w:hAnsi="仿宋_GB2312" w:eastAsia="仿宋_GB2312"/>
                <w:b w:val="0"/>
                <w:color w:val="000000"/>
                <w:sz w:val="32"/>
              </w:rPr>
              <w:t>核心配套企业</w:t>
            </w:r>
          </w:p>
        </w:tc>
        <w:tc>
          <w:tcPr>
            <w:tcW w:type="dxa" w:w="3118"/>
          </w:tcPr>
          <w:p>
            <w:pPr>
              <w:spacing w:lineRule="exact" w:line="600"/>
              <w:jc w:val="center"/>
            </w:pPr>
            <w:r/>
            <w:r>
              <w:rPr>
                <w:rFonts w:ascii="仿宋_GB2312" w:hAnsi="仿宋_GB2312" w:eastAsia="仿宋_GB2312"/>
                <w:b w:val="0"/>
                <w:color w:val="000000"/>
                <w:sz w:val="32"/>
              </w:rPr>
              <w:t>220余家</w:t>
            </w:r>
          </w:p>
        </w:tc>
        <w:tc>
          <w:tcPr>
            <w:tcW w:type="dxa" w:w="2835"/>
          </w:tcPr>
          <w:p>
            <w:pPr>
              <w:spacing w:lineRule="exact" w:line="600"/>
              <w:jc w:val="center"/>
            </w:pPr>
            <w:r/>
            <w:r>
              <w:rPr>
                <w:rFonts w:ascii="仿宋_GB2312" w:hAnsi="仿宋_GB2312" w:eastAsia="仿宋_GB2312"/>
                <w:b w:val="0"/>
                <w:color w:val="000000"/>
                <w:sz w:val="32"/>
              </w:rPr>
              <w:t>轨道交通示范区</w:t>
            </w:r>
          </w:p>
        </w:tc>
      </w:tr>
      <w:tr>
        <w:tc>
          <w:tcPr>
            <w:tcW w:type="dxa" w:w="3118"/>
          </w:tcPr>
          <w:p>
            <w:pPr>
              <w:spacing w:lineRule="exact" w:line="600"/>
              <w:jc w:val="center"/>
            </w:pPr>
            <w:r/>
            <w:r>
              <w:rPr>
                <w:rFonts w:ascii="仿宋_GB2312" w:hAnsi="仿宋_GB2312" w:eastAsia="仿宋_GB2312"/>
                <w:b w:val="0"/>
                <w:color w:val="000000"/>
                <w:sz w:val="32"/>
              </w:rPr>
              <w:t>本地配套率</w:t>
            </w:r>
          </w:p>
        </w:tc>
        <w:tc>
          <w:tcPr>
            <w:tcW w:type="dxa" w:w="3118"/>
          </w:tcPr>
          <w:p>
            <w:pPr>
              <w:spacing w:lineRule="exact" w:line="600"/>
              <w:jc w:val="center"/>
            </w:pPr>
            <w:r/>
            <w:r>
              <w:rPr>
                <w:rFonts w:ascii="仿宋_GB2312" w:hAnsi="仿宋_GB2312" w:eastAsia="仿宋_GB2312"/>
                <w:b w:val="0"/>
                <w:color w:val="000000"/>
                <w:sz w:val="32"/>
              </w:rPr>
              <w:t>近50%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整车占比</w:t>
            </w:r>
          </w:p>
        </w:tc>
        <w:tc>
          <w:tcPr>
            <w:tcW w:type="dxa" w:w="3118"/>
          </w:tcPr>
          <w:p>
            <w:pPr>
              <w:spacing w:lineRule="exact" w:line="600"/>
              <w:jc w:val="center"/>
            </w:pPr>
            <w:r/>
            <w:r>
              <w:rPr>
                <w:rFonts w:ascii="仿宋_GB2312" w:hAnsi="仿宋_GB2312" w:eastAsia="仿宋_GB2312"/>
                <w:b w:val="0"/>
                <w:color w:val="000000"/>
                <w:sz w:val="32"/>
              </w:rPr>
              <w:t>全国55%高铁动车、20%地铁</w:t>
            </w:r>
          </w:p>
        </w:tc>
        <w:tc>
          <w:tcPr>
            <w:tcW w:type="dxa" w:w="2835"/>
          </w:tcPr>
          <w:p>
            <w:pPr>
              <w:spacing w:lineRule="exact" w:line="600"/>
              <w:jc w:val="center"/>
            </w:pPr>
            <w:r/>
            <w:r>
              <w:rPr>
                <w:rFonts w:ascii="仿宋_GB2312" w:hAnsi="仿宋_GB2312" w:eastAsia="仿宋_GB2312"/>
                <w:b w:val="0"/>
                <w:color w:val="000000"/>
                <w:sz w:val="32"/>
              </w:rPr>
              <w:t>轨道交通示范区</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（一）需求拉动</w:t>
      </w:r>
    </w:p>
    <w:p>
      <w:pPr>
        <w:spacing w:lineRule="exact" w:line="600" w:before="0" w:after="0"/>
        <w:ind w:firstLine="420"/>
        <w:jc w:val="both"/>
      </w:pPr>
      <w:r>
        <w:rPr>
          <w:rFonts w:ascii="仿宋_GB2312" w:hAnsi="仿宋_GB2312" w:eastAsia="仿宋_GB2312"/>
          <w:b w:val="0"/>
          <w:color w:val="000000"/>
          <w:sz w:val="32"/>
        </w:rPr>
        <w:t>整车产量增长直接拉动零部件需求，2024年青岛生产动车组847辆、增长47%（来源：青岛统计年鉴2025）。配套企业跟随主机厂扩产（来源：海报新闻，2025）。</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轨交零部件竞争含中车系研究所与民营配套企业；威奥轨道等凭借模块化能力进入主机厂供应链；全国配套市场集中于青岛、长春、株洲等地（来源：行业研判；威奥轨道年报）。</w:t>
      </w:r>
    </w:p>
    <w:p>
      <w:pPr>
        <w:spacing w:lineRule="exact" w:line="600" w:before="120" w:after="120"/>
        <w:ind w:firstLine="420"/>
        <w:jc w:val="left"/>
      </w:pPr>
      <w:r>
        <w:rPr>
          <w:rFonts w:ascii="楷体_GB2312" w:hAnsi="楷体_GB2312" w:eastAsia="楷体_GB2312"/>
          <w:b w:val="0"/>
          <w:color w:val="000000"/>
          <w:sz w:val="32"/>
        </w:rPr>
        <w:t>（三）青岛轨道交通市场供需（真实检索补充）</w:t>
      </w:r>
    </w:p>
    <w:p>
      <w:pPr>
        <w:spacing w:lineRule="exact" w:line="600" w:before="0" w:after="0"/>
        <w:ind w:firstLine="420"/>
        <w:jc w:val="both"/>
      </w:pPr>
      <w:r>
        <w:rPr>
          <w:rFonts w:ascii="仿宋_GB2312" w:hAnsi="仿宋_GB2312" w:eastAsia="仿宋_GB2312"/>
          <w:b w:val="0"/>
          <w:color w:val="000000"/>
          <w:sz w:val="32"/>
        </w:rPr>
        <w:t>2024年青岛轨道交通装备产业生产动车组847辆、城轨地铁车辆新造520辆，全市动车组年产能超1600辆；中标高速动车组新造订单122组（占国铁招标49.8%），国内高速铁路与城市轨道交通建设持续拉动需求，雅万高铁等“出海”订单拓展出口。（来源：青岛市2024统计、工人日报2024）（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动车组产量</w:t>
            </w:r>
          </w:p>
        </w:tc>
        <w:tc>
          <w:tcPr>
            <w:tcW w:type="dxa" w:w="3118"/>
          </w:tcPr>
          <w:p>
            <w:pPr>
              <w:spacing w:lineRule="exact" w:line="600"/>
              <w:jc w:val="center"/>
            </w:pPr>
            <w:r/>
            <w:r>
              <w:rPr>
                <w:rFonts w:ascii="仿宋_GB2312" w:hAnsi="仿宋_GB2312" w:eastAsia="仿宋_GB2312"/>
                <w:b w:val="0"/>
                <w:color w:val="000000"/>
                <w:sz w:val="32"/>
              </w:rPr>
              <w:t>847辆（+47%）</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城轨地铁新造</w:t>
            </w:r>
          </w:p>
        </w:tc>
        <w:tc>
          <w:tcPr>
            <w:tcW w:type="dxa" w:w="3118"/>
          </w:tcPr>
          <w:p>
            <w:pPr>
              <w:spacing w:lineRule="exact" w:line="600"/>
              <w:jc w:val="center"/>
            </w:pPr>
            <w:r/>
            <w:r>
              <w:rPr>
                <w:rFonts w:ascii="仿宋_GB2312" w:hAnsi="仿宋_GB2312" w:eastAsia="仿宋_GB2312"/>
                <w:b w:val="0"/>
                <w:color w:val="000000"/>
                <w:sz w:val="32"/>
              </w:rPr>
              <w:t>520辆（+11.1%）</w:t>
            </w:r>
          </w:p>
        </w:tc>
        <w:tc>
          <w:tcPr>
            <w:tcW w:type="dxa" w:w="2835"/>
          </w:tcPr>
          <w:p>
            <w:pPr>
              <w:spacing w:lineRule="exact" w:line="600"/>
              <w:jc w:val="center"/>
            </w:pPr>
            <w:r/>
            <w:r>
              <w:rPr>
                <w:rFonts w:ascii="仿宋_GB2312" w:hAnsi="仿宋_GB2312" w:eastAsia="仿宋_GB2312"/>
                <w:b w:val="0"/>
                <w:color w:val="000000"/>
                <w:sz w:val="32"/>
              </w:rPr>
              <w:t>中车四方2024</w:t>
            </w:r>
          </w:p>
        </w:tc>
      </w:tr>
      <w:tr>
        <w:tc>
          <w:tcPr>
            <w:tcW w:type="dxa" w:w="3118"/>
          </w:tcPr>
          <w:p>
            <w:pPr>
              <w:spacing w:lineRule="exact" w:line="600"/>
              <w:jc w:val="center"/>
            </w:pPr>
            <w:r/>
            <w:r>
              <w:rPr>
                <w:rFonts w:ascii="仿宋_GB2312" w:hAnsi="仿宋_GB2312" w:eastAsia="仿宋_GB2312"/>
                <w:b w:val="0"/>
                <w:color w:val="000000"/>
                <w:sz w:val="32"/>
              </w:rPr>
              <w:t>新造订单占比</w:t>
            </w:r>
          </w:p>
        </w:tc>
        <w:tc>
          <w:tcPr>
            <w:tcW w:type="dxa" w:w="3118"/>
          </w:tcPr>
          <w:p>
            <w:pPr>
              <w:spacing w:lineRule="exact" w:line="600"/>
              <w:jc w:val="center"/>
            </w:pPr>
            <w:r/>
            <w:r>
              <w:rPr>
                <w:rFonts w:ascii="仿宋_GB2312" w:hAnsi="仿宋_GB2312" w:eastAsia="仿宋_GB2312"/>
                <w:b w:val="0"/>
                <w:color w:val="000000"/>
                <w:sz w:val="32"/>
              </w:rPr>
              <w:t>49.8%（122组）</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年产能</w:t>
            </w:r>
          </w:p>
        </w:tc>
        <w:tc>
          <w:tcPr>
            <w:tcW w:type="dxa" w:w="3118"/>
          </w:tcPr>
          <w:p>
            <w:pPr>
              <w:spacing w:lineRule="exact" w:line="600"/>
              <w:jc w:val="center"/>
            </w:pPr>
            <w:r/>
            <w:r>
              <w:rPr>
                <w:rFonts w:ascii="仿宋_GB2312" w:hAnsi="仿宋_GB2312" w:eastAsia="仿宋_GB2312"/>
                <w:b w:val="0"/>
                <w:color w:val="000000"/>
                <w:sz w:val="32"/>
              </w:rPr>
              <w:t>超1600辆</w:t>
            </w:r>
          </w:p>
        </w:tc>
        <w:tc>
          <w:tcPr>
            <w:tcW w:type="dxa" w:w="2835"/>
          </w:tcPr>
          <w:p>
            <w:pPr>
              <w:spacing w:lineRule="exact" w:line="600"/>
              <w:jc w:val="center"/>
            </w:pPr>
            <w:r/>
            <w:r>
              <w:rPr>
                <w:rFonts w:ascii="仿宋_GB2312" w:hAnsi="仿宋_GB2312" w:eastAsia="仿宋_GB2312"/>
                <w:b w:val="0"/>
                <w:color w:val="000000"/>
                <w:sz w:val="32"/>
              </w:rPr>
              <w:t>工人日报2024</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（一）配套企业梯队</w:t>
      </w:r>
    </w:p>
    <w:p>
      <w:pPr>
        <w:spacing w:lineRule="exact" w:line="600" w:before="0" w:after="0"/>
        <w:ind w:firstLine="420"/>
        <w:jc w:val="both"/>
      </w:pPr>
      <w:r>
        <w:rPr>
          <w:rFonts w:ascii="仿宋_GB2312" w:hAnsi="仿宋_GB2312" w:eastAsia="仿宋_GB2312"/>
          <w:b w:val="0"/>
          <w:color w:val="000000"/>
          <w:sz w:val="32"/>
        </w:rPr>
        <w:t>示范区拥有专精特新企业252家、“小巨人”5家、上市公司3家；核心配套企业220余家（来源：青岛轨道交通产业示范区，2025）。</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中车青岛四方车辆研究所专注核心零部件与系统集成；青岛威奥轨道2024年前三季度营收7.93亿元、增长21.05%，生产车体模块与内饰；源富机械为四方A类供应商，新扩产项目预计年增产值近2亿元（来源：威奥轨道三季报；海报新闻，2025）。</w:t>
      </w:r>
    </w:p>
    <w:p>
      <w:pPr>
        <w:spacing w:lineRule="exact" w:line="600" w:before="120" w:after="120"/>
        <w:ind w:firstLine="420"/>
        <w:jc w:val="left"/>
      </w:pPr>
      <w:r>
        <w:rPr>
          <w:rFonts w:ascii="楷体_GB2312" w:hAnsi="楷体_GB2312" w:eastAsia="楷体_GB2312"/>
          <w:b w:val="0"/>
          <w:color w:val="000000"/>
          <w:sz w:val="32"/>
        </w:rPr>
        <w:t>（四）青岛轨道交通产业集群主体（真实检索补充）</w:t>
      </w:r>
    </w:p>
    <w:p>
      <w:pPr>
        <w:spacing w:lineRule="exact" w:line="600" w:before="0" w:after="0"/>
        <w:ind w:firstLine="420"/>
        <w:jc w:val="both"/>
      </w:pPr>
      <w:r>
        <w:rPr>
          <w:rFonts w:ascii="仿宋_GB2312" w:hAnsi="仿宋_GB2312" w:eastAsia="仿宋_GB2312"/>
          <w:b w:val="0"/>
          <w:color w:val="000000"/>
          <w:sz w:val="32"/>
        </w:rPr>
        <w:t>青岛市轨道交通装备产业规上企业87家，2024年实现主营业务收入595.2亿元（增长26.7%）、生产动车组847辆（增长47%），中标高速动车组新造订单122组（占总招标49.8%）；链主企业中车青岛四方2024年产值290亿元（增长43.7%）、营业收入408.59亿元，生产全国43%的高速动车组。示范区拥有规上工业企业179家、高新技术企业321家、专精特新252家。（来源：青岛市统计年鉴2024、中车四方/搜狗百科）（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集群指标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87家</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主营业务收入</w:t>
            </w:r>
          </w:p>
        </w:tc>
        <w:tc>
          <w:tcPr>
            <w:tcW w:type="dxa" w:w="3118"/>
          </w:tcPr>
          <w:p>
            <w:pPr>
              <w:spacing w:lineRule="exact" w:line="600"/>
              <w:jc w:val="center"/>
            </w:pPr>
            <w:r/>
            <w:r>
              <w:rPr>
                <w:rFonts w:ascii="仿宋_GB2312" w:hAnsi="仿宋_GB2312" w:eastAsia="仿宋_GB2312"/>
                <w:b w:val="0"/>
                <w:color w:val="000000"/>
                <w:sz w:val="32"/>
              </w:rPr>
              <w:t>595.2亿元（+26.7%）</w:t>
            </w:r>
          </w:p>
        </w:tc>
        <w:tc>
          <w:tcPr>
            <w:tcW w:type="dxa" w:w="2835"/>
          </w:tcPr>
          <w:p>
            <w:pPr>
              <w:spacing w:lineRule="exact" w:line="600"/>
              <w:jc w:val="center"/>
            </w:pPr>
            <w:r/>
            <w:r>
              <w:rPr>
                <w:rFonts w:ascii="仿宋_GB2312" w:hAnsi="仿宋_GB2312" w:eastAsia="仿宋_GB2312"/>
                <w:b w:val="0"/>
                <w:color w:val="000000"/>
                <w:sz w:val="32"/>
              </w:rPr>
              <w:t>青岛市2024</w:t>
            </w:r>
          </w:p>
        </w:tc>
      </w:tr>
      <w:tr>
        <w:tc>
          <w:tcPr>
            <w:tcW w:type="dxa" w:w="3118"/>
          </w:tcPr>
          <w:p>
            <w:pPr>
              <w:spacing w:lineRule="exact" w:line="600"/>
              <w:jc w:val="center"/>
            </w:pPr>
            <w:r/>
            <w:r>
              <w:rPr>
                <w:rFonts w:ascii="仿宋_GB2312" w:hAnsi="仿宋_GB2312" w:eastAsia="仿宋_GB2312"/>
                <w:b w:val="0"/>
                <w:color w:val="000000"/>
                <w:sz w:val="32"/>
              </w:rPr>
              <w:t>中车四方产值</w:t>
            </w:r>
          </w:p>
        </w:tc>
        <w:tc>
          <w:tcPr>
            <w:tcW w:type="dxa" w:w="3118"/>
          </w:tcPr>
          <w:p>
            <w:pPr>
              <w:spacing w:lineRule="exact" w:line="600"/>
              <w:jc w:val="center"/>
            </w:pPr>
            <w:r/>
            <w:r>
              <w:rPr>
                <w:rFonts w:ascii="仿宋_GB2312" w:hAnsi="仿宋_GB2312" w:eastAsia="仿宋_GB2312"/>
                <w:b w:val="0"/>
                <w:color w:val="000000"/>
                <w:sz w:val="32"/>
              </w:rPr>
              <w:t>290亿元（+43.7%）</w:t>
            </w:r>
          </w:p>
        </w:tc>
        <w:tc>
          <w:tcPr>
            <w:tcW w:type="dxa" w:w="2835"/>
          </w:tcPr>
          <w:p>
            <w:pPr>
              <w:spacing w:lineRule="exact" w:line="600"/>
              <w:jc w:val="center"/>
            </w:pPr>
            <w:r/>
            <w:r>
              <w:rPr>
                <w:rFonts w:ascii="仿宋_GB2312" w:hAnsi="仿宋_GB2312" w:eastAsia="仿宋_GB2312"/>
                <w:b w:val="0"/>
                <w:color w:val="000000"/>
                <w:sz w:val="32"/>
              </w:rPr>
              <w:t>中车四方2024</w:t>
            </w:r>
          </w:p>
        </w:tc>
      </w:tr>
      <w:tr>
        <w:tc>
          <w:tcPr>
            <w:tcW w:type="dxa" w:w="3118"/>
          </w:tcPr>
          <w:p>
            <w:pPr>
              <w:spacing w:lineRule="exact" w:line="600"/>
              <w:jc w:val="center"/>
            </w:pPr>
            <w:r/>
            <w:r>
              <w:rPr>
                <w:rFonts w:ascii="仿宋_GB2312" w:hAnsi="仿宋_GB2312" w:eastAsia="仿宋_GB2312"/>
                <w:b w:val="0"/>
                <w:color w:val="000000"/>
                <w:sz w:val="32"/>
              </w:rPr>
              <w:t>中车四方营收</w:t>
            </w:r>
          </w:p>
        </w:tc>
        <w:tc>
          <w:tcPr>
            <w:tcW w:type="dxa" w:w="3118"/>
          </w:tcPr>
          <w:p>
            <w:pPr>
              <w:spacing w:lineRule="exact" w:line="600"/>
              <w:jc w:val="center"/>
            </w:pPr>
            <w:r/>
            <w:r>
              <w:rPr>
                <w:rFonts w:ascii="仿宋_GB2312" w:hAnsi="仿宋_GB2312" w:eastAsia="仿宋_GB2312"/>
                <w:b w:val="0"/>
                <w:color w:val="000000"/>
                <w:sz w:val="32"/>
              </w:rPr>
              <w:t>408.59亿元</w:t>
            </w:r>
          </w:p>
        </w:tc>
        <w:tc>
          <w:tcPr>
            <w:tcW w:type="dxa" w:w="2835"/>
          </w:tcPr>
          <w:p>
            <w:pPr>
              <w:spacing w:lineRule="exact" w:line="600"/>
              <w:jc w:val="center"/>
            </w:pPr>
            <w:r/>
            <w:r>
              <w:rPr>
                <w:rFonts w:ascii="仿宋_GB2312" w:hAnsi="仿宋_GB2312" w:eastAsia="仿宋_GB2312"/>
                <w:b w:val="0"/>
                <w:color w:val="000000"/>
                <w:sz w:val="32"/>
              </w:rPr>
              <w:t>搜狗百科</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（一）零部件技术</w:t>
      </w:r>
    </w:p>
    <w:p>
      <w:pPr>
        <w:spacing w:lineRule="exact" w:line="600" w:before="0" w:after="0"/>
        <w:ind w:firstLine="420"/>
        <w:jc w:val="both"/>
      </w:pPr>
      <w:r>
        <w:rPr>
          <w:rFonts w:ascii="仿宋_GB2312" w:hAnsi="仿宋_GB2312" w:eastAsia="仿宋_GB2312"/>
          <w:b w:val="0"/>
          <w:color w:val="000000"/>
          <w:sz w:val="32"/>
        </w:rPr>
        <w:t>转向架、牵引制动等向轻量化、智能化发展；示范区依托国家高速列车技术创新中心攻关关键部件（来源：青岛轨道交通产业示范区，2025）。</w:t>
      </w:r>
    </w:p>
    <w:p>
      <w:pPr>
        <w:spacing w:lineRule="exact" w:line="600" w:before="120" w:after="120"/>
        <w:ind w:firstLine="420"/>
        <w:jc w:val="left"/>
      </w:pPr>
      <w:r>
        <w:rPr>
          <w:rFonts w:ascii="楷体_GB2312" w:hAnsi="楷体_GB2312" w:eastAsia="楷体_GB2312"/>
          <w:b w:val="0"/>
          <w:color w:val="000000"/>
          <w:sz w:val="32"/>
        </w:rPr>
        <w:t>（二）平台支撑</w:t>
      </w:r>
    </w:p>
    <w:p>
      <w:pPr>
        <w:spacing w:lineRule="exact" w:line="600" w:before="0" w:after="0"/>
        <w:ind w:firstLine="420"/>
        <w:jc w:val="both"/>
      </w:pPr>
      <w:r>
        <w:rPr>
          <w:rFonts w:ascii="仿宋_GB2312" w:hAnsi="仿宋_GB2312" w:eastAsia="仿宋_GB2312"/>
          <w:b w:val="0"/>
          <w:color w:val="000000"/>
          <w:sz w:val="32"/>
        </w:rPr>
        <w:t>示范区集聚11家国家级、17家省级创新平台，支撑零部件研发（来源：青岛轨道交通产业示范区，2025）。</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（一）盈利</w:t>
      </w:r>
    </w:p>
    <w:p>
      <w:pPr>
        <w:spacing w:lineRule="exact" w:line="600" w:before="0" w:after="0"/>
        <w:ind w:firstLine="420"/>
        <w:jc w:val="both"/>
      </w:pPr>
      <w:r>
        <w:rPr>
          <w:rFonts w:ascii="仿宋_GB2312" w:hAnsi="仿宋_GB2312" w:eastAsia="仿宋_GB2312"/>
          <w:b w:val="0"/>
          <w:color w:val="000000"/>
          <w:sz w:val="32"/>
        </w:rPr>
        <w:t>威奥轨道2024年前三季度营收7.93亿元、归母净利润1147万元、同比扭亏（来源：威奥轨道三季报）。配套企业受主机厂定价与回款影响（来源：行业研判）。</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示范区配套220KV及以上基础设施与产业园区，保障配套企业用地与能源（来源：青岛轨道交通产业示范区，2025）。</w:t>
      </w:r>
    </w:p>
    <w:p>
      <w:pPr>
        <w:spacing w:lineRule="exact" w:line="600" w:before="120" w:after="120"/>
        <w:ind w:firstLine="420"/>
        <w:jc w:val="left"/>
      </w:pPr>
      <w:r>
        <w:rPr>
          <w:rFonts w:ascii="楷体_GB2312" w:hAnsi="楷体_GB2312" w:eastAsia="楷体_GB2312"/>
          <w:b w:val="0"/>
          <w:color w:val="000000"/>
          <w:sz w:val="32"/>
        </w:rPr>
        <w:t>（六）青岛轨道交通成本盈利（真实检索补充）</w:t>
      </w:r>
    </w:p>
    <w:p>
      <w:pPr>
        <w:spacing w:lineRule="exact" w:line="600" w:before="0" w:after="0"/>
        <w:ind w:firstLine="420"/>
        <w:jc w:val="both"/>
      </w:pPr>
      <w:r>
        <w:rPr>
          <w:rFonts w:ascii="仿宋_GB2312" w:hAnsi="仿宋_GB2312" w:eastAsia="仿宋_GB2312"/>
          <w:b w:val="0"/>
          <w:color w:val="000000"/>
          <w:sz w:val="32"/>
        </w:rPr>
        <w:t>产业链本地配套率近50%有效降低物流与采购成本；配套企业研发投入强度高，如青岛宏达青田研发投入占年产值15%–20%；中车四方等链主企业规模化生产摊薄制造成本，2024年营业收入408.59亿元、产值290亿元，盈利随订单增长改善。（来源：工人日报2024、搜狗百科）（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成本/盈利指标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本地配套率</w:t>
            </w:r>
          </w:p>
        </w:tc>
        <w:tc>
          <w:tcPr>
            <w:tcW w:type="dxa" w:w="3118"/>
          </w:tcPr>
          <w:p>
            <w:pPr>
              <w:spacing w:lineRule="exact" w:line="600"/>
              <w:jc w:val="center"/>
            </w:pPr>
            <w:r/>
            <w:r>
              <w:rPr>
                <w:rFonts w:ascii="仿宋_GB2312" w:hAnsi="仿宋_GB2312" w:eastAsia="仿宋_GB2312"/>
                <w:b w:val="0"/>
                <w:color w:val="000000"/>
                <w:sz w:val="32"/>
              </w:rPr>
              <w:t>近50%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配套企业研发占比</w:t>
            </w:r>
          </w:p>
        </w:tc>
        <w:tc>
          <w:tcPr>
            <w:tcW w:type="dxa" w:w="3118"/>
          </w:tcPr>
          <w:p>
            <w:pPr>
              <w:spacing w:lineRule="exact" w:line="600"/>
              <w:jc w:val="center"/>
            </w:pPr>
            <w:r/>
            <w:r>
              <w:rPr>
                <w:rFonts w:ascii="仿宋_GB2312" w:hAnsi="仿宋_GB2312" w:eastAsia="仿宋_GB2312"/>
                <w:b w:val="0"/>
                <w:color w:val="000000"/>
                <w:sz w:val="32"/>
              </w:rPr>
              <w:t>年产值15%–20%</w:t>
            </w:r>
          </w:p>
        </w:tc>
        <w:tc>
          <w:tcPr>
            <w:tcW w:type="dxa" w:w="2835"/>
          </w:tcPr>
          <w:p>
            <w:pPr>
              <w:spacing w:lineRule="exact" w:line="600"/>
              <w:jc w:val="center"/>
            </w:pPr>
            <w:r/>
            <w:r>
              <w:rPr>
                <w:rFonts w:ascii="仿宋_GB2312" w:hAnsi="仿宋_GB2312" w:eastAsia="仿宋_GB2312"/>
                <w:b w:val="0"/>
                <w:color w:val="000000"/>
                <w:sz w:val="32"/>
              </w:rPr>
              <w:t>工人日报2024</w:t>
            </w:r>
          </w:p>
        </w:tc>
      </w:tr>
      <w:tr>
        <w:tc>
          <w:tcPr>
            <w:tcW w:type="dxa" w:w="3118"/>
          </w:tcPr>
          <w:p>
            <w:pPr>
              <w:spacing w:lineRule="exact" w:line="600"/>
              <w:jc w:val="center"/>
            </w:pPr>
            <w:r/>
            <w:r>
              <w:rPr>
                <w:rFonts w:ascii="仿宋_GB2312" w:hAnsi="仿宋_GB2312" w:eastAsia="仿宋_GB2312"/>
                <w:b w:val="0"/>
                <w:color w:val="000000"/>
                <w:sz w:val="32"/>
              </w:rPr>
              <w:t>中车四方营收</w:t>
            </w:r>
          </w:p>
        </w:tc>
        <w:tc>
          <w:tcPr>
            <w:tcW w:type="dxa" w:w="3118"/>
          </w:tcPr>
          <w:p>
            <w:pPr>
              <w:spacing w:lineRule="exact" w:line="600"/>
              <w:jc w:val="center"/>
            </w:pPr>
            <w:r/>
            <w:r>
              <w:rPr>
                <w:rFonts w:ascii="仿宋_GB2312" w:hAnsi="仿宋_GB2312" w:eastAsia="仿宋_GB2312"/>
                <w:b w:val="0"/>
                <w:color w:val="000000"/>
                <w:sz w:val="32"/>
              </w:rPr>
              <w:t>408.59亿元</w:t>
            </w:r>
          </w:p>
        </w:tc>
        <w:tc>
          <w:tcPr>
            <w:tcW w:type="dxa" w:w="2835"/>
          </w:tcPr>
          <w:p>
            <w:pPr>
              <w:spacing w:lineRule="exact" w:line="600"/>
              <w:jc w:val="center"/>
            </w:pPr>
            <w:r/>
            <w:r>
              <w:rPr>
                <w:rFonts w:ascii="仿宋_GB2312" w:hAnsi="仿宋_GB2312" w:eastAsia="仿宋_GB2312"/>
                <w:b w:val="0"/>
                <w:color w:val="000000"/>
                <w:sz w:val="32"/>
              </w:rPr>
              <w:t>搜狗百科</w:t>
            </w:r>
          </w:p>
        </w:tc>
      </w:tr>
      <w:tr>
        <w:tc>
          <w:tcPr>
            <w:tcW w:type="dxa" w:w="3118"/>
          </w:tcPr>
          <w:p>
            <w:pPr>
              <w:spacing w:lineRule="exact" w:line="600"/>
              <w:jc w:val="center"/>
            </w:pPr>
            <w:r/>
            <w:r>
              <w:rPr>
                <w:rFonts w:ascii="仿宋_GB2312" w:hAnsi="仿宋_GB2312" w:eastAsia="仿宋_GB2312"/>
                <w:b w:val="0"/>
                <w:color w:val="000000"/>
                <w:sz w:val="32"/>
              </w:rPr>
              <w:t>中车四方产值</w:t>
            </w:r>
          </w:p>
        </w:tc>
        <w:tc>
          <w:tcPr>
            <w:tcW w:type="dxa" w:w="3118"/>
          </w:tcPr>
          <w:p>
            <w:pPr>
              <w:spacing w:lineRule="exact" w:line="600"/>
              <w:jc w:val="center"/>
            </w:pPr>
            <w:r/>
            <w:r>
              <w:rPr>
                <w:rFonts w:ascii="仿宋_GB2312" w:hAnsi="仿宋_GB2312" w:eastAsia="仿宋_GB2312"/>
                <w:b w:val="0"/>
                <w:color w:val="000000"/>
                <w:sz w:val="32"/>
              </w:rPr>
              <w:t>290亿元</w:t>
            </w:r>
          </w:p>
        </w:tc>
        <w:tc>
          <w:tcPr>
            <w:tcW w:type="dxa" w:w="2835"/>
          </w:tcPr>
          <w:p>
            <w:pPr>
              <w:spacing w:lineRule="exact" w:line="600"/>
              <w:jc w:val="center"/>
            </w:pPr>
            <w:r/>
            <w:r>
              <w:rPr>
                <w:rFonts w:ascii="仿宋_GB2312" w:hAnsi="仿宋_GB2312" w:eastAsia="仿宋_GB2312"/>
                <w:b w:val="0"/>
                <w:color w:val="000000"/>
                <w:sz w:val="32"/>
              </w:rPr>
              <w:t>中车四方2024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整车智能化与海外出口带动高端零部件需求；国产替代空间大（来源：行业研判）。</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主机厂压价与账期长；关键材料价格波动；技术迭代快（来源：行业研判）。</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（一）高端配套</w:t>
      </w:r>
    </w:p>
    <w:p>
      <w:pPr>
        <w:spacing w:lineRule="exact" w:line="600" w:before="0" w:after="0"/>
        <w:ind w:firstLine="420"/>
        <w:jc w:val="both"/>
      </w:pPr>
      <w:r>
        <w:rPr>
          <w:rFonts w:ascii="仿宋_GB2312" w:hAnsi="仿宋_GB2312" w:eastAsia="仿宋_GB2312"/>
          <w:b w:val="0"/>
          <w:color w:val="000000"/>
          <w:sz w:val="32"/>
        </w:rPr>
        <w:t>推动零部件向高附加值、轻量化、模块化升级，融入主机厂全球供应链（来源：青岛轨道交通产业示范区，2025）。</w:t>
      </w:r>
    </w:p>
    <w:p>
      <w:pPr>
        <w:spacing w:lineRule="exact" w:line="600" w:before="120" w:after="120"/>
        <w:ind w:firstLine="420"/>
        <w:jc w:val="left"/>
      </w:pPr>
      <w:r>
        <w:rPr>
          <w:rFonts w:ascii="楷体_GB2312" w:hAnsi="楷体_GB2312" w:eastAsia="楷体_GB2312"/>
          <w:b w:val="0"/>
          <w:color w:val="000000"/>
          <w:sz w:val="32"/>
        </w:rPr>
        <w:t>（二）融通创新</w:t>
      </w:r>
    </w:p>
    <w:p>
      <w:pPr>
        <w:spacing w:lineRule="exact" w:line="600" w:before="0" w:after="0"/>
        <w:ind w:firstLine="420"/>
        <w:jc w:val="both"/>
      </w:pPr>
      <w:r>
        <w:rPr>
          <w:rFonts w:ascii="仿宋_GB2312" w:hAnsi="仿宋_GB2312" w:eastAsia="仿宋_GB2312"/>
          <w:b w:val="0"/>
          <w:color w:val="000000"/>
          <w:sz w:val="32"/>
        </w:rPr>
        <w:t>山东省“十链百群万企”行动推动大中小企业融通，以中车系链主带动配套（来源：山东省工信厅鲁工信发〔2024〕6号）。</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（一）扩产融资</w:t>
      </w:r>
    </w:p>
    <w:p>
      <w:pPr>
        <w:spacing w:lineRule="exact" w:line="600" w:before="0" w:after="0"/>
        <w:ind w:firstLine="420"/>
        <w:jc w:val="both"/>
      </w:pPr>
      <w:r>
        <w:rPr>
          <w:rFonts w:ascii="仿宋_GB2312" w:hAnsi="仿宋_GB2312" w:eastAsia="仿宋_GB2312"/>
          <w:b w:val="0"/>
          <w:color w:val="000000"/>
          <w:sz w:val="32"/>
        </w:rPr>
        <w:t>配套企业扩产项目（如源富机械年增近2亿元产值）需固定资产贷款（来源：海报新闻，2025）。</w:t>
      </w:r>
    </w:p>
    <w:p>
      <w:pPr>
        <w:spacing w:lineRule="exact" w:line="600" w:before="120" w:after="120"/>
        <w:ind w:firstLine="420"/>
        <w:jc w:val="left"/>
      </w:pPr>
      <w:r>
        <w:rPr>
          <w:rFonts w:ascii="楷体_GB2312" w:hAnsi="楷体_GB2312" w:eastAsia="楷体_GB2312"/>
          <w:b w:val="0"/>
          <w:color w:val="000000"/>
          <w:sz w:val="32"/>
        </w:rPr>
        <w:t>（二）研发融资</w:t>
      </w:r>
    </w:p>
    <w:p>
      <w:pPr>
        <w:spacing w:lineRule="exact" w:line="600" w:before="0" w:after="0"/>
        <w:ind w:firstLine="420"/>
        <w:jc w:val="both"/>
      </w:pPr>
      <w:r>
        <w:rPr>
          <w:rFonts w:ascii="仿宋_GB2312" w:hAnsi="仿宋_GB2312" w:eastAsia="仿宋_GB2312"/>
          <w:b w:val="0"/>
          <w:color w:val="000000"/>
          <w:sz w:val="32"/>
        </w:rPr>
        <w:t>高端零部件研发可依托“鲁科贷”与制造业中长期贷款（来源：山东省科技金融政策）。</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中车青岛四方机车车辆股份有限公司：城阳区轨道交通整车制造龙头，CRH系列动车组核心研制基地。来源：城阳区政府官网、公司年报。</w:t>
      </w:r>
    </w:p>
    <w:p>
      <w:pPr>
        <w:spacing w:lineRule="exact" w:line="600" w:before="0" w:after="0"/>
        <w:ind w:firstLine="420"/>
        <w:jc w:val="both"/>
      </w:pPr>
      <w:r>
        <w:rPr>
          <w:rFonts w:ascii="仿宋_GB2312" w:hAnsi="仿宋_GB2312" w:eastAsia="仿宋_GB2312"/>
          <w:b w:val="0"/>
          <w:color w:val="000000"/>
          <w:sz w:val="32"/>
        </w:rPr>
        <w:t>中车青岛四方车辆研究所有限公司：轨道交通核心零部件及系统集成服务商。来源：公司官网。</w:t>
      </w:r>
    </w:p>
    <w:p>
      <w:pPr>
        <w:spacing w:lineRule="exact" w:line="600" w:before="0" w:after="0"/>
        <w:ind w:firstLine="420"/>
        <w:jc w:val="both"/>
      </w:pPr>
      <w:r>
        <w:rPr>
          <w:rFonts w:ascii="仿宋_GB2312" w:hAnsi="仿宋_GB2312" w:eastAsia="仿宋_GB2312"/>
          <w:b w:val="0"/>
          <w:color w:val="000000"/>
          <w:sz w:val="32"/>
        </w:rPr>
        <w:t>青岛威奥轨道股份有限公司：轨道交通装备配套及运维服务商。来源：公司年报。</w:t>
      </w:r>
    </w:p>
    <w:p>
      <w:pPr>
        <w:spacing w:lineRule="exact" w:line="600" w:before="0" w:after="0"/>
        <w:jc w:val="left"/>
      </w:pPr>
      <w:r>
        <w:rPr>
          <w:rFonts w:ascii="仿宋_GB2312" w:hAnsi="仿宋_GB2312" w:eastAsia="仿宋_GB2312"/>
          <w:b w:val="0"/>
          <w:color w:val="000000"/>
          <w:sz w:val="28"/>
        </w:rPr>
        <w:t>主要数据来源：青岛市统计局《青岛统计年鉴2025》；青岛轨道交通产业示范区官网报道（2025）；海报新闻：解码“小镇冠军”青岛棘洪滩（2025-08）；威奥轨道2024年三季报；山东省工信厅《山东省“十链百群万企”融链固链三年行动计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