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山东青岛（轨道交通）特色产业集群</w:t>
      </w:r>
    </w:p>
    <w:p>
      <w:pPr>
        <w:spacing w:lineRule="exact" w:line="600" w:before="240" w:after="240"/>
        <w:ind w:firstLine="0"/>
        <w:jc w:val="center"/>
      </w:pPr>
      <w:r>
        <w:rPr>
          <w:rFonts w:ascii="方正小标宋简体" w:hAnsi="方正小标宋简体" w:eastAsia="方正小标宋简体"/>
          <w:b w:val="0"/>
          <w:color w:val="000000"/>
          <w:sz w:val="44"/>
        </w:rPr>
        <w:t>轨道交通运维与系统集成服务行业深度分析报告</w:t>
      </w:r>
    </w:p>
    <w:p>
      <w:pPr>
        <w:spacing w:lineRule="exact" w:line="600" w:before="0" w:after="0"/>
        <w:jc w:val="left"/>
      </w:pPr>
      <w:r>
        <w:rPr>
          <w:rFonts w:ascii="仿宋_GB2312" w:hAnsi="仿宋_GB2312" w:eastAsia="仿宋_GB2312"/>
          <w:b w:val="0"/>
          <w:color w:val="000000"/>
          <w:sz w:val="28"/>
        </w:rPr>
        <w:t>（本报告基于青岛统计年鉴、示范区公开数据及行业研判编制，数据截至2024年，部分细分领域公开官方统计有限，已依据行业共性事实研判并标注。）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轨道交通运维与系统集成服务是青岛轨道交通集群向“制造+服务”延伸的高附加值环节，涵盖智能运维、信号与控制系统集成、试验检测与全生命周期服务。依托国家高速列车技术创新中心与青岛轨道交通产业示范区，青岛在运维平台、智能检测、系统集成方面具备优势，2024年示范区规上工业企业179家、高新技术企业321家，为运维服务企业提供技术底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青岛轨道交通装备主营业务收入（2024）</w:t>
            </w:r>
          </w:p>
        </w:tc>
        <w:tc>
          <w:tcPr>
            <w:tcW w:type="dxa" w:w="2835"/>
          </w:tcPr>
          <w:p>
            <w:pPr>
              <w:spacing w:lineRule="exact" w:line="600"/>
              <w:jc w:val="center"/>
            </w:pPr>
            <w:r/>
            <w:r>
              <w:rPr>
                <w:rFonts w:ascii="仿宋_GB2312" w:hAnsi="仿宋_GB2312" w:eastAsia="仿宋_GB2312"/>
                <w:b w:val="0"/>
                <w:color w:val="000000"/>
                <w:sz w:val="32"/>
              </w:rPr>
              <w:t>595.2亿元，+26.7%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示范区规上工业企业（2024）</w:t>
            </w:r>
          </w:p>
        </w:tc>
        <w:tc>
          <w:tcPr>
            <w:tcW w:type="dxa" w:w="2835"/>
          </w:tcPr>
          <w:p>
            <w:pPr>
              <w:spacing w:lineRule="exact" w:line="600"/>
              <w:jc w:val="center"/>
            </w:pPr>
            <w:r/>
            <w:r>
              <w:rPr>
                <w:rFonts w:ascii="仿宋_GB2312" w:hAnsi="仿宋_GB2312" w:eastAsia="仿宋_GB2312"/>
                <w:b w:val="0"/>
                <w:color w:val="000000"/>
                <w:sz w:val="32"/>
              </w:rPr>
              <w:t>179家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示范区高新技术企业</w:t>
            </w:r>
          </w:p>
        </w:tc>
        <w:tc>
          <w:tcPr>
            <w:tcW w:type="dxa" w:w="2835"/>
          </w:tcPr>
          <w:p>
            <w:pPr>
              <w:spacing w:lineRule="exact" w:line="600"/>
              <w:jc w:val="center"/>
            </w:pPr>
            <w:r/>
            <w:r>
              <w:rPr>
                <w:rFonts w:ascii="仿宋_GB2312" w:hAnsi="仿宋_GB2312" w:eastAsia="仿宋_GB2312"/>
                <w:b w:val="0"/>
                <w:color w:val="000000"/>
                <w:sz w:val="32"/>
              </w:rPr>
              <w:t>321家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示范区国家级创新平台</w:t>
            </w:r>
          </w:p>
        </w:tc>
        <w:tc>
          <w:tcPr>
            <w:tcW w:type="dxa" w:w="2835"/>
          </w:tcPr>
          <w:p>
            <w:pPr>
              <w:spacing w:lineRule="exact" w:line="600"/>
              <w:jc w:val="center"/>
            </w:pPr>
            <w:r/>
            <w:r>
              <w:rPr>
                <w:rFonts w:ascii="仿宋_GB2312" w:hAnsi="仿宋_GB2312" w:eastAsia="仿宋_GB2312"/>
                <w:b w:val="0"/>
                <w:color w:val="000000"/>
                <w:sz w:val="32"/>
              </w:rPr>
              <w:t>11家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示范区省级创新平台</w:t>
            </w:r>
          </w:p>
        </w:tc>
        <w:tc>
          <w:tcPr>
            <w:tcW w:type="dxa" w:w="2835"/>
          </w:tcPr>
          <w:p>
            <w:pPr>
              <w:spacing w:lineRule="exact" w:line="600"/>
              <w:jc w:val="center"/>
            </w:pPr>
            <w:r/>
            <w:r>
              <w:rPr>
                <w:rFonts w:ascii="仿宋_GB2312" w:hAnsi="仿宋_GB2312" w:eastAsia="仿宋_GB2312"/>
                <w:b w:val="0"/>
                <w:color w:val="000000"/>
                <w:sz w:val="32"/>
              </w:rPr>
              <w:t>17家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全国高铁动车生产占比（棘洪滩）</w:t>
            </w:r>
          </w:p>
        </w:tc>
        <w:tc>
          <w:tcPr>
            <w:tcW w:type="dxa" w:w="2835"/>
          </w:tcPr>
          <w:p>
            <w:pPr>
              <w:spacing w:lineRule="exact" w:line="600"/>
              <w:jc w:val="center"/>
            </w:pPr>
            <w:r/>
            <w:r>
              <w:rPr>
                <w:rFonts w:ascii="仿宋_GB2312" w:hAnsi="仿宋_GB2312" w:eastAsia="仿宋_GB2312"/>
                <w:b w:val="0"/>
                <w:color w:val="000000"/>
                <w:sz w:val="32"/>
              </w:rPr>
              <w:t>55%</w:t>
            </w:r>
          </w:p>
        </w:tc>
        <w:tc>
          <w:tcPr>
            <w:tcW w:type="dxa" w:w="3118"/>
          </w:tcPr>
          <w:p>
            <w:pPr>
              <w:spacing w:lineRule="exact" w:line="600"/>
              <w:jc w:val="center"/>
            </w:pPr>
            <w:r/>
            <w:r>
              <w:rPr>
                <w:rFonts w:ascii="仿宋_GB2312" w:hAnsi="仿宋_GB2312" w:eastAsia="仿宋_GB2312"/>
                <w:b w:val="0"/>
                <w:color w:val="000000"/>
                <w:sz w:val="32"/>
              </w:rPr>
              <w:t>海报新闻，2025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国家推动轨道交通智能化与运维数字化；山东“十强产业”支持高端装备服务化延伸（来源：山东省鲁政发〔2024〕5号）。</w:t>
      </w:r>
    </w:p>
    <w:p>
      <w:pPr>
        <w:spacing w:lineRule="exact" w:line="600" w:before="120" w:after="120"/>
        <w:ind w:firstLine="420"/>
        <w:jc w:val="left"/>
      </w:pPr>
      <w:r>
        <w:rPr>
          <w:rFonts w:ascii="楷体_GB2312" w:hAnsi="楷体_GB2312" w:eastAsia="楷体_GB2312"/>
          <w:b w:val="0"/>
          <w:color w:val="000000"/>
          <w:sz w:val="32"/>
        </w:rPr>
        <w:t>（二）区域基础</w:t>
      </w:r>
    </w:p>
    <w:p>
      <w:pPr>
        <w:spacing w:lineRule="exact" w:line="600" w:before="0" w:after="0"/>
        <w:ind w:firstLine="420"/>
        <w:jc w:val="both"/>
      </w:pPr>
      <w:r>
        <w:rPr>
          <w:rFonts w:ascii="仿宋_GB2312" w:hAnsi="仿宋_GB2312" w:eastAsia="仿宋_GB2312"/>
          <w:b w:val="0"/>
          <w:color w:val="000000"/>
          <w:sz w:val="32"/>
        </w:rPr>
        <w:t>2024年青岛轨道交通装备主营业务收入595.2亿元、增长26.7%，为运维服务奠定存量基础（来源：青岛统计年鉴2025）。示范区高新技术企业321家（来源：青岛轨道交通产业示范区，2025）。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青岛轨道交通装备主营业务收入（2024）</w:t>
            </w:r>
          </w:p>
        </w:tc>
        <w:tc>
          <w:tcPr>
            <w:tcW w:type="dxa" w:w="2835"/>
          </w:tcPr>
          <w:p>
            <w:pPr>
              <w:spacing w:lineRule="exact" w:line="600"/>
              <w:jc w:val="center"/>
            </w:pPr>
            <w:r/>
            <w:r>
              <w:rPr>
                <w:rFonts w:ascii="仿宋_GB2312" w:hAnsi="仿宋_GB2312" w:eastAsia="仿宋_GB2312"/>
                <w:b w:val="0"/>
                <w:color w:val="000000"/>
                <w:sz w:val="32"/>
              </w:rPr>
              <w:t>595.2亿元，+26.7%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示范区规上工业企业（2024）</w:t>
            </w:r>
          </w:p>
        </w:tc>
        <w:tc>
          <w:tcPr>
            <w:tcW w:type="dxa" w:w="2835"/>
          </w:tcPr>
          <w:p>
            <w:pPr>
              <w:spacing w:lineRule="exact" w:line="600"/>
              <w:jc w:val="center"/>
            </w:pPr>
            <w:r/>
            <w:r>
              <w:rPr>
                <w:rFonts w:ascii="仿宋_GB2312" w:hAnsi="仿宋_GB2312" w:eastAsia="仿宋_GB2312"/>
                <w:b w:val="0"/>
                <w:color w:val="000000"/>
                <w:sz w:val="32"/>
              </w:rPr>
              <w:t>179家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示范区高新技术企业</w:t>
            </w:r>
          </w:p>
        </w:tc>
        <w:tc>
          <w:tcPr>
            <w:tcW w:type="dxa" w:w="2835"/>
          </w:tcPr>
          <w:p>
            <w:pPr>
              <w:spacing w:lineRule="exact" w:line="600"/>
              <w:jc w:val="center"/>
            </w:pPr>
            <w:r/>
            <w:r>
              <w:rPr>
                <w:rFonts w:ascii="仿宋_GB2312" w:hAnsi="仿宋_GB2312" w:eastAsia="仿宋_GB2312"/>
                <w:b w:val="0"/>
                <w:color w:val="000000"/>
                <w:sz w:val="32"/>
              </w:rPr>
              <w:t>321家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示范区国家级创新平台</w:t>
            </w:r>
          </w:p>
        </w:tc>
        <w:tc>
          <w:tcPr>
            <w:tcW w:type="dxa" w:w="2835"/>
          </w:tcPr>
          <w:p>
            <w:pPr>
              <w:spacing w:lineRule="exact" w:line="600"/>
              <w:jc w:val="center"/>
            </w:pPr>
            <w:r/>
            <w:r>
              <w:rPr>
                <w:rFonts w:ascii="仿宋_GB2312" w:hAnsi="仿宋_GB2312" w:eastAsia="仿宋_GB2312"/>
                <w:b w:val="0"/>
                <w:color w:val="000000"/>
                <w:sz w:val="32"/>
              </w:rPr>
              <w:t>11家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示范区省级创新平台</w:t>
            </w:r>
          </w:p>
        </w:tc>
        <w:tc>
          <w:tcPr>
            <w:tcW w:type="dxa" w:w="2835"/>
          </w:tcPr>
          <w:p>
            <w:pPr>
              <w:spacing w:lineRule="exact" w:line="600"/>
              <w:jc w:val="center"/>
            </w:pPr>
            <w:r/>
            <w:r>
              <w:rPr>
                <w:rFonts w:ascii="仿宋_GB2312" w:hAnsi="仿宋_GB2312" w:eastAsia="仿宋_GB2312"/>
                <w:b w:val="0"/>
                <w:color w:val="000000"/>
                <w:sz w:val="32"/>
              </w:rPr>
              <w:t>17家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全国高铁动车生产占比（棘洪滩）</w:t>
            </w:r>
          </w:p>
        </w:tc>
        <w:tc>
          <w:tcPr>
            <w:tcW w:type="dxa" w:w="2835"/>
          </w:tcPr>
          <w:p>
            <w:pPr>
              <w:spacing w:lineRule="exact" w:line="600"/>
              <w:jc w:val="center"/>
            </w:pPr>
            <w:r/>
            <w:r>
              <w:rPr>
                <w:rFonts w:ascii="仿宋_GB2312" w:hAnsi="仿宋_GB2312" w:eastAsia="仿宋_GB2312"/>
                <w:b w:val="0"/>
                <w:color w:val="000000"/>
                <w:sz w:val="32"/>
              </w:rPr>
              <w:t>55%</w:t>
            </w:r>
          </w:p>
        </w:tc>
        <w:tc>
          <w:tcPr>
            <w:tcW w:type="dxa" w:w="3118"/>
          </w:tcPr>
          <w:p>
            <w:pPr>
              <w:spacing w:lineRule="exact" w:line="600"/>
              <w:jc w:val="center"/>
            </w:pPr>
            <w:r/>
            <w:r>
              <w:rPr>
                <w:rFonts w:ascii="仿宋_GB2312" w:hAnsi="仿宋_GB2312" w:eastAsia="仿宋_GB2312"/>
                <w:b w:val="0"/>
                <w:color w:val="000000"/>
                <w:sz w:val="32"/>
              </w:rPr>
              <w:t>海报新闻，2025</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（一）运维服务链条</w:t>
      </w:r>
    </w:p>
    <w:p>
      <w:pPr>
        <w:spacing w:lineRule="exact" w:line="600" w:before="0" w:after="0"/>
        <w:ind w:firstLine="420"/>
        <w:jc w:val="both"/>
      </w:pPr>
      <w:r>
        <w:rPr>
          <w:rFonts w:ascii="仿宋_GB2312" w:hAnsi="仿宋_GB2312" w:eastAsia="仿宋_GB2312"/>
          <w:b w:val="0"/>
          <w:color w:val="000000"/>
          <w:sz w:val="32"/>
        </w:rPr>
        <w:t>运维服务涵盖状态监测、智能诊断、备件供应、系统集成与试验检测；依托国家高速列车技术创新中心与中车大数据中心提供数据与平台支撑（来源：青岛轨道交通产业示范区，2025）。</w:t>
      </w:r>
    </w:p>
    <w:p>
      <w:pPr>
        <w:spacing w:lineRule="exact" w:line="600" w:before="120" w:after="120"/>
        <w:ind w:firstLine="420"/>
        <w:jc w:val="left"/>
      </w:pPr>
      <w:r>
        <w:rPr>
          <w:rFonts w:ascii="楷体_GB2312" w:hAnsi="楷体_GB2312" w:eastAsia="楷体_GB2312"/>
          <w:b w:val="0"/>
          <w:color w:val="000000"/>
          <w:sz w:val="32"/>
        </w:rPr>
        <w:t>（二）系统集成</w:t>
      </w:r>
    </w:p>
    <w:p>
      <w:pPr>
        <w:spacing w:lineRule="exact" w:line="600" w:before="0" w:after="0"/>
        <w:ind w:firstLine="420"/>
        <w:jc w:val="both"/>
      </w:pPr>
      <w:r>
        <w:rPr>
          <w:rFonts w:ascii="仿宋_GB2312" w:hAnsi="仿宋_GB2312" w:eastAsia="仿宋_GB2312"/>
          <w:b w:val="0"/>
          <w:color w:val="000000"/>
          <w:sz w:val="32"/>
        </w:rPr>
        <w:t>中车四方车辆研究所等提供牵引、制动、网络控制等系统集成；示范区布局智能运维与试验基地（来源：青岛轨道交通产业示范区，2025；行业研判）。</w:t>
      </w:r>
    </w:p>
    <w:p>
      <w:pPr>
        <w:spacing w:lineRule="exact" w:line="600" w:before="120" w:after="120"/>
        <w:ind w:firstLine="420"/>
        <w:jc w:val="left"/>
      </w:pPr>
      <w:r>
        <w:rPr>
          <w:rFonts w:ascii="楷体_GB2312" w:hAnsi="楷体_GB2312" w:eastAsia="楷体_GB2312"/>
          <w:b w:val="0"/>
          <w:color w:val="000000"/>
          <w:sz w:val="32"/>
        </w:rPr>
        <w:t>（二）青岛轨道交通产业链（真实检索补充）</w:t>
      </w:r>
    </w:p>
    <w:p>
      <w:pPr>
        <w:spacing w:lineRule="exact" w:line="600" w:before="0" w:after="0"/>
        <w:ind w:firstLine="420"/>
        <w:jc w:val="both"/>
      </w:pPr>
      <w:r>
        <w:rPr>
          <w:rFonts w:ascii="仿宋_GB2312" w:hAnsi="仿宋_GB2312" w:eastAsia="仿宋_GB2312"/>
          <w:b w:val="0"/>
          <w:color w:val="000000"/>
          <w:sz w:val="32"/>
        </w:rPr>
        <w:t>青岛轨道交通产业示范区是全国唯一以轨道交通为主导产业的省级功能区，集聚中车青岛四方、中车四方车辆研究所、青岛四方阿尔斯通3个主机厂和220余家核心配套企业，形成覆盖控制、牵引、制动、减震等系统的完整产业链，本地配套率已提升至近50%；产品涵盖高速动车组、城际动车组、城轨地铁、单轨、空轨等全谱系。（来源：青岛轨道交通产业示范区管委、工人日报/新华每日电讯2024）（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产业链指标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主机厂</w:t>
            </w:r>
          </w:p>
        </w:tc>
        <w:tc>
          <w:tcPr>
            <w:tcW w:type="dxa" w:w="3118"/>
          </w:tcPr>
          <w:p>
            <w:pPr>
              <w:spacing w:lineRule="exact" w:line="600"/>
              <w:jc w:val="center"/>
            </w:pPr>
            <w:r/>
            <w:r>
              <w:rPr>
                <w:rFonts w:ascii="仿宋_GB2312" w:hAnsi="仿宋_GB2312" w:eastAsia="仿宋_GB2312"/>
                <w:b w:val="0"/>
                <w:color w:val="000000"/>
                <w:sz w:val="32"/>
              </w:rPr>
              <w:t>3家（中车四方等）</w:t>
            </w:r>
          </w:p>
        </w:tc>
        <w:tc>
          <w:tcPr>
            <w:tcW w:type="dxa" w:w="2835"/>
          </w:tcPr>
          <w:p>
            <w:pPr>
              <w:spacing w:lineRule="exact" w:line="600"/>
              <w:jc w:val="center"/>
            </w:pPr>
            <w:r/>
            <w:r>
              <w:rPr>
                <w:rFonts w:ascii="仿宋_GB2312" w:hAnsi="仿宋_GB2312" w:eastAsia="仿宋_GB2312"/>
                <w:b w:val="0"/>
                <w:color w:val="000000"/>
                <w:sz w:val="32"/>
              </w:rPr>
              <w:t>轨道交通示范区</w:t>
            </w:r>
          </w:p>
        </w:tc>
      </w:tr>
      <w:tr>
        <w:tc>
          <w:tcPr>
            <w:tcW w:type="dxa" w:w="3118"/>
          </w:tcPr>
          <w:p>
            <w:pPr>
              <w:spacing w:lineRule="exact" w:line="600"/>
              <w:jc w:val="center"/>
            </w:pPr>
            <w:r/>
            <w:r>
              <w:rPr>
                <w:rFonts w:ascii="仿宋_GB2312" w:hAnsi="仿宋_GB2312" w:eastAsia="仿宋_GB2312"/>
                <w:b w:val="0"/>
                <w:color w:val="000000"/>
                <w:sz w:val="32"/>
              </w:rPr>
              <w:t>核心配套企业</w:t>
            </w:r>
          </w:p>
        </w:tc>
        <w:tc>
          <w:tcPr>
            <w:tcW w:type="dxa" w:w="3118"/>
          </w:tcPr>
          <w:p>
            <w:pPr>
              <w:spacing w:lineRule="exact" w:line="600"/>
              <w:jc w:val="center"/>
            </w:pPr>
            <w:r/>
            <w:r>
              <w:rPr>
                <w:rFonts w:ascii="仿宋_GB2312" w:hAnsi="仿宋_GB2312" w:eastAsia="仿宋_GB2312"/>
                <w:b w:val="0"/>
                <w:color w:val="000000"/>
                <w:sz w:val="32"/>
              </w:rPr>
              <w:t>220余家</w:t>
            </w:r>
          </w:p>
        </w:tc>
        <w:tc>
          <w:tcPr>
            <w:tcW w:type="dxa" w:w="2835"/>
          </w:tcPr>
          <w:p>
            <w:pPr>
              <w:spacing w:lineRule="exact" w:line="600"/>
              <w:jc w:val="center"/>
            </w:pPr>
            <w:r/>
            <w:r>
              <w:rPr>
                <w:rFonts w:ascii="仿宋_GB2312" w:hAnsi="仿宋_GB2312" w:eastAsia="仿宋_GB2312"/>
                <w:b w:val="0"/>
                <w:color w:val="000000"/>
                <w:sz w:val="32"/>
              </w:rPr>
              <w:t>轨道交通示范区</w:t>
            </w:r>
          </w:p>
        </w:tc>
      </w:tr>
      <w:tr>
        <w:tc>
          <w:tcPr>
            <w:tcW w:type="dxa" w:w="3118"/>
          </w:tcPr>
          <w:p>
            <w:pPr>
              <w:spacing w:lineRule="exact" w:line="600"/>
              <w:jc w:val="center"/>
            </w:pPr>
            <w:r/>
            <w:r>
              <w:rPr>
                <w:rFonts w:ascii="仿宋_GB2312" w:hAnsi="仿宋_GB2312" w:eastAsia="仿宋_GB2312"/>
                <w:b w:val="0"/>
                <w:color w:val="000000"/>
                <w:sz w:val="32"/>
              </w:rPr>
              <w:t>本地配套率</w:t>
            </w:r>
          </w:p>
        </w:tc>
        <w:tc>
          <w:tcPr>
            <w:tcW w:type="dxa" w:w="3118"/>
          </w:tcPr>
          <w:p>
            <w:pPr>
              <w:spacing w:lineRule="exact" w:line="600"/>
              <w:jc w:val="center"/>
            </w:pPr>
            <w:r/>
            <w:r>
              <w:rPr>
                <w:rFonts w:ascii="仿宋_GB2312" w:hAnsi="仿宋_GB2312" w:eastAsia="仿宋_GB2312"/>
                <w:b w:val="0"/>
                <w:color w:val="000000"/>
                <w:sz w:val="32"/>
              </w:rPr>
              <w:t>近50%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整车占比</w:t>
            </w:r>
          </w:p>
        </w:tc>
        <w:tc>
          <w:tcPr>
            <w:tcW w:type="dxa" w:w="3118"/>
          </w:tcPr>
          <w:p>
            <w:pPr>
              <w:spacing w:lineRule="exact" w:line="600"/>
              <w:jc w:val="center"/>
            </w:pPr>
            <w:r/>
            <w:r>
              <w:rPr>
                <w:rFonts w:ascii="仿宋_GB2312" w:hAnsi="仿宋_GB2312" w:eastAsia="仿宋_GB2312"/>
                <w:b w:val="0"/>
                <w:color w:val="000000"/>
                <w:sz w:val="32"/>
              </w:rPr>
              <w:t>全国55%高铁动车、20%地铁</w:t>
            </w:r>
          </w:p>
        </w:tc>
        <w:tc>
          <w:tcPr>
            <w:tcW w:type="dxa" w:w="2835"/>
          </w:tcPr>
          <w:p>
            <w:pPr>
              <w:spacing w:lineRule="exact" w:line="600"/>
              <w:jc w:val="center"/>
            </w:pPr>
            <w:r/>
            <w:r>
              <w:rPr>
                <w:rFonts w:ascii="仿宋_GB2312" w:hAnsi="仿宋_GB2312" w:eastAsia="仿宋_GB2312"/>
                <w:b w:val="0"/>
                <w:color w:val="000000"/>
                <w:sz w:val="32"/>
              </w:rPr>
              <w:t>轨道交通示范区</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（一）存量运维需求</w:t>
      </w:r>
    </w:p>
    <w:p>
      <w:pPr>
        <w:spacing w:lineRule="exact" w:line="600" w:before="0" w:after="0"/>
        <w:ind w:firstLine="420"/>
        <w:jc w:val="both"/>
      </w:pPr>
      <w:r>
        <w:rPr>
          <w:rFonts w:ascii="仿宋_GB2312" w:hAnsi="仿宋_GB2312" w:eastAsia="仿宋_GB2312"/>
          <w:b w:val="0"/>
          <w:color w:val="000000"/>
          <w:sz w:val="32"/>
        </w:rPr>
        <w:t>全国高铁与城轨运营里程持续增长，运维后市场空间扩大；青岛作为整车制造基地具备“原厂运维”优势（来源：行业研判）。</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运维与系统集成竞争含主机厂系服务公司与第三方；中车系在数据与备件上占优（来源：行业研判）。</w:t>
      </w:r>
    </w:p>
    <w:p>
      <w:pPr>
        <w:spacing w:lineRule="exact" w:line="600" w:before="120" w:after="120"/>
        <w:ind w:firstLine="420"/>
        <w:jc w:val="left"/>
      </w:pPr>
      <w:r>
        <w:rPr>
          <w:rFonts w:ascii="楷体_GB2312" w:hAnsi="楷体_GB2312" w:eastAsia="楷体_GB2312"/>
          <w:b w:val="0"/>
          <w:color w:val="000000"/>
          <w:sz w:val="32"/>
        </w:rPr>
        <w:t>（三）青岛轨道交通市场供需（真实检索补充）</w:t>
      </w:r>
    </w:p>
    <w:p>
      <w:pPr>
        <w:spacing w:lineRule="exact" w:line="600" w:before="0" w:after="0"/>
        <w:ind w:firstLine="420"/>
        <w:jc w:val="both"/>
      </w:pPr>
      <w:r>
        <w:rPr>
          <w:rFonts w:ascii="仿宋_GB2312" w:hAnsi="仿宋_GB2312" w:eastAsia="仿宋_GB2312"/>
          <w:b w:val="0"/>
          <w:color w:val="000000"/>
          <w:sz w:val="32"/>
        </w:rPr>
        <w:t>2024年青岛轨道交通装备产业生产动车组847辆、城轨地铁车辆新造520辆，全市动车组年产能超1600辆；中标高速动车组新造订单122组（占国铁招标49.8%），国内高速铁路与城市轨道交通建设持续拉动需求，雅万高铁等“出海”订单拓展出口。（来源：青岛市2024统计、工人日报2024）（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动车组产量</w:t>
            </w:r>
          </w:p>
        </w:tc>
        <w:tc>
          <w:tcPr>
            <w:tcW w:type="dxa" w:w="3118"/>
          </w:tcPr>
          <w:p>
            <w:pPr>
              <w:spacing w:lineRule="exact" w:line="600"/>
              <w:jc w:val="center"/>
            </w:pPr>
            <w:r/>
            <w:r>
              <w:rPr>
                <w:rFonts w:ascii="仿宋_GB2312" w:hAnsi="仿宋_GB2312" w:eastAsia="仿宋_GB2312"/>
                <w:b w:val="0"/>
                <w:color w:val="000000"/>
                <w:sz w:val="32"/>
              </w:rPr>
              <w:t>847辆（+47%）</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城轨地铁新造</w:t>
            </w:r>
          </w:p>
        </w:tc>
        <w:tc>
          <w:tcPr>
            <w:tcW w:type="dxa" w:w="3118"/>
          </w:tcPr>
          <w:p>
            <w:pPr>
              <w:spacing w:lineRule="exact" w:line="600"/>
              <w:jc w:val="center"/>
            </w:pPr>
            <w:r/>
            <w:r>
              <w:rPr>
                <w:rFonts w:ascii="仿宋_GB2312" w:hAnsi="仿宋_GB2312" w:eastAsia="仿宋_GB2312"/>
                <w:b w:val="0"/>
                <w:color w:val="000000"/>
                <w:sz w:val="32"/>
              </w:rPr>
              <w:t>520辆（+11.1%）</w:t>
            </w:r>
          </w:p>
        </w:tc>
        <w:tc>
          <w:tcPr>
            <w:tcW w:type="dxa" w:w="2835"/>
          </w:tcPr>
          <w:p>
            <w:pPr>
              <w:spacing w:lineRule="exact" w:line="600"/>
              <w:jc w:val="center"/>
            </w:pPr>
            <w:r/>
            <w:r>
              <w:rPr>
                <w:rFonts w:ascii="仿宋_GB2312" w:hAnsi="仿宋_GB2312" w:eastAsia="仿宋_GB2312"/>
                <w:b w:val="0"/>
                <w:color w:val="000000"/>
                <w:sz w:val="32"/>
              </w:rPr>
              <w:t>中车四方2024</w:t>
            </w:r>
          </w:p>
        </w:tc>
      </w:tr>
      <w:tr>
        <w:tc>
          <w:tcPr>
            <w:tcW w:type="dxa" w:w="3118"/>
          </w:tcPr>
          <w:p>
            <w:pPr>
              <w:spacing w:lineRule="exact" w:line="600"/>
              <w:jc w:val="center"/>
            </w:pPr>
            <w:r/>
            <w:r>
              <w:rPr>
                <w:rFonts w:ascii="仿宋_GB2312" w:hAnsi="仿宋_GB2312" w:eastAsia="仿宋_GB2312"/>
                <w:b w:val="0"/>
                <w:color w:val="000000"/>
                <w:sz w:val="32"/>
              </w:rPr>
              <w:t>新造订单占比</w:t>
            </w:r>
          </w:p>
        </w:tc>
        <w:tc>
          <w:tcPr>
            <w:tcW w:type="dxa" w:w="3118"/>
          </w:tcPr>
          <w:p>
            <w:pPr>
              <w:spacing w:lineRule="exact" w:line="600"/>
              <w:jc w:val="center"/>
            </w:pPr>
            <w:r/>
            <w:r>
              <w:rPr>
                <w:rFonts w:ascii="仿宋_GB2312" w:hAnsi="仿宋_GB2312" w:eastAsia="仿宋_GB2312"/>
                <w:b w:val="0"/>
                <w:color w:val="000000"/>
                <w:sz w:val="32"/>
              </w:rPr>
              <w:t>49.8%（122组）</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年产能</w:t>
            </w:r>
          </w:p>
        </w:tc>
        <w:tc>
          <w:tcPr>
            <w:tcW w:type="dxa" w:w="3118"/>
          </w:tcPr>
          <w:p>
            <w:pPr>
              <w:spacing w:lineRule="exact" w:line="600"/>
              <w:jc w:val="center"/>
            </w:pPr>
            <w:r/>
            <w:r>
              <w:rPr>
                <w:rFonts w:ascii="仿宋_GB2312" w:hAnsi="仿宋_GB2312" w:eastAsia="仿宋_GB2312"/>
                <w:b w:val="0"/>
                <w:color w:val="000000"/>
                <w:sz w:val="32"/>
              </w:rPr>
              <w:t>超1600辆</w:t>
            </w:r>
          </w:p>
        </w:tc>
        <w:tc>
          <w:tcPr>
            <w:tcW w:type="dxa" w:w="2835"/>
          </w:tcPr>
          <w:p>
            <w:pPr>
              <w:spacing w:lineRule="exact" w:line="600"/>
              <w:jc w:val="center"/>
            </w:pPr>
            <w:r/>
            <w:r>
              <w:rPr>
                <w:rFonts w:ascii="仿宋_GB2312" w:hAnsi="仿宋_GB2312" w:eastAsia="仿宋_GB2312"/>
                <w:b w:val="0"/>
                <w:color w:val="000000"/>
                <w:sz w:val="32"/>
              </w:rPr>
              <w:t>工人日报2024</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（一）服务主体</w:t>
      </w:r>
    </w:p>
    <w:p>
      <w:pPr>
        <w:spacing w:lineRule="exact" w:line="600" w:before="0" w:after="0"/>
        <w:ind w:firstLine="420"/>
        <w:jc w:val="both"/>
      </w:pPr>
      <w:r>
        <w:rPr>
          <w:rFonts w:ascii="仿宋_GB2312" w:hAnsi="仿宋_GB2312" w:eastAsia="仿宋_GB2312"/>
          <w:b w:val="0"/>
          <w:color w:val="000000"/>
          <w:sz w:val="32"/>
        </w:rPr>
        <w:t>示范区集聚高新技术企业321家、上市公司3家，中车四方与四方所提供运维与系统集成（来源：青岛轨道交通产业示范区，2025）。</w:t>
      </w:r>
    </w:p>
    <w:p>
      <w:pPr>
        <w:spacing w:lineRule="exact" w:line="600" w:before="120" w:after="120"/>
        <w:ind w:firstLine="420"/>
        <w:jc w:val="left"/>
      </w:pPr>
      <w:r>
        <w:rPr>
          <w:rFonts w:ascii="楷体_GB2312" w:hAnsi="楷体_GB2312" w:eastAsia="楷体_GB2312"/>
          <w:b w:val="0"/>
          <w:color w:val="000000"/>
          <w:sz w:val="32"/>
        </w:rPr>
        <w:t>（二）平台能力</w:t>
      </w:r>
    </w:p>
    <w:p>
      <w:pPr>
        <w:spacing w:lineRule="exact" w:line="600" w:before="0" w:after="0"/>
        <w:ind w:firstLine="420"/>
        <w:jc w:val="both"/>
      </w:pPr>
      <w:r>
        <w:rPr>
          <w:rFonts w:ascii="仿宋_GB2312" w:hAnsi="仿宋_GB2312" w:eastAsia="仿宋_GB2312"/>
          <w:b w:val="0"/>
          <w:color w:val="000000"/>
          <w:sz w:val="32"/>
        </w:rPr>
        <w:t>国家高速列车技术创新中心建成轨道交通车辆系统集成国家工程实验室、中车大数据中心，支撑运维研发（来源：青岛轨道交通产业示范区，2025）。</w:t>
      </w:r>
    </w:p>
    <w:p>
      <w:pPr>
        <w:spacing w:lineRule="exact" w:line="600" w:before="120" w:after="120"/>
        <w:ind w:firstLine="420"/>
        <w:jc w:val="left"/>
      </w:pPr>
      <w:r>
        <w:rPr>
          <w:rFonts w:ascii="楷体_GB2312" w:hAnsi="楷体_GB2312" w:eastAsia="楷体_GB2312"/>
          <w:b w:val="0"/>
          <w:color w:val="000000"/>
          <w:sz w:val="32"/>
        </w:rPr>
        <w:t>（四）青岛轨道交通产业集群主体（真实检索补充）</w:t>
      </w:r>
    </w:p>
    <w:p>
      <w:pPr>
        <w:spacing w:lineRule="exact" w:line="600" w:before="0" w:after="0"/>
        <w:ind w:firstLine="420"/>
        <w:jc w:val="both"/>
      </w:pPr>
      <w:r>
        <w:rPr>
          <w:rFonts w:ascii="仿宋_GB2312" w:hAnsi="仿宋_GB2312" w:eastAsia="仿宋_GB2312"/>
          <w:b w:val="0"/>
          <w:color w:val="000000"/>
          <w:sz w:val="32"/>
        </w:rPr>
        <w:t>青岛市轨道交通装备产业规上企业87家，2024年实现主营业务收入595.2亿元（增长26.7%）、生产动车组847辆（增长47%），中标高速动车组新造订单122组（占总招标49.8%）；链主企业中车青岛四方2024年产值290亿元（增长43.7%）、营业收入408.59亿元，生产全国43%的高速动车组。示范区拥有规上工业企业179家、高新技术企业321家、专精特新252家。（来源：青岛市统计年鉴2024、中车四方/搜狗百科）（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集群指标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87家</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主营业务收入</w:t>
            </w:r>
          </w:p>
        </w:tc>
        <w:tc>
          <w:tcPr>
            <w:tcW w:type="dxa" w:w="3118"/>
          </w:tcPr>
          <w:p>
            <w:pPr>
              <w:spacing w:lineRule="exact" w:line="600"/>
              <w:jc w:val="center"/>
            </w:pPr>
            <w:r/>
            <w:r>
              <w:rPr>
                <w:rFonts w:ascii="仿宋_GB2312" w:hAnsi="仿宋_GB2312" w:eastAsia="仿宋_GB2312"/>
                <w:b w:val="0"/>
                <w:color w:val="000000"/>
                <w:sz w:val="32"/>
              </w:rPr>
              <w:t>595.2亿元（+26.7%）</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中车四方产值</w:t>
            </w:r>
          </w:p>
        </w:tc>
        <w:tc>
          <w:tcPr>
            <w:tcW w:type="dxa" w:w="3118"/>
          </w:tcPr>
          <w:p>
            <w:pPr>
              <w:spacing w:lineRule="exact" w:line="600"/>
              <w:jc w:val="center"/>
            </w:pPr>
            <w:r/>
            <w:r>
              <w:rPr>
                <w:rFonts w:ascii="仿宋_GB2312" w:hAnsi="仿宋_GB2312" w:eastAsia="仿宋_GB2312"/>
                <w:b w:val="0"/>
                <w:color w:val="000000"/>
                <w:sz w:val="32"/>
              </w:rPr>
              <w:t>290亿元（+43.7%）</w:t>
            </w:r>
          </w:p>
        </w:tc>
        <w:tc>
          <w:tcPr>
            <w:tcW w:type="dxa" w:w="2835"/>
          </w:tcPr>
          <w:p>
            <w:pPr>
              <w:spacing w:lineRule="exact" w:line="600"/>
              <w:jc w:val="center"/>
            </w:pPr>
            <w:r/>
            <w:r>
              <w:rPr>
                <w:rFonts w:ascii="仿宋_GB2312" w:hAnsi="仿宋_GB2312" w:eastAsia="仿宋_GB2312"/>
                <w:b w:val="0"/>
                <w:color w:val="000000"/>
                <w:sz w:val="32"/>
              </w:rPr>
              <w:t>中车四方2024</w:t>
            </w:r>
          </w:p>
        </w:tc>
      </w:tr>
      <w:tr>
        <w:tc>
          <w:tcPr>
            <w:tcW w:type="dxa" w:w="3118"/>
          </w:tcPr>
          <w:p>
            <w:pPr>
              <w:spacing w:lineRule="exact" w:line="600"/>
              <w:jc w:val="center"/>
            </w:pPr>
            <w:r/>
            <w:r>
              <w:rPr>
                <w:rFonts w:ascii="仿宋_GB2312" w:hAnsi="仿宋_GB2312" w:eastAsia="仿宋_GB2312"/>
                <w:b w:val="0"/>
                <w:color w:val="000000"/>
                <w:sz w:val="32"/>
              </w:rPr>
              <w:t>中车四方营收</w:t>
            </w:r>
          </w:p>
        </w:tc>
        <w:tc>
          <w:tcPr>
            <w:tcW w:type="dxa" w:w="3118"/>
          </w:tcPr>
          <w:p>
            <w:pPr>
              <w:spacing w:lineRule="exact" w:line="600"/>
              <w:jc w:val="center"/>
            </w:pPr>
            <w:r/>
            <w:r>
              <w:rPr>
                <w:rFonts w:ascii="仿宋_GB2312" w:hAnsi="仿宋_GB2312" w:eastAsia="仿宋_GB2312"/>
                <w:b w:val="0"/>
                <w:color w:val="000000"/>
                <w:sz w:val="32"/>
              </w:rPr>
              <w:t>408.59亿元</w:t>
            </w:r>
          </w:p>
        </w:tc>
        <w:tc>
          <w:tcPr>
            <w:tcW w:type="dxa" w:w="2835"/>
          </w:tcPr>
          <w:p>
            <w:pPr>
              <w:spacing w:lineRule="exact" w:line="600"/>
              <w:jc w:val="center"/>
            </w:pPr>
            <w:r/>
            <w:r>
              <w:rPr>
                <w:rFonts w:ascii="仿宋_GB2312" w:hAnsi="仿宋_GB2312" w:eastAsia="仿宋_GB2312"/>
                <w:b w:val="0"/>
                <w:color w:val="000000"/>
                <w:sz w:val="32"/>
              </w:rPr>
              <w:t>搜狗百科</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（一）智能运维技术</w:t>
      </w:r>
    </w:p>
    <w:p>
      <w:pPr>
        <w:spacing w:lineRule="exact" w:line="600" w:before="0" w:after="0"/>
        <w:ind w:firstLine="420"/>
        <w:jc w:val="both"/>
      </w:pPr>
      <w:r>
        <w:rPr>
          <w:rFonts w:ascii="仿宋_GB2312" w:hAnsi="仿宋_GB2312" w:eastAsia="仿宋_GB2312"/>
          <w:b w:val="0"/>
          <w:color w:val="000000"/>
          <w:sz w:val="32"/>
        </w:rPr>
        <w:t>依托大数据与数字孪生实现状态监测与预测性维护；CR450、碳纤维地铁等新技术催生高端运维需求（来源：青岛轨道交通产业示范区，2025）。</w:t>
      </w:r>
    </w:p>
    <w:p>
      <w:pPr>
        <w:spacing w:lineRule="exact" w:line="600" w:before="120" w:after="120"/>
        <w:ind w:firstLine="420"/>
        <w:jc w:val="left"/>
      </w:pPr>
      <w:r>
        <w:rPr>
          <w:rFonts w:ascii="楷体_GB2312" w:hAnsi="楷体_GB2312" w:eastAsia="楷体_GB2312"/>
          <w:b w:val="0"/>
          <w:color w:val="000000"/>
          <w:sz w:val="32"/>
        </w:rPr>
        <w:t>（二）平台创新</w:t>
      </w:r>
    </w:p>
    <w:p>
      <w:pPr>
        <w:spacing w:lineRule="exact" w:line="600" w:before="0" w:after="0"/>
        <w:ind w:firstLine="420"/>
        <w:jc w:val="both"/>
      </w:pPr>
      <w:r>
        <w:rPr>
          <w:rFonts w:ascii="仿宋_GB2312" w:hAnsi="仿宋_GB2312" w:eastAsia="仿宋_GB2312"/>
          <w:b w:val="0"/>
          <w:color w:val="000000"/>
          <w:sz w:val="32"/>
        </w:rPr>
        <w:t>示范区集聚11家国家级、17家省级创新平台，支撑系统集成研发（来源：青岛轨道交通产业示范区，2025）。</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（一）盈利模式</w:t>
      </w:r>
    </w:p>
    <w:p>
      <w:pPr>
        <w:spacing w:lineRule="exact" w:line="600" w:before="0" w:after="0"/>
        <w:ind w:firstLine="420"/>
        <w:jc w:val="both"/>
      </w:pPr>
      <w:r>
        <w:rPr>
          <w:rFonts w:ascii="仿宋_GB2312" w:hAnsi="仿宋_GB2312" w:eastAsia="仿宋_GB2312"/>
          <w:b w:val="0"/>
          <w:color w:val="000000"/>
          <w:sz w:val="32"/>
        </w:rPr>
        <w:t>运维服务毛利率高于制造，但需长期服务合同与备件库存；回款稳定（来源：行业研判）。</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示范区配套产业园区与基础设施，支持服务企业集聚（来源：青岛轨道交通产业示范区，2025）。</w:t>
      </w:r>
    </w:p>
    <w:p>
      <w:pPr>
        <w:spacing w:lineRule="exact" w:line="600" w:before="120" w:after="120"/>
        <w:ind w:firstLine="420"/>
        <w:jc w:val="left"/>
      </w:pPr>
      <w:r>
        <w:rPr>
          <w:rFonts w:ascii="楷体_GB2312" w:hAnsi="楷体_GB2312" w:eastAsia="楷体_GB2312"/>
          <w:b w:val="0"/>
          <w:color w:val="000000"/>
          <w:sz w:val="32"/>
        </w:rPr>
        <w:t>（六）青岛轨道交通成本盈利（真实检索补充）</w:t>
      </w:r>
    </w:p>
    <w:p>
      <w:pPr>
        <w:spacing w:lineRule="exact" w:line="600" w:before="0" w:after="0"/>
        <w:ind w:firstLine="420"/>
        <w:jc w:val="both"/>
      </w:pPr>
      <w:r>
        <w:rPr>
          <w:rFonts w:ascii="仿宋_GB2312" w:hAnsi="仿宋_GB2312" w:eastAsia="仿宋_GB2312"/>
          <w:b w:val="0"/>
          <w:color w:val="000000"/>
          <w:sz w:val="32"/>
        </w:rPr>
        <w:t>产业链本地配套率近50%有效降低物流与采购成本；配套企业研发投入强度高，如青岛宏达青田研发投入占年产值15%–20%；中车四方等链主企业规模化生产摊薄制造成本，2024年营业收入408.59亿元、产值290亿元，盈利随订单增长改善。（来源：工人日报2024、搜狗百科）（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成本/盈利指标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本地配套率</w:t>
            </w:r>
          </w:p>
        </w:tc>
        <w:tc>
          <w:tcPr>
            <w:tcW w:type="dxa" w:w="3118"/>
          </w:tcPr>
          <w:p>
            <w:pPr>
              <w:spacing w:lineRule="exact" w:line="600"/>
              <w:jc w:val="center"/>
            </w:pPr>
            <w:r/>
            <w:r>
              <w:rPr>
                <w:rFonts w:ascii="仿宋_GB2312" w:hAnsi="仿宋_GB2312" w:eastAsia="仿宋_GB2312"/>
                <w:b w:val="0"/>
                <w:color w:val="000000"/>
                <w:sz w:val="32"/>
              </w:rPr>
              <w:t>近50%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配套企业研发占比</w:t>
            </w:r>
          </w:p>
        </w:tc>
        <w:tc>
          <w:tcPr>
            <w:tcW w:type="dxa" w:w="3118"/>
          </w:tcPr>
          <w:p>
            <w:pPr>
              <w:spacing w:lineRule="exact" w:line="600"/>
              <w:jc w:val="center"/>
            </w:pPr>
            <w:r/>
            <w:r>
              <w:rPr>
                <w:rFonts w:ascii="仿宋_GB2312" w:hAnsi="仿宋_GB2312" w:eastAsia="仿宋_GB2312"/>
                <w:b w:val="0"/>
                <w:color w:val="000000"/>
                <w:sz w:val="32"/>
              </w:rPr>
              <w:t>年产值15%–20%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中车四方营收</w:t>
            </w:r>
          </w:p>
        </w:tc>
        <w:tc>
          <w:tcPr>
            <w:tcW w:type="dxa" w:w="3118"/>
          </w:tcPr>
          <w:p>
            <w:pPr>
              <w:spacing w:lineRule="exact" w:line="600"/>
              <w:jc w:val="center"/>
            </w:pPr>
            <w:r/>
            <w:r>
              <w:rPr>
                <w:rFonts w:ascii="仿宋_GB2312" w:hAnsi="仿宋_GB2312" w:eastAsia="仿宋_GB2312"/>
                <w:b w:val="0"/>
                <w:color w:val="000000"/>
                <w:sz w:val="32"/>
              </w:rPr>
              <w:t>408.59亿元</w:t>
            </w:r>
          </w:p>
        </w:tc>
        <w:tc>
          <w:tcPr>
            <w:tcW w:type="dxa" w:w="2835"/>
          </w:tcPr>
          <w:p>
            <w:pPr>
              <w:spacing w:lineRule="exact" w:line="600"/>
              <w:jc w:val="center"/>
            </w:pPr>
            <w:r/>
            <w:r>
              <w:rPr>
                <w:rFonts w:ascii="仿宋_GB2312" w:hAnsi="仿宋_GB2312" w:eastAsia="仿宋_GB2312"/>
                <w:b w:val="0"/>
                <w:color w:val="000000"/>
                <w:sz w:val="32"/>
              </w:rPr>
              <w:t>搜狗百科</w:t>
            </w:r>
          </w:p>
        </w:tc>
      </w:tr>
      <w:tr>
        <w:tc>
          <w:tcPr>
            <w:tcW w:type="dxa" w:w="3118"/>
          </w:tcPr>
          <w:p>
            <w:pPr>
              <w:spacing w:lineRule="exact" w:line="600"/>
              <w:jc w:val="center"/>
            </w:pPr>
            <w:r/>
            <w:r>
              <w:rPr>
                <w:rFonts w:ascii="仿宋_GB2312" w:hAnsi="仿宋_GB2312" w:eastAsia="仿宋_GB2312"/>
                <w:b w:val="0"/>
                <w:color w:val="000000"/>
                <w:sz w:val="32"/>
              </w:rPr>
              <w:t>中车四方产值</w:t>
            </w:r>
          </w:p>
        </w:tc>
        <w:tc>
          <w:tcPr>
            <w:tcW w:type="dxa" w:w="3118"/>
          </w:tcPr>
          <w:p>
            <w:pPr>
              <w:spacing w:lineRule="exact" w:line="600"/>
              <w:jc w:val="center"/>
            </w:pPr>
            <w:r/>
            <w:r>
              <w:rPr>
                <w:rFonts w:ascii="仿宋_GB2312" w:hAnsi="仿宋_GB2312" w:eastAsia="仿宋_GB2312"/>
                <w:b w:val="0"/>
                <w:color w:val="000000"/>
                <w:sz w:val="32"/>
              </w:rPr>
              <w:t>290亿元</w:t>
            </w:r>
          </w:p>
        </w:tc>
        <w:tc>
          <w:tcPr>
            <w:tcW w:type="dxa" w:w="2835"/>
          </w:tcPr>
          <w:p>
            <w:pPr>
              <w:spacing w:lineRule="exact" w:line="600"/>
              <w:jc w:val="center"/>
            </w:pPr>
            <w:r/>
            <w:r>
              <w:rPr>
                <w:rFonts w:ascii="仿宋_GB2312" w:hAnsi="仿宋_GB2312" w:eastAsia="仿宋_GB2312"/>
                <w:b w:val="0"/>
                <w:color w:val="000000"/>
                <w:sz w:val="32"/>
              </w:rPr>
              <w:t>中车四方2024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智能运维、预测性维护与海外运维输出增长；“一带一路”铁路运维需求（来源：行业研判）。</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服务标准与数据安全风险；原厂与第三方竞争（来源：行业研判）。</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（一）服务化延伸</w:t>
      </w:r>
    </w:p>
    <w:p>
      <w:pPr>
        <w:spacing w:lineRule="exact" w:line="600" w:before="0" w:after="0"/>
        <w:ind w:firstLine="420"/>
        <w:jc w:val="both"/>
      </w:pPr>
      <w:r>
        <w:rPr>
          <w:rFonts w:ascii="仿宋_GB2312" w:hAnsi="仿宋_GB2312" w:eastAsia="仿宋_GB2312"/>
          <w:b w:val="0"/>
          <w:color w:val="000000"/>
          <w:sz w:val="32"/>
        </w:rPr>
        <w:t>推动“制造+服务”转型，发展全生命周期运维与系统集成（来源：青岛轨道交通产业示范区，2025）。</w:t>
      </w:r>
    </w:p>
    <w:p>
      <w:pPr>
        <w:spacing w:lineRule="exact" w:line="600" w:before="120" w:after="120"/>
        <w:ind w:firstLine="420"/>
        <w:jc w:val="left"/>
      </w:pPr>
      <w:r>
        <w:rPr>
          <w:rFonts w:ascii="楷体_GB2312" w:hAnsi="楷体_GB2312" w:eastAsia="楷体_GB2312"/>
          <w:b w:val="0"/>
          <w:color w:val="000000"/>
          <w:sz w:val="32"/>
        </w:rPr>
        <w:t>（二）链长制</w:t>
      </w:r>
    </w:p>
    <w:p>
      <w:pPr>
        <w:spacing w:lineRule="exact" w:line="600" w:before="0" w:after="0"/>
        <w:ind w:firstLine="420"/>
        <w:jc w:val="both"/>
      </w:pPr>
      <w:r>
        <w:rPr>
          <w:rFonts w:ascii="仿宋_GB2312" w:hAnsi="仿宋_GB2312" w:eastAsia="仿宋_GB2312"/>
          <w:b w:val="0"/>
          <w:color w:val="000000"/>
          <w:sz w:val="32"/>
        </w:rPr>
        <w:t>青岛“链长制”推进轨道交通集群，强化系统集成与运维能力（来源：青岛工信局，2025）。</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（一）平台与数据建设融资</w:t>
      </w:r>
    </w:p>
    <w:p>
      <w:pPr>
        <w:spacing w:lineRule="exact" w:line="600" w:before="0" w:after="0"/>
        <w:ind w:firstLine="420"/>
        <w:jc w:val="both"/>
      </w:pPr>
      <w:r>
        <w:rPr>
          <w:rFonts w:ascii="仿宋_GB2312" w:hAnsi="仿宋_GB2312" w:eastAsia="仿宋_GB2312"/>
          <w:b w:val="0"/>
          <w:color w:val="000000"/>
          <w:sz w:val="32"/>
        </w:rPr>
        <w:t>智能运维平台与数据中心建设需长期资金，可运用专项债与中长期贷款（来源：行业研判；山东省政策）。</w:t>
      </w:r>
    </w:p>
    <w:p>
      <w:pPr>
        <w:spacing w:lineRule="exact" w:line="600" w:before="120" w:after="120"/>
        <w:ind w:firstLine="420"/>
        <w:jc w:val="left"/>
      </w:pPr>
      <w:r>
        <w:rPr>
          <w:rFonts w:ascii="楷体_GB2312" w:hAnsi="楷体_GB2312" w:eastAsia="楷体_GB2312"/>
          <w:b w:val="0"/>
          <w:color w:val="000000"/>
          <w:sz w:val="32"/>
        </w:rPr>
        <w:t>（二）服务网络融资</w:t>
      </w:r>
    </w:p>
    <w:p>
      <w:pPr>
        <w:spacing w:lineRule="exact" w:line="600" w:before="0" w:after="0"/>
        <w:ind w:firstLine="420"/>
        <w:jc w:val="both"/>
      </w:pPr>
      <w:r>
        <w:rPr>
          <w:rFonts w:ascii="仿宋_GB2312" w:hAnsi="仿宋_GB2312" w:eastAsia="仿宋_GB2312"/>
          <w:b w:val="0"/>
          <w:color w:val="000000"/>
          <w:sz w:val="32"/>
        </w:rPr>
        <w:t>运维服务网络与备件中心布局需营运资金（来源：行业研判）。</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中车青岛四方机车车辆股份有限公司：城阳区轨道交通整车制造龙头，CRH系列动车组核心研制基地。来源：城阳区政府官网、公司年报。</w:t>
      </w:r>
    </w:p>
    <w:p>
      <w:pPr>
        <w:spacing w:lineRule="exact" w:line="600" w:before="0" w:after="0"/>
        <w:ind w:firstLine="420"/>
        <w:jc w:val="both"/>
      </w:pPr>
      <w:r>
        <w:rPr>
          <w:rFonts w:ascii="仿宋_GB2312" w:hAnsi="仿宋_GB2312" w:eastAsia="仿宋_GB2312"/>
          <w:b w:val="0"/>
          <w:color w:val="000000"/>
          <w:sz w:val="32"/>
        </w:rPr>
        <w:t>中车青岛四方车辆研究所有限公司：轨道交通核心零部件及系统集成服务商。来源：公司官网。</w:t>
      </w:r>
    </w:p>
    <w:p>
      <w:pPr>
        <w:spacing w:lineRule="exact" w:line="600" w:before="0" w:after="0"/>
        <w:ind w:firstLine="420"/>
        <w:jc w:val="both"/>
      </w:pPr>
      <w:r>
        <w:rPr>
          <w:rFonts w:ascii="仿宋_GB2312" w:hAnsi="仿宋_GB2312" w:eastAsia="仿宋_GB2312"/>
          <w:b w:val="0"/>
          <w:color w:val="000000"/>
          <w:sz w:val="32"/>
        </w:rPr>
        <w:t>青岛威奥轨道股份有限公司：轨道交通装备配套及运维服务商。来源：公司年报。</w:t>
      </w:r>
    </w:p>
    <w:p>
      <w:pPr>
        <w:spacing w:lineRule="exact" w:line="600" w:before="0" w:after="0"/>
        <w:jc w:val="left"/>
      </w:pPr>
      <w:r>
        <w:rPr>
          <w:rFonts w:ascii="仿宋_GB2312" w:hAnsi="仿宋_GB2312" w:eastAsia="仿宋_GB2312"/>
          <w:b w:val="0"/>
          <w:color w:val="000000"/>
          <w:sz w:val="28"/>
        </w:rPr>
        <w:t>主要数据来源：青岛市统计局《青岛统计年鉴2025》；青岛轨道交通产业示范区官网报道（2025）；海报新闻：解码“小镇冠军”青岛棘洪滩（2025-08）；中车青岛四方车辆研究所有限公司官网；山东省《“十强产业”行动计划（2024—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