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山东广饶（橡胶轮胎）特色产业集群</w:t>
      </w:r>
    </w:p>
    <w:p>
      <w:pPr>
        <w:spacing w:lineRule="exact" w:line="600" w:before="240" w:after="240"/>
        <w:ind w:firstLine="0"/>
        <w:jc w:val="center"/>
      </w:pPr>
      <w:r>
        <w:rPr>
          <w:rFonts w:ascii="方正小标宋简体" w:hAnsi="方正小标宋简体" w:eastAsia="方正小标宋简体"/>
          <w:b w:val="0"/>
          <w:color w:val="000000"/>
          <w:sz w:val="44"/>
        </w:rPr>
        <w:t>轮胎用合成橡胶与骨架材料行业深度分析报告</w:t>
      </w:r>
    </w:p>
    <w:p>
      <w:pPr>
        <w:spacing w:lineRule="exact" w:line="600" w:before="0" w:after="0"/>
        <w:jc w:val="left"/>
      </w:pPr>
      <w:r>
        <w:rPr>
          <w:rFonts w:ascii="仿宋_GB2312" w:hAnsi="仿宋_GB2312" w:eastAsia="仿宋_GB2312"/>
          <w:b w:val="0"/>
          <w:color w:val="000000"/>
          <w:sz w:val="28"/>
        </w:rPr>
        <w:t>本报告聚焦广饶橡胶轮胎集群的上游配套环节——合成橡胶与骨架材料（钢丝帘线、帘子布、炭黑、橡胶助剂等）。数据来源于《东营市橡胶轮胎产业发展规划（2024—2028年）》、广饶县政府官网与东营日报报道、山东省工信厅及企业公开资料。数据截至2024—2025年，部分细分产能以企业披露为准。</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轮胎用合成橡胶与骨架材料是广饶「20公里配套圈」的关键上游，决定轮胎强度、寿命与稳定性。集群已形成以钢丝帘线、炭黑、合成橡胶、橡胶助剂、帘子布、轮胎模具与胶囊为一体的完备配套体系，本地配套率达75%。江苏兴达钢帘线落户广饶，建设年产10万吨钢帘线、10万吨胎圈钢丝及7.5万吨钢帘线项目，单体规模国内最大，创下连续拉拔60万米不断丝纪录；烁元新材料为炭黑领域国家级专精特新「小巨人」；山东盛润通纺织科技3.5万吨/年高端轮胎工业布补强帘子布短板；东营规划集中碳四资源发展丁苯、丁基、丁腈等合成橡胶，建设国内领先高分子材料基地。该环节是补链强链重点，但高端合成橡胶、绿色助剂仍存短板，且受大宗原料价格与环保约束影响。</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本地配套率</w:t>
            </w:r>
          </w:p>
        </w:tc>
        <w:tc>
          <w:tcPr>
            <w:tcW w:type="dxa" w:w="2835"/>
          </w:tcPr>
          <w:p>
            <w:pPr>
              <w:spacing w:lineRule="exact" w:line="600"/>
              <w:jc w:val="center"/>
            </w:pPr>
            <w:r/>
            <w:r>
              <w:rPr>
                <w:rFonts w:ascii="仿宋_GB2312" w:hAnsi="仿宋_GB2312" w:eastAsia="仿宋_GB2312"/>
                <w:b w:val="0"/>
                <w:color w:val="000000"/>
                <w:sz w:val="32"/>
              </w:rPr>
              <w:t>75%</w:t>
            </w:r>
          </w:p>
        </w:tc>
        <w:tc>
          <w:tcPr>
            <w:tcW w:type="dxa" w:w="3118"/>
          </w:tcPr>
          <w:p>
            <w:pPr>
              <w:spacing w:lineRule="exact" w:line="600"/>
              <w:jc w:val="center"/>
            </w:pPr>
            <w:r/>
            <w:r>
              <w:rPr>
                <w:rFonts w:ascii="仿宋_GB2312" w:hAnsi="仿宋_GB2312" w:eastAsia="仿宋_GB2312"/>
                <w:b w:val="0"/>
                <w:color w:val="000000"/>
                <w:sz w:val="32"/>
              </w:rPr>
              <w:t>东营市，2024</w:t>
            </w:r>
          </w:p>
        </w:tc>
      </w:tr>
      <w:tr>
        <w:tc>
          <w:tcPr>
            <w:tcW w:type="dxa" w:w="2835"/>
          </w:tcPr>
          <w:p>
            <w:pPr>
              <w:spacing w:lineRule="exact" w:line="600"/>
              <w:jc w:val="center"/>
            </w:pPr>
            <w:r/>
            <w:r>
              <w:rPr>
                <w:rFonts w:ascii="仿宋_GB2312" w:hAnsi="仿宋_GB2312" w:eastAsia="仿宋_GB2312"/>
                <w:b w:val="0"/>
                <w:color w:val="000000"/>
                <w:sz w:val="32"/>
              </w:rPr>
              <w:t>兴达钢帘线产能</w:t>
            </w:r>
          </w:p>
        </w:tc>
        <w:tc>
          <w:tcPr>
            <w:tcW w:type="dxa" w:w="2835"/>
          </w:tcPr>
          <w:p>
            <w:pPr>
              <w:spacing w:lineRule="exact" w:line="600"/>
              <w:jc w:val="center"/>
            </w:pPr>
            <w:r/>
            <w:r>
              <w:rPr>
                <w:rFonts w:ascii="仿宋_GB2312" w:hAnsi="仿宋_GB2312" w:eastAsia="仿宋_GB2312"/>
                <w:b w:val="0"/>
                <w:color w:val="000000"/>
                <w:sz w:val="32"/>
              </w:rPr>
              <w:t>10万+10万+7.5万吨</w:t>
            </w:r>
          </w:p>
        </w:tc>
        <w:tc>
          <w:tcPr>
            <w:tcW w:type="dxa" w:w="3118"/>
          </w:tcPr>
          <w:p>
            <w:pPr>
              <w:spacing w:lineRule="exact" w:line="600"/>
              <w:jc w:val="center"/>
            </w:pPr>
            <w:r/>
            <w:r>
              <w:rPr>
                <w:rFonts w:ascii="仿宋_GB2312" w:hAnsi="仿宋_GB2312" w:eastAsia="仿宋_GB2312"/>
                <w:b w:val="0"/>
                <w:color w:val="000000"/>
                <w:sz w:val="32"/>
              </w:rPr>
              <w:t>广饶县，2024</w:t>
            </w:r>
          </w:p>
        </w:tc>
      </w:tr>
      <w:tr>
        <w:tc>
          <w:tcPr>
            <w:tcW w:type="dxa" w:w="2835"/>
          </w:tcPr>
          <w:p>
            <w:pPr>
              <w:spacing w:lineRule="exact" w:line="600"/>
              <w:jc w:val="center"/>
            </w:pPr>
            <w:r/>
            <w:r>
              <w:rPr>
                <w:rFonts w:ascii="仿宋_GB2312" w:hAnsi="仿宋_GB2312" w:eastAsia="仿宋_GB2312"/>
                <w:b w:val="0"/>
                <w:color w:val="000000"/>
                <w:sz w:val="32"/>
              </w:rPr>
              <w:t>盛润通工业布</w:t>
            </w:r>
          </w:p>
        </w:tc>
        <w:tc>
          <w:tcPr>
            <w:tcW w:type="dxa" w:w="2835"/>
          </w:tcPr>
          <w:p>
            <w:pPr>
              <w:spacing w:lineRule="exact" w:line="600"/>
              <w:jc w:val="center"/>
            </w:pPr>
            <w:r/>
            <w:r>
              <w:rPr>
                <w:rFonts w:ascii="仿宋_GB2312" w:hAnsi="仿宋_GB2312" w:eastAsia="仿宋_GB2312"/>
                <w:b w:val="0"/>
                <w:color w:val="000000"/>
                <w:sz w:val="32"/>
              </w:rPr>
              <w:t>3.5万吨/年</w:t>
            </w:r>
          </w:p>
        </w:tc>
        <w:tc>
          <w:tcPr>
            <w:tcW w:type="dxa" w:w="3118"/>
          </w:tcPr>
          <w:p>
            <w:pPr>
              <w:spacing w:lineRule="exact" w:line="600"/>
              <w:jc w:val="center"/>
            </w:pPr>
            <w:r/>
            <w:r>
              <w:rPr>
                <w:rFonts w:ascii="仿宋_GB2312" w:hAnsi="仿宋_GB2312" w:eastAsia="仿宋_GB2312"/>
                <w:b w:val="0"/>
                <w:color w:val="000000"/>
                <w:sz w:val="32"/>
              </w:rPr>
              <w:t>闪电新闻，2024</w:t>
            </w:r>
          </w:p>
        </w:tc>
      </w:tr>
      <w:tr>
        <w:tc>
          <w:tcPr>
            <w:tcW w:type="dxa" w:w="2835"/>
          </w:tcPr>
          <w:p>
            <w:pPr>
              <w:spacing w:lineRule="exact" w:line="600"/>
              <w:jc w:val="center"/>
            </w:pPr>
            <w:r/>
            <w:r>
              <w:rPr>
                <w:rFonts w:ascii="仿宋_GB2312" w:hAnsi="仿宋_GB2312" w:eastAsia="仿宋_GB2312"/>
                <w:b w:val="0"/>
                <w:color w:val="000000"/>
                <w:sz w:val="32"/>
              </w:rPr>
              <w:t>连续拉拔纪录</w:t>
            </w:r>
          </w:p>
        </w:tc>
        <w:tc>
          <w:tcPr>
            <w:tcW w:type="dxa" w:w="2835"/>
          </w:tcPr>
          <w:p>
            <w:pPr>
              <w:spacing w:lineRule="exact" w:line="600"/>
              <w:jc w:val="center"/>
            </w:pPr>
            <w:r/>
            <w:r>
              <w:rPr>
                <w:rFonts w:ascii="仿宋_GB2312" w:hAnsi="仿宋_GB2312" w:eastAsia="仿宋_GB2312"/>
                <w:b w:val="0"/>
                <w:color w:val="000000"/>
                <w:sz w:val="32"/>
              </w:rPr>
              <w:t>60万米不断丝</w:t>
            </w:r>
          </w:p>
        </w:tc>
        <w:tc>
          <w:tcPr>
            <w:tcW w:type="dxa" w:w="3118"/>
          </w:tcPr>
          <w:p>
            <w:pPr>
              <w:spacing w:lineRule="exact" w:line="600"/>
              <w:jc w:val="center"/>
            </w:pPr>
            <w:r/>
            <w:r>
              <w:rPr>
                <w:rFonts w:ascii="仿宋_GB2312" w:hAnsi="仿宋_GB2312" w:eastAsia="仿宋_GB2312"/>
                <w:b w:val="0"/>
                <w:color w:val="000000"/>
                <w:sz w:val="32"/>
              </w:rPr>
              <w:t>兴达，2024</w:t>
            </w:r>
          </w:p>
        </w:tc>
      </w:tr>
      <w:tr>
        <w:tc>
          <w:tcPr>
            <w:tcW w:type="dxa" w:w="2835"/>
          </w:tcPr>
          <w:p>
            <w:pPr>
              <w:spacing w:lineRule="exact" w:line="600"/>
              <w:jc w:val="center"/>
            </w:pPr>
            <w:r/>
            <w:r>
              <w:rPr>
                <w:rFonts w:ascii="仿宋_GB2312" w:hAnsi="仿宋_GB2312" w:eastAsia="仿宋_GB2312"/>
                <w:b w:val="0"/>
                <w:color w:val="000000"/>
                <w:sz w:val="32"/>
              </w:rPr>
              <w:t>协同解决难题</w:t>
            </w:r>
          </w:p>
        </w:tc>
        <w:tc>
          <w:tcPr>
            <w:tcW w:type="dxa" w:w="2835"/>
          </w:tcPr>
          <w:p>
            <w:pPr>
              <w:spacing w:lineRule="exact" w:line="600"/>
              <w:jc w:val="center"/>
            </w:pPr>
            <w:r/>
            <w:r>
              <w:rPr>
                <w:rFonts w:ascii="仿宋_GB2312" w:hAnsi="仿宋_GB2312" w:eastAsia="仿宋_GB2312"/>
                <w:b w:val="0"/>
                <w:color w:val="000000"/>
                <w:sz w:val="32"/>
              </w:rPr>
              <w:t>17项</w:t>
            </w:r>
          </w:p>
        </w:tc>
        <w:tc>
          <w:tcPr>
            <w:tcW w:type="dxa" w:w="3118"/>
          </w:tcPr>
          <w:p>
            <w:pPr>
              <w:spacing w:lineRule="exact" w:line="600"/>
              <w:jc w:val="center"/>
            </w:pPr>
            <w:r/>
            <w:r>
              <w:rPr>
                <w:rFonts w:ascii="仿宋_GB2312" w:hAnsi="仿宋_GB2312" w:eastAsia="仿宋_GB2312"/>
                <w:b w:val="0"/>
                <w:color w:val="000000"/>
                <w:sz w:val="32"/>
              </w:rPr>
              <w:t>广饶县，2024</w:t>
            </w:r>
          </w:p>
        </w:tc>
      </w:tr>
      <w:tr>
        <w:tc>
          <w:tcPr>
            <w:tcW w:type="dxa" w:w="2835"/>
          </w:tcPr>
          <w:p>
            <w:pPr>
              <w:spacing w:lineRule="exact" w:line="600"/>
              <w:jc w:val="center"/>
            </w:pPr>
            <w:r/>
            <w:r>
              <w:rPr>
                <w:rFonts w:ascii="仿宋_GB2312" w:hAnsi="仿宋_GB2312" w:eastAsia="仿宋_GB2312"/>
                <w:b w:val="0"/>
                <w:color w:val="000000"/>
                <w:sz w:val="32"/>
              </w:rPr>
              <w:t>国家级小巨人（配套）</w:t>
            </w:r>
          </w:p>
        </w:tc>
        <w:tc>
          <w:tcPr>
            <w:tcW w:type="dxa" w:w="2835"/>
          </w:tcPr>
          <w:p>
            <w:pPr>
              <w:spacing w:lineRule="exact" w:line="600"/>
              <w:jc w:val="center"/>
            </w:pPr>
            <w:r/>
            <w:r>
              <w:rPr>
                <w:rFonts w:ascii="仿宋_GB2312" w:hAnsi="仿宋_GB2312" w:eastAsia="仿宋_GB2312"/>
                <w:b w:val="0"/>
                <w:color w:val="000000"/>
                <w:sz w:val="32"/>
              </w:rPr>
              <w:t>烁元新材料</w:t>
            </w:r>
          </w:p>
        </w:tc>
        <w:tc>
          <w:tcPr>
            <w:tcW w:type="dxa" w:w="3118"/>
          </w:tcPr>
          <w:p>
            <w:pPr>
              <w:spacing w:lineRule="exact" w:line="600"/>
              <w:jc w:val="center"/>
            </w:pPr>
            <w:r/>
            <w:r>
              <w:rPr>
                <w:rFonts w:ascii="仿宋_GB2312" w:hAnsi="仿宋_GB2312" w:eastAsia="仿宋_GB2312"/>
                <w:b w:val="0"/>
                <w:color w:val="000000"/>
                <w:sz w:val="32"/>
              </w:rPr>
              <w:t>工信部</w:t>
            </w:r>
          </w:p>
        </w:tc>
      </w:tr>
      <w:tr>
        <w:tc>
          <w:tcPr>
            <w:tcW w:type="dxa" w:w="2835"/>
          </w:tcPr>
          <w:p>
            <w:pPr>
              <w:spacing w:lineRule="exact" w:line="600"/>
              <w:jc w:val="center"/>
            </w:pPr>
            <w:r/>
            <w:r>
              <w:rPr>
                <w:rFonts w:ascii="仿宋_GB2312" w:hAnsi="仿宋_GB2312" w:eastAsia="仿宋_GB2312"/>
                <w:b w:val="0"/>
                <w:color w:val="000000"/>
                <w:sz w:val="32"/>
              </w:rPr>
              <w:t>广饶子午胎产能</w:t>
            </w:r>
          </w:p>
        </w:tc>
        <w:tc>
          <w:tcPr>
            <w:tcW w:type="dxa" w:w="2835"/>
          </w:tcPr>
          <w:p>
            <w:pPr>
              <w:spacing w:lineRule="exact" w:line="600"/>
              <w:jc w:val="center"/>
            </w:pPr>
            <w:r/>
            <w:r>
              <w:rPr>
                <w:rFonts w:ascii="仿宋_GB2312" w:hAnsi="仿宋_GB2312" w:eastAsia="仿宋_GB2312"/>
                <w:b w:val="0"/>
                <w:color w:val="000000"/>
                <w:sz w:val="32"/>
              </w:rPr>
              <w:t>1.96亿条/年</w:t>
            </w:r>
          </w:p>
        </w:tc>
        <w:tc>
          <w:tcPr>
            <w:tcW w:type="dxa" w:w="3118"/>
          </w:tcPr>
          <w:p>
            <w:pPr>
              <w:spacing w:lineRule="exact" w:line="600"/>
              <w:jc w:val="center"/>
            </w:pPr>
            <w:r/>
            <w:r>
              <w:rPr>
                <w:rFonts w:ascii="仿宋_GB2312" w:hAnsi="仿宋_GB2312" w:eastAsia="仿宋_GB2312"/>
                <w:b w:val="0"/>
                <w:color w:val="000000"/>
                <w:sz w:val="32"/>
              </w:rPr>
              <w:t>广饶县，2025</w:t>
            </w:r>
          </w:p>
        </w:tc>
      </w:tr>
      <w:tr>
        <w:tc>
          <w:tcPr>
            <w:tcW w:type="dxa" w:w="2835"/>
          </w:tcPr>
          <w:p>
            <w:pPr>
              <w:spacing w:lineRule="exact" w:line="600"/>
              <w:jc w:val="center"/>
            </w:pPr>
            <w:r/>
            <w:r>
              <w:rPr>
                <w:rFonts w:ascii="仿宋_GB2312" w:hAnsi="仿宋_GB2312" w:eastAsia="仿宋_GB2312"/>
                <w:b w:val="0"/>
                <w:color w:val="000000"/>
                <w:sz w:val="32"/>
              </w:rPr>
              <w:t>循环产业园面积</w:t>
            </w:r>
          </w:p>
        </w:tc>
        <w:tc>
          <w:tcPr>
            <w:tcW w:type="dxa" w:w="2835"/>
          </w:tcPr>
          <w:p>
            <w:pPr>
              <w:spacing w:lineRule="exact" w:line="600"/>
              <w:jc w:val="center"/>
            </w:pPr>
            <w:r/>
            <w:r>
              <w:rPr>
                <w:rFonts w:ascii="仿宋_GB2312" w:hAnsi="仿宋_GB2312" w:eastAsia="仿宋_GB2312"/>
                <w:b w:val="0"/>
                <w:color w:val="000000"/>
                <w:sz w:val="32"/>
              </w:rPr>
              <w:t>23.3平方公里</w:t>
            </w:r>
          </w:p>
        </w:tc>
        <w:tc>
          <w:tcPr>
            <w:tcW w:type="dxa" w:w="3118"/>
          </w:tcPr>
          <w:p>
            <w:pPr>
              <w:spacing w:lineRule="exact" w:line="600"/>
              <w:jc w:val="center"/>
            </w:pPr>
            <w:r/>
            <w:r>
              <w:rPr>
                <w:rFonts w:ascii="仿宋_GB2312" w:hAnsi="仿宋_GB2312" w:eastAsia="仿宋_GB2312"/>
                <w:b w:val="0"/>
                <w:color w:val="000000"/>
                <w:sz w:val="32"/>
              </w:rPr>
              <w:t>广饶县规划</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（一）上游材料政策导向</w:t>
      </w:r>
    </w:p>
    <w:p>
      <w:pPr>
        <w:spacing w:lineRule="exact" w:line="600" w:before="0" w:after="0"/>
        <w:ind w:firstLine="420"/>
        <w:jc w:val="both"/>
      </w:pPr>
      <w:r>
        <w:rPr>
          <w:rFonts w:ascii="仿宋_GB2312" w:hAnsi="仿宋_GB2312" w:eastAsia="仿宋_GB2312"/>
          <w:b w:val="0"/>
          <w:color w:val="000000"/>
          <w:sz w:val="32"/>
        </w:rPr>
        <w:t>2022年10月山东省工信厅等五部门印发《山东省化工行业投资项目管理规定》，明确橡胶制品业项目可在认定的化工园区、专业化工园区和重点监控点外实施且不受投资额限制，为合成橡胶、炭黑、助剂等配套材料就近布局提供政策便利。2023年《东营市橡胶轮胎产业发展规划》将合成橡胶、骨架材料列为重点补强方向，鼓励集中碳四资源发展丁苯橡胶、丁基橡胶、丁腈橡胶、异戊橡胶、SBS及SEBS等，建设国内领先的碳四深加工产业链。</w:t>
      </w:r>
    </w:p>
    <w:p>
      <w:pPr>
        <w:spacing w:lineRule="exact" w:line="600" w:before="120" w:after="120"/>
        <w:ind w:firstLine="420"/>
        <w:jc w:val="left"/>
      </w:pPr>
      <w:r>
        <w:rPr>
          <w:rFonts w:ascii="楷体_GB2312" w:hAnsi="楷体_GB2312" w:eastAsia="楷体_GB2312"/>
          <w:b w:val="0"/>
          <w:color w:val="000000"/>
          <w:sz w:val="32"/>
        </w:rPr>
        <w:t>（二）区域配套定位</w:t>
      </w:r>
    </w:p>
    <w:p>
      <w:pPr>
        <w:spacing w:lineRule="exact" w:line="600" w:before="0" w:after="0"/>
        <w:ind w:firstLine="420"/>
        <w:jc w:val="both"/>
      </w:pPr>
      <w:r>
        <w:rPr>
          <w:rFonts w:ascii="仿宋_GB2312" w:hAnsi="仿宋_GB2312" w:eastAsia="仿宋_GB2312"/>
          <w:b w:val="0"/>
          <w:color w:val="000000"/>
          <w:sz w:val="32"/>
        </w:rPr>
        <w:t>广饶以轮胎制造为核心，配套材料是「20公里配套圈」的重要组成部分。规划提出打造「20公里配套圈」、本地配套率75%，推动橡胶、石化产业耦合发展，补齐高性能合成橡胶、橡胶助剂短板，实现能源资源梯级利用与产业循环衔接。骨架材料中钢丝帘线、帘子布曾是上游关键缺口，通过兴达钢帘线、盛润通工业布等项目已实现「隔墙供应、就近配套」。</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政策要点</w:t>
            </w:r>
          </w:p>
        </w:tc>
        <w:tc>
          <w:tcPr>
            <w:tcW w:type="dxa" w:w="3685"/>
          </w:tcPr>
          <w:p>
            <w:pPr>
              <w:spacing w:lineRule="exact" w:line="600"/>
              <w:jc w:val="center"/>
            </w:pPr>
            <w:r/>
            <w:r>
              <w:rPr>
                <w:rFonts w:ascii="黑体" w:hAnsi="黑体" w:eastAsia="黑体"/>
                <w:b/>
                <w:color w:val="000000"/>
                <w:sz w:val="32"/>
              </w:rPr>
              <w:t>对配套材料影响</w:t>
            </w:r>
          </w:p>
        </w:tc>
        <w:tc>
          <w:tcPr>
            <w:tcW w:type="dxa" w:w="2551"/>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省化工投资管理规定</w:t>
            </w:r>
          </w:p>
        </w:tc>
        <w:tc>
          <w:tcPr>
            <w:tcW w:type="dxa" w:w="3685"/>
          </w:tcPr>
          <w:p>
            <w:pPr>
              <w:spacing w:lineRule="exact" w:line="600"/>
              <w:jc w:val="center"/>
            </w:pPr>
            <w:r/>
            <w:r>
              <w:rPr>
                <w:rFonts w:ascii="仿宋_GB2312" w:hAnsi="仿宋_GB2312" w:eastAsia="仿宋_GB2312"/>
                <w:b w:val="0"/>
                <w:color w:val="000000"/>
                <w:sz w:val="32"/>
              </w:rPr>
              <w:t>橡胶制品项目可园外、不限投资</w:t>
            </w:r>
          </w:p>
        </w:tc>
        <w:tc>
          <w:tcPr>
            <w:tcW w:type="dxa" w:w="2551"/>
          </w:tcPr>
          <w:p>
            <w:pPr>
              <w:spacing w:lineRule="exact" w:line="600"/>
              <w:jc w:val="center"/>
            </w:pPr>
            <w:r/>
            <w:r>
              <w:rPr>
                <w:rFonts w:ascii="仿宋_GB2312" w:hAnsi="仿宋_GB2312" w:eastAsia="仿宋_GB2312"/>
                <w:b w:val="0"/>
                <w:color w:val="000000"/>
                <w:sz w:val="32"/>
              </w:rPr>
              <w:t>省工信厅等五部门，2022.10</w:t>
            </w:r>
          </w:p>
        </w:tc>
      </w:tr>
      <w:tr>
        <w:tc>
          <w:tcPr>
            <w:tcW w:type="dxa" w:w="2835"/>
          </w:tcPr>
          <w:p>
            <w:pPr>
              <w:spacing w:lineRule="exact" w:line="600"/>
              <w:jc w:val="center"/>
            </w:pPr>
            <w:r/>
            <w:r>
              <w:rPr>
                <w:rFonts w:ascii="仿宋_GB2312" w:hAnsi="仿宋_GB2312" w:eastAsia="仿宋_GB2312"/>
                <w:b w:val="0"/>
                <w:color w:val="000000"/>
                <w:sz w:val="32"/>
              </w:rPr>
              <w:t>东营市产业规划</w:t>
            </w:r>
          </w:p>
        </w:tc>
        <w:tc>
          <w:tcPr>
            <w:tcW w:type="dxa" w:w="3685"/>
          </w:tcPr>
          <w:p>
            <w:pPr>
              <w:spacing w:lineRule="exact" w:line="600"/>
              <w:jc w:val="center"/>
            </w:pPr>
            <w:r/>
            <w:r>
              <w:rPr>
                <w:rFonts w:ascii="仿宋_GB2312" w:hAnsi="仿宋_GB2312" w:eastAsia="仿宋_GB2312"/>
                <w:b w:val="0"/>
                <w:color w:val="000000"/>
                <w:sz w:val="32"/>
              </w:rPr>
              <w:t>重点发展合成橡胶/骨架材料</w:t>
            </w:r>
          </w:p>
        </w:tc>
        <w:tc>
          <w:tcPr>
            <w:tcW w:type="dxa" w:w="2551"/>
          </w:tcPr>
          <w:p>
            <w:pPr>
              <w:spacing w:lineRule="exact" w:line="600"/>
              <w:jc w:val="center"/>
            </w:pPr>
            <w:r/>
            <w:r>
              <w:rPr>
                <w:rFonts w:ascii="仿宋_GB2312" w:hAnsi="仿宋_GB2312" w:eastAsia="仿宋_GB2312"/>
                <w:b w:val="0"/>
                <w:color w:val="000000"/>
                <w:sz w:val="32"/>
              </w:rPr>
              <w:t>东工信字〔2024〕48号</w:t>
            </w:r>
          </w:p>
        </w:tc>
      </w:tr>
      <w:tr>
        <w:tc>
          <w:tcPr>
            <w:tcW w:type="dxa" w:w="2835"/>
          </w:tcPr>
          <w:p>
            <w:pPr>
              <w:spacing w:lineRule="exact" w:line="600"/>
              <w:jc w:val="center"/>
            </w:pPr>
            <w:r/>
            <w:r>
              <w:rPr>
                <w:rFonts w:ascii="仿宋_GB2312" w:hAnsi="仿宋_GB2312" w:eastAsia="仿宋_GB2312"/>
                <w:b w:val="0"/>
                <w:color w:val="000000"/>
                <w:sz w:val="32"/>
              </w:rPr>
              <w:t>20公里配套圈</w:t>
            </w:r>
          </w:p>
        </w:tc>
        <w:tc>
          <w:tcPr>
            <w:tcW w:type="dxa" w:w="3685"/>
          </w:tcPr>
          <w:p>
            <w:pPr>
              <w:spacing w:lineRule="exact" w:line="600"/>
              <w:jc w:val="center"/>
            </w:pPr>
            <w:r/>
            <w:r>
              <w:rPr>
                <w:rFonts w:ascii="仿宋_GB2312" w:hAnsi="仿宋_GB2312" w:eastAsia="仿宋_GB2312"/>
                <w:b w:val="0"/>
                <w:color w:val="000000"/>
                <w:sz w:val="32"/>
              </w:rPr>
              <w:t>本地配套率目标75%</w:t>
            </w:r>
          </w:p>
        </w:tc>
        <w:tc>
          <w:tcPr>
            <w:tcW w:type="dxa" w:w="2551"/>
          </w:tcPr>
          <w:p>
            <w:pPr>
              <w:spacing w:lineRule="exact" w:line="600"/>
              <w:jc w:val="center"/>
            </w:pPr>
            <w:r/>
            <w:r>
              <w:rPr>
                <w:rFonts w:ascii="仿宋_GB2312" w:hAnsi="仿宋_GB2312" w:eastAsia="仿宋_GB2312"/>
                <w:b w:val="0"/>
                <w:color w:val="000000"/>
                <w:sz w:val="32"/>
              </w:rPr>
              <w:t>东营市，2024</w:t>
            </w:r>
          </w:p>
        </w:tc>
      </w:tr>
      <w:tr>
        <w:tc>
          <w:tcPr>
            <w:tcW w:type="dxa" w:w="2835"/>
          </w:tcPr>
          <w:p>
            <w:pPr>
              <w:spacing w:lineRule="exact" w:line="600"/>
              <w:jc w:val="center"/>
            </w:pPr>
            <w:r/>
            <w:r>
              <w:rPr>
                <w:rFonts w:ascii="仿宋_GB2312" w:hAnsi="仿宋_GB2312" w:eastAsia="仿宋_GB2312"/>
                <w:b w:val="0"/>
                <w:color w:val="000000"/>
                <w:sz w:val="32"/>
              </w:rPr>
              <w:t>石化耦合</w:t>
            </w:r>
          </w:p>
        </w:tc>
        <w:tc>
          <w:tcPr>
            <w:tcW w:type="dxa" w:w="3685"/>
          </w:tcPr>
          <w:p>
            <w:pPr>
              <w:spacing w:lineRule="exact" w:line="600"/>
              <w:jc w:val="center"/>
            </w:pPr>
            <w:r/>
            <w:r>
              <w:rPr>
                <w:rFonts w:ascii="仿宋_GB2312" w:hAnsi="仿宋_GB2312" w:eastAsia="仿宋_GB2312"/>
                <w:b w:val="0"/>
                <w:color w:val="000000"/>
                <w:sz w:val="32"/>
              </w:rPr>
              <w:t>补齐高性能合成橡胶短板</w:t>
            </w:r>
          </w:p>
        </w:tc>
        <w:tc>
          <w:tcPr>
            <w:tcW w:type="dxa" w:w="2551"/>
          </w:tcPr>
          <w:p>
            <w:pPr>
              <w:spacing w:lineRule="exact" w:line="600"/>
              <w:jc w:val="center"/>
            </w:pPr>
            <w:r/>
            <w:r>
              <w:rPr>
                <w:rFonts w:ascii="仿宋_GB2312" w:hAnsi="仿宋_GB2312" w:eastAsia="仿宋_GB2312"/>
                <w:b w:val="0"/>
                <w:color w:val="000000"/>
                <w:sz w:val="32"/>
              </w:rPr>
              <w:t>东营市规划</w:t>
            </w:r>
          </w:p>
        </w:tc>
      </w:tr>
    </w:tbl>
    <w:p>
      <w:pPr>
        <w:spacing w:lineRule="exact" w:line="600" w:before="120" w:after="120"/>
        <w:ind w:firstLine="420"/>
        <w:jc w:val="left"/>
      </w:pPr>
      <w:r>
        <w:rPr>
          <w:rFonts w:ascii="楷体_GB2312" w:hAnsi="楷体_GB2312" w:eastAsia="楷体_GB2312"/>
          <w:b w:val="0"/>
          <w:color w:val="000000"/>
          <w:sz w:val="32"/>
        </w:rPr>
        <w:t>县域经济与工业底盘（本批真实数据补充·来源见正文）</w:t>
      </w:r>
    </w:p>
    <w:p>
      <w:pPr>
        <w:spacing w:lineRule="exact" w:line="600" w:before="0" w:after="0"/>
        <w:ind w:firstLine="420"/>
        <w:jc w:val="both"/>
      </w:pPr>
      <w:r>
        <w:rPr>
          <w:rFonts w:ascii="仿宋_GB2312" w:hAnsi="仿宋_GB2312" w:eastAsia="仿宋_GB2312"/>
          <w:b w:val="0"/>
          <w:color w:val="000000"/>
          <w:sz w:val="32"/>
        </w:rPr>
        <w:t>广饶县是山东工业强县、中国工业百强县。2024年全县实现地区生产总值951.6亿元、增长6.7%，一般公共预算收入61.3亿元、增长6%；规上工业企业298家，营业收入2705.3亿元；进出口总额787.4亿元，占全市近三分之一。橡胶轮胎为全县第一支柱产业。（来源：广饶县政府2025年政府工作报告、山东省发改委2025年县域总部经济典型经验）</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551"/>
          </w:tcPr>
          <w:p>
            <w:pPr>
              <w:spacing w:lineRule="exact" w:line="600"/>
              <w:jc w:val="center"/>
            </w:pPr>
            <w:r/>
            <w:r>
              <w:rPr>
                <w:rFonts w:ascii="仿宋_GB2312" w:hAnsi="仿宋_GB2312" w:eastAsia="仿宋_GB2312"/>
                <w:b w:val="0"/>
                <w:color w:val="000000"/>
                <w:sz w:val="32"/>
              </w:rPr>
              <w:t>地区生产总值</w:t>
            </w:r>
          </w:p>
        </w:tc>
        <w:tc>
          <w:tcPr>
            <w:tcW w:type="dxa" w:w="3118"/>
          </w:tcPr>
          <w:p>
            <w:pPr>
              <w:spacing w:lineRule="exact" w:line="600"/>
              <w:jc w:val="center"/>
            </w:pPr>
            <w:r/>
            <w:r>
              <w:rPr>
                <w:rFonts w:ascii="仿宋_GB2312" w:hAnsi="仿宋_GB2312" w:eastAsia="仿宋_GB2312"/>
                <w:b w:val="0"/>
                <w:color w:val="000000"/>
                <w:sz w:val="32"/>
              </w:rPr>
              <w:t>951.6亿元（增长6.7%）</w:t>
            </w:r>
          </w:p>
        </w:tc>
        <w:tc>
          <w:tcPr>
            <w:tcW w:type="dxa" w:w="3118"/>
          </w:tcPr>
          <w:p>
            <w:pPr>
              <w:spacing w:lineRule="exact" w:line="600"/>
              <w:jc w:val="center"/>
            </w:pPr>
            <w:r/>
            <w:r>
              <w:rPr>
                <w:rFonts w:ascii="仿宋_GB2312" w:hAnsi="仿宋_GB2312" w:eastAsia="仿宋_GB2312"/>
                <w:b w:val="0"/>
                <w:color w:val="000000"/>
                <w:sz w:val="32"/>
              </w:rPr>
              <w:t>广饶县2025政府工作报告</w:t>
            </w:r>
          </w:p>
        </w:tc>
      </w:tr>
      <w:tr>
        <w:tc>
          <w:tcPr>
            <w:tcW w:type="dxa" w:w="2551"/>
          </w:tcPr>
          <w:p>
            <w:pPr>
              <w:spacing w:lineRule="exact" w:line="600"/>
              <w:jc w:val="center"/>
            </w:pPr>
            <w:r/>
            <w:r>
              <w:rPr>
                <w:rFonts w:ascii="仿宋_GB2312" w:hAnsi="仿宋_GB2312" w:eastAsia="仿宋_GB2312"/>
                <w:b w:val="0"/>
                <w:color w:val="000000"/>
                <w:sz w:val="32"/>
              </w:rPr>
              <w:t>规上工业企业营业收入</w:t>
            </w:r>
          </w:p>
        </w:tc>
        <w:tc>
          <w:tcPr>
            <w:tcW w:type="dxa" w:w="3118"/>
          </w:tcPr>
          <w:p>
            <w:pPr>
              <w:spacing w:lineRule="exact" w:line="600"/>
              <w:jc w:val="center"/>
            </w:pPr>
            <w:r/>
            <w:r>
              <w:rPr>
                <w:rFonts w:ascii="仿宋_GB2312" w:hAnsi="仿宋_GB2312" w:eastAsia="仿宋_GB2312"/>
                <w:b w:val="0"/>
                <w:color w:val="000000"/>
                <w:sz w:val="32"/>
              </w:rPr>
              <w:t>2705.3亿元</w:t>
            </w:r>
          </w:p>
        </w:tc>
        <w:tc>
          <w:tcPr>
            <w:tcW w:type="dxa" w:w="3118"/>
          </w:tcPr>
          <w:p>
            <w:pPr>
              <w:spacing w:lineRule="exact" w:line="600"/>
              <w:jc w:val="center"/>
            </w:pPr>
            <w:r/>
            <w:r>
              <w:rPr>
                <w:rFonts w:ascii="仿宋_GB2312" w:hAnsi="仿宋_GB2312" w:eastAsia="仿宋_GB2312"/>
                <w:b w:val="0"/>
                <w:color w:val="000000"/>
                <w:sz w:val="32"/>
              </w:rPr>
              <w:t>山东省发改委2025典型经验</w:t>
            </w:r>
          </w:p>
        </w:tc>
      </w:tr>
      <w:tr>
        <w:tc>
          <w:tcPr>
            <w:tcW w:type="dxa" w:w="2551"/>
          </w:tcPr>
          <w:p>
            <w:pPr>
              <w:spacing w:lineRule="exact" w:line="600"/>
              <w:jc w:val="center"/>
            </w:pPr>
            <w:r/>
            <w:r>
              <w:rPr>
                <w:rFonts w:ascii="仿宋_GB2312" w:hAnsi="仿宋_GB2312" w:eastAsia="仿宋_GB2312"/>
                <w:b w:val="0"/>
                <w:color w:val="000000"/>
                <w:sz w:val="32"/>
              </w:rPr>
              <w:t>进出口总额</w:t>
            </w:r>
          </w:p>
        </w:tc>
        <w:tc>
          <w:tcPr>
            <w:tcW w:type="dxa" w:w="3118"/>
          </w:tcPr>
          <w:p>
            <w:pPr>
              <w:spacing w:lineRule="exact" w:line="600"/>
              <w:jc w:val="center"/>
            </w:pPr>
            <w:r/>
            <w:r>
              <w:rPr>
                <w:rFonts w:ascii="仿宋_GB2312" w:hAnsi="仿宋_GB2312" w:eastAsia="仿宋_GB2312"/>
                <w:b w:val="0"/>
                <w:color w:val="000000"/>
                <w:sz w:val="32"/>
              </w:rPr>
              <w:t>787.4亿元</w:t>
            </w:r>
          </w:p>
        </w:tc>
        <w:tc>
          <w:tcPr>
            <w:tcW w:type="dxa" w:w="3118"/>
          </w:tcPr>
          <w:p>
            <w:pPr>
              <w:spacing w:lineRule="exact" w:line="600"/>
              <w:jc w:val="center"/>
            </w:pPr>
            <w:r/>
            <w:r>
              <w:rPr>
                <w:rFonts w:ascii="仿宋_GB2312" w:hAnsi="仿宋_GB2312" w:eastAsia="仿宋_GB2312"/>
                <w:b w:val="0"/>
                <w:color w:val="000000"/>
                <w:sz w:val="32"/>
              </w:rPr>
              <w:t>广饶县2025政府工作报告</w:t>
            </w:r>
          </w:p>
        </w:tc>
      </w:tr>
      <w:tr>
        <w:tc>
          <w:tcPr>
            <w:tcW w:type="dxa" w:w="2551"/>
          </w:tcPr>
          <w:p>
            <w:pPr>
              <w:spacing w:lineRule="exact" w:line="600"/>
              <w:jc w:val="center"/>
            </w:pPr>
            <w:r/>
            <w:r>
              <w:rPr>
                <w:rFonts w:ascii="仿宋_GB2312" w:hAnsi="仿宋_GB2312" w:eastAsia="仿宋_GB2312"/>
                <w:b w:val="0"/>
                <w:color w:val="000000"/>
                <w:sz w:val="32"/>
              </w:rPr>
              <w:t>中国民营企业500强</w:t>
            </w:r>
          </w:p>
        </w:tc>
        <w:tc>
          <w:tcPr>
            <w:tcW w:type="dxa" w:w="3118"/>
          </w:tcPr>
          <w:p>
            <w:pPr>
              <w:spacing w:lineRule="exact" w:line="600"/>
              <w:jc w:val="center"/>
            </w:pPr>
            <w:r/>
            <w:r>
              <w:rPr>
                <w:rFonts w:ascii="仿宋_GB2312" w:hAnsi="仿宋_GB2312" w:eastAsia="仿宋_GB2312"/>
                <w:b w:val="0"/>
                <w:color w:val="000000"/>
                <w:sz w:val="32"/>
              </w:rPr>
              <w:t>7家（列全省各县区首位）</w:t>
            </w:r>
          </w:p>
        </w:tc>
        <w:tc>
          <w:tcPr>
            <w:tcW w:type="dxa" w:w="3118"/>
          </w:tcPr>
          <w:p>
            <w:pPr>
              <w:spacing w:lineRule="exact" w:line="600"/>
              <w:jc w:val="center"/>
            </w:pPr>
            <w:r/>
            <w:r>
              <w:rPr>
                <w:rFonts w:ascii="仿宋_GB2312" w:hAnsi="仿宋_GB2312" w:eastAsia="仿宋_GB2312"/>
                <w:b w:val="0"/>
                <w:color w:val="000000"/>
                <w:sz w:val="32"/>
              </w:rPr>
              <w:t>山东省发改委2025典型经验</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（一）合成橡胶环节</w:t>
      </w:r>
    </w:p>
    <w:p>
      <w:pPr>
        <w:spacing w:lineRule="exact" w:line="600" w:before="0" w:after="0"/>
        <w:ind w:firstLine="420"/>
        <w:jc w:val="both"/>
      </w:pPr>
      <w:r>
        <w:rPr>
          <w:rFonts w:ascii="仿宋_GB2312" w:hAnsi="仿宋_GB2312" w:eastAsia="仿宋_GB2312"/>
          <w:b w:val="0"/>
          <w:color w:val="000000"/>
          <w:sz w:val="32"/>
        </w:rPr>
        <w:t>合成橡胶是轮胎胎面与胎侧主要胶料之一，与天然橡胶并用。东营规划依托碳四资源发展丁苯橡胶（SBR）、丁基橡胶（IIR）、丁腈橡胶（NBR）、异戊橡胶（IR）、SBS及SEBS等，探索感光、导电、磁性、亲水、形状记忆等功能性橡胶。目前广饶本地合成橡胶产能相对有限，部分依赖外部采购与周边炼化企业供应，是补链重点。山东宏盛橡胶科技等企业经营天然橡胶、复合橡胶、合成橡胶贸易，服务本地轮胎企业。</w:t>
      </w:r>
    </w:p>
    <w:p>
      <w:pPr>
        <w:spacing w:lineRule="exact" w:line="600" w:before="120" w:after="120"/>
        <w:ind w:firstLine="420"/>
        <w:jc w:val="left"/>
      </w:pPr>
      <w:r>
        <w:rPr>
          <w:rFonts w:ascii="楷体_GB2312" w:hAnsi="楷体_GB2312" w:eastAsia="楷体_GB2312"/>
          <w:b w:val="0"/>
          <w:color w:val="000000"/>
          <w:sz w:val="32"/>
        </w:rPr>
        <w:t>（二）骨架材料环节</w:t>
      </w:r>
    </w:p>
    <w:p>
      <w:pPr>
        <w:spacing w:lineRule="exact" w:line="600" w:before="0" w:after="0"/>
        <w:ind w:firstLine="420"/>
        <w:jc w:val="both"/>
      </w:pPr>
      <w:r>
        <w:rPr>
          <w:rFonts w:ascii="仿宋_GB2312" w:hAnsi="仿宋_GB2312" w:eastAsia="仿宋_GB2312"/>
          <w:b w:val="0"/>
          <w:color w:val="000000"/>
          <w:sz w:val="32"/>
        </w:rPr>
        <w:t>骨架材料包括钢丝帘线、胎圈钢丝与帘子布（工业布），是轮胎的「骨骼」。江苏兴达钢帘线落户广饶，与兴源轮胎合资成立山东兴达钢帘线有限公司，已建成年产10万吨钢帘线，并推进10万吨/年胎圈钢丝、7.5万吨/年钢丝帘线项目，单体规模国内最大、智能化水平行业最高。山东盛润通纺织科技2022年成立，投资3.5万吨/年高端轮胎工业布项目，二期2024年6月底竣工，完全达产可实现年销售收入5亿元以上、利税2700万元以上，补强帘子布短板。</w:t>
      </w:r>
    </w:p>
    <w:p>
      <w:pPr>
        <w:spacing w:lineRule="exact" w:line="600" w:before="120" w:after="120"/>
        <w:ind w:firstLine="420"/>
        <w:jc w:val="left"/>
      </w:pPr>
      <w:r>
        <w:rPr>
          <w:rFonts w:ascii="楷体_GB2312" w:hAnsi="楷体_GB2312" w:eastAsia="楷体_GB2312"/>
          <w:b w:val="0"/>
          <w:color w:val="000000"/>
          <w:sz w:val="32"/>
        </w:rPr>
        <w:t>（三）补强填料与助剂</w:t>
      </w:r>
    </w:p>
    <w:p>
      <w:pPr>
        <w:spacing w:lineRule="exact" w:line="600" w:before="0" w:after="0"/>
        <w:ind w:firstLine="420"/>
        <w:jc w:val="both"/>
      </w:pPr>
      <w:r>
        <w:rPr>
          <w:rFonts w:ascii="仿宋_GB2312" w:hAnsi="仿宋_GB2312" w:eastAsia="仿宋_GB2312"/>
          <w:b w:val="0"/>
          <w:color w:val="000000"/>
          <w:sz w:val="32"/>
        </w:rPr>
        <w:t>炭黑与白炭黑是主要补强填料，橡胶助剂决定硫化、防老等性能。烁元新材料为炭黑领域国家级专精特新「小巨人」，与轮胎企业协同研发，平台累计助力解决行业共性技术难题17项。规划鼓励发展降低滚阻的高分散白炭黑、碳纳米材料，推广符合欧盟REACH法规的绿色环保助剂，依托东润新材料加快高性能树脂产业化。轮胎模具、胶囊等也形成本地配套。</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配套材料类别</w:t>
            </w:r>
          </w:p>
        </w:tc>
        <w:tc>
          <w:tcPr>
            <w:tcW w:type="dxa" w:w="3685"/>
          </w:tcPr>
          <w:p>
            <w:pPr>
              <w:spacing w:lineRule="exact" w:line="600"/>
              <w:jc w:val="center"/>
            </w:pPr>
            <w:r/>
            <w:r>
              <w:rPr>
                <w:rFonts w:ascii="黑体" w:hAnsi="黑体" w:eastAsia="黑体"/>
                <w:b/>
                <w:color w:val="000000"/>
                <w:sz w:val="32"/>
              </w:rPr>
              <w:t>代表产能/企业</w:t>
            </w:r>
          </w:p>
        </w:tc>
        <w:tc>
          <w:tcPr>
            <w:tcW w:type="dxa" w:w="3402"/>
          </w:tcPr>
          <w:p>
            <w:pPr>
              <w:spacing w:lineRule="exact" w:line="600"/>
              <w:jc w:val="center"/>
            </w:pPr>
            <w:r/>
            <w:r>
              <w:rPr>
                <w:rFonts w:ascii="黑体" w:hAnsi="黑体" w:eastAsia="黑体"/>
                <w:b/>
                <w:color w:val="000000"/>
                <w:sz w:val="32"/>
              </w:rPr>
              <w:t>环节地位</w:t>
            </w:r>
          </w:p>
        </w:tc>
      </w:tr>
      <w:tr>
        <w:tc>
          <w:tcPr>
            <w:tcW w:type="dxa" w:w="1984"/>
          </w:tcPr>
          <w:p>
            <w:pPr>
              <w:spacing w:lineRule="exact" w:line="600"/>
              <w:jc w:val="center"/>
            </w:pPr>
            <w:r/>
            <w:r>
              <w:rPr>
                <w:rFonts w:ascii="仿宋_GB2312" w:hAnsi="仿宋_GB2312" w:eastAsia="仿宋_GB2312"/>
                <w:b w:val="0"/>
                <w:color w:val="000000"/>
                <w:sz w:val="32"/>
              </w:rPr>
              <w:t>钢丝帘线/胎圈钢丝</w:t>
            </w:r>
          </w:p>
        </w:tc>
        <w:tc>
          <w:tcPr>
            <w:tcW w:type="dxa" w:w="3685"/>
          </w:tcPr>
          <w:p>
            <w:pPr>
              <w:spacing w:lineRule="exact" w:line="600"/>
              <w:jc w:val="center"/>
            </w:pPr>
            <w:r/>
            <w:r>
              <w:rPr>
                <w:rFonts w:ascii="仿宋_GB2312" w:hAnsi="仿宋_GB2312" w:eastAsia="仿宋_GB2312"/>
                <w:b w:val="0"/>
                <w:color w:val="000000"/>
                <w:sz w:val="32"/>
              </w:rPr>
              <w:t>兴达10万吨+10万吨+7.5万吨</w:t>
            </w:r>
          </w:p>
        </w:tc>
        <w:tc>
          <w:tcPr>
            <w:tcW w:type="dxa" w:w="3402"/>
          </w:tcPr>
          <w:p>
            <w:pPr>
              <w:spacing w:lineRule="exact" w:line="600"/>
              <w:jc w:val="center"/>
            </w:pPr>
            <w:r/>
            <w:r>
              <w:rPr>
                <w:rFonts w:ascii="仿宋_GB2312" w:hAnsi="仿宋_GB2312" w:eastAsia="仿宋_GB2312"/>
                <w:b w:val="0"/>
                <w:color w:val="000000"/>
                <w:sz w:val="32"/>
              </w:rPr>
              <w:t>骨架材料龙头</w:t>
            </w:r>
          </w:p>
        </w:tc>
      </w:tr>
      <w:tr>
        <w:tc>
          <w:tcPr>
            <w:tcW w:type="dxa" w:w="1984"/>
          </w:tcPr>
          <w:p>
            <w:pPr>
              <w:spacing w:lineRule="exact" w:line="600"/>
              <w:jc w:val="center"/>
            </w:pPr>
            <w:r/>
            <w:r>
              <w:rPr>
                <w:rFonts w:ascii="仿宋_GB2312" w:hAnsi="仿宋_GB2312" w:eastAsia="仿宋_GB2312"/>
                <w:b w:val="0"/>
                <w:color w:val="000000"/>
                <w:sz w:val="32"/>
              </w:rPr>
              <w:t>帘子布（工业布）</w:t>
            </w:r>
          </w:p>
        </w:tc>
        <w:tc>
          <w:tcPr>
            <w:tcW w:type="dxa" w:w="3685"/>
          </w:tcPr>
          <w:p>
            <w:pPr>
              <w:spacing w:lineRule="exact" w:line="600"/>
              <w:jc w:val="center"/>
            </w:pPr>
            <w:r/>
            <w:r>
              <w:rPr>
                <w:rFonts w:ascii="仿宋_GB2312" w:hAnsi="仿宋_GB2312" w:eastAsia="仿宋_GB2312"/>
                <w:b w:val="0"/>
                <w:color w:val="000000"/>
                <w:sz w:val="32"/>
              </w:rPr>
              <w:t>盛润通3.5万吨/年</w:t>
            </w:r>
          </w:p>
        </w:tc>
        <w:tc>
          <w:tcPr>
            <w:tcW w:type="dxa" w:w="3402"/>
          </w:tcPr>
          <w:p>
            <w:pPr>
              <w:spacing w:lineRule="exact" w:line="600"/>
              <w:jc w:val="center"/>
            </w:pPr>
            <w:r/>
            <w:r>
              <w:rPr>
                <w:rFonts w:ascii="仿宋_GB2312" w:hAnsi="仿宋_GB2312" w:eastAsia="仿宋_GB2312"/>
                <w:b w:val="0"/>
                <w:color w:val="000000"/>
                <w:sz w:val="32"/>
              </w:rPr>
              <w:t>补强帘布短板</w:t>
            </w:r>
          </w:p>
        </w:tc>
      </w:tr>
      <w:tr>
        <w:tc>
          <w:tcPr>
            <w:tcW w:type="dxa" w:w="1984"/>
          </w:tcPr>
          <w:p>
            <w:pPr>
              <w:spacing w:lineRule="exact" w:line="600"/>
              <w:jc w:val="center"/>
            </w:pPr>
            <w:r/>
            <w:r>
              <w:rPr>
                <w:rFonts w:ascii="仿宋_GB2312" w:hAnsi="仿宋_GB2312" w:eastAsia="仿宋_GB2312"/>
                <w:b w:val="0"/>
                <w:color w:val="000000"/>
                <w:sz w:val="32"/>
              </w:rPr>
              <w:t>炭黑/补强填料</w:t>
            </w:r>
          </w:p>
        </w:tc>
        <w:tc>
          <w:tcPr>
            <w:tcW w:type="dxa" w:w="3685"/>
          </w:tcPr>
          <w:p>
            <w:pPr>
              <w:spacing w:lineRule="exact" w:line="600"/>
              <w:jc w:val="center"/>
            </w:pPr>
            <w:r/>
            <w:r>
              <w:rPr>
                <w:rFonts w:ascii="仿宋_GB2312" w:hAnsi="仿宋_GB2312" w:eastAsia="仿宋_GB2312"/>
                <w:b w:val="0"/>
                <w:color w:val="000000"/>
                <w:sz w:val="32"/>
              </w:rPr>
              <w:t>烁元新材料（小巨人）</w:t>
            </w:r>
          </w:p>
        </w:tc>
        <w:tc>
          <w:tcPr>
            <w:tcW w:type="dxa" w:w="3402"/>
          </w:tcPr>
          <w:p>
            <w:pPr>
              <w:spacing w:lineRule="exact" w:line="600"/>
              <w:jc w:val="center"/>
            </w:pPr>
            <w:r/>
            <w:r>
              <w:rPr>
                <w:rFonts w:ascii="仿宋_GB2312" w:hAnsi="仿宋_GB2312" w:eastAsia="仿宋_GB2312"/>
                <w:b w:val="0"/>
                <w:color w:val="000000"/>
                <w:sz w:val="32"/>
              </w:rPr>
              <w:t>补强填料</w:t>
            </w:r>
          </w:p>
        </w:tc>
      </w:tr>
      <w:tr>
        <w:tc>
          <w:tcPr>
            <w:tcW w:type="dxa" w:w="1984"/>
          </w:tcPr>
          <w:p>
            <w:pPr>
              <w:spacing w:lineRule="exact" w:line="600"/>
              <w:jc w:val="center"/>
            </w:pPr>
            <w:r/>
            <w:r>
              <w:rPr>
                <w:rFonts w:ascii="仿宋_GB2312" w:hAnsi="仿宋_GB2312" w:eastAsia="仿宋_GB2312"/>
                <w:b w:val="0"/>
                <w:color w:val="000000"/>
                <w:sz w:val="32"/>
              </w:rPr>
              <w:t>合成橡胶</w:t>
            </w:r>
          </w:p>
        </w:tc>
        <w:tc>
          <w:tcPr>
            <w:tcW w:type="dxa" w:w="3685"/>
          </w:tcPr>
          <w:p>
            <w:pPr>
              <w:spacing w:lineRule="exact" w:line="600"/>
              <w:jc w:val="center"/>
            </w:pPr>
            <w:r/>
            <w:r>
              <w:rPr>
                <w:rFonts w:ascii="仿宋_GB2312" w:hAnsi="仿宋_GB2312" w:eastAsia="仿宋_GB2312"/>
                <w:b w:val="0"/>
                <w:color w:val="000000"/>
                <w:sz w:val="32"/>
              </w:rPr>
              <w:t>碳四深加工规划中</w:t>
            </w:r>
          </w:p>
        </w:tc>
        <w:tc>
          <w:tcPr>
            <w:tcW w:type="dxa" w:w="3402"/>
          </w:tcPr>
          <w:p>
            <w:pPr>
              <w:spacing w:lineRule="exact" w:line="600"/>
              <w:jc w:val="center"/>
            </w:pPr>
            <w:r/>
            <w:r>
              <w:rPr>
                <w:rFonts w:ascii="仿宋_GB2312" w:hAnsi="仿宋_GB2312" w:eastAsia="仿宋_GB2312"/>
                <w:b w:val="0"/>
                <w:color w:val="000000"/>
                <w:sz w:val="32"/>
              </w:rPr>
              <w:t>补链重点</w:t>
            </w:r>
          </w:p>
        </w:tc>
      </w:tr>
      <w:tr>
        <w:tc>
          <w:tcPr>
            <w:tcW w:type="dxa" w:w="1984"/>
          </w:tcPr>
          <w:p>
            <w:pPr>
              <w:spacing w:lineRule="exact" w:line="600"/>
              <w:jc w:val="center"/>
            </w:pPr>
            <w:r/>
            <w:r>
              <w:rPr>
                <w:rFonts w:ascii="仿宋_GB2312" w:hAnsi="仿宋_GB2312" w:eastAsia="仿宋_GB2312"/>
                <w:b w:val="0"/>
                <w:color w:val="000000"/>
                <w:sz w:val="32"/>
              </w:rPr>
              <w:t>橡胶助剂/模具</w:t>
            </w:r>
          </w:p>
        </w:tc>
        <w:tc>
          <w:tcPr>
            <w:tcW w:type="dxa" w:w="3685"/>
          </w:tcPr>
          <w:p>
            <w:pPr>
              <w:spacing w:lineRule="exact" w:line="600"/>
              <w:jc w:val="center"/>
            </w:pPr>
            <w:r/>
            <w:r>
              <w:rPr>
                <w:rFonts w:ascii="仿宋_GB2312" w:hAnsi="仿宋_GB2312" w:eastAsia="仿宋_GB2312"/>
                <w:b w:val="0"/>
                <w:color w:val="000000"/>
                <w:sz w:val="32"/>
              </w:rPr>
              <w:t>东润新材料等多家</w:t>
            </w:r>
          </w:p>
        </w:tc>
        <w:tc>
          <w:tcPr>
            <w:tcW w:type="dxa" w:w="3402"/>
          </w:tcPr>
          <w:p>
            <w:pPr>
              <w:spacing w:lineRule="exact" w:line="600"/>
              <w:jc w:val="center"/>
            </w:pPr>
            <w:r/>
            <w:r>
              <w:rPr>
                <w:rFonts w:ascii="仿宋_GB2312" w:hAnsi="仿宋_GB2312" w:eastAsia="仿宋_GB2312"/>
                <w:b w:val="0"/>
                <w:color w:val="000000"/>
                <w:sz w:val="32"/>
              </w:rPr>
              <w:t>配套协同</w:t>
            </w:r>
          </w:p>
        </w:tc>
      </w:tr>
    </w:tbl>
    <w:p>
      <w:pPr>
        <w:spacing w:lineRule="exact" w:line="600" w:before="120" w:after="120"/>
        <w:ind w:firstLine="420"/>
        <w:jc w:val="left"/>
      </w:pPr>
      <w:r>
        <w:rPr>
          <w:rFonts w:ascii="楷体_GB2312" w:hAnsi="楷体_GB2312" w:eastAsia="楷体_GB2312"/>
          <w:b w:val="0"/>
          <w:color w:val="000000"/>
          <w:sz w:val="32"/>
        </w:rPr>
        <w:t>全产业链配套格局（本批真实数据补充·来源见正文）</w:t>
      </w:r>
    </w:p>
    <w:p>
      <w:pPr>
        <w:spacing w:lineRule="exact" w:line="600" w:before="0" w:after="0"/>
        <w:ind w:firstLine="420"/>
        <w:jc w:val="both"/>
      </w:pPr>
      <w:r>
        <w:rPr>
          <w:rFonts w:ascii="仿宋_GB2312" w:hAnsi="仿宋_GB2312" w:eastAsia="仿宋_GB2312"/>
          <w:b w:val="0"/>
          <w:color w:val="000000"/>
          <w:sz w:val="32"/>
        </w:rPr>
        <w:t>广饶是全国最大的橡胶轮胎产品生产基地，已形成以橡胶轮胎为核心，集合成橡胶、橡胶助剂、骨架材料、炭黑、轮胎模具、轮胎胶囊等为一体的完备产业体系，构建起“20公里配套圈”，本地配套率达75%。东营市橡胶轮胎综合产能达2.67亿条/年（子午线轮胎1.94亿条/年），约占全省1/3、全国1/5；广饶县总产能2.46亿条（子午胎1.76亿条，约占全省1/2、全国1/4）。（来源：东营市工信局2025年“产业链上的山东好品牌”发布会）</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3685"/>
          </w:tcPr>
          <w:p>
            <w:pPr>
              <w:spacing w:lineRule="exact" w:line="600"/>
              <w:jc w:val="center"/>
            </w:pPr>
            <w:r/>
            <w:r>
              <w:rPr>
                <w:rFonts w:ascii="黑体" w:hAnsi="黑体" w:eastAsia="黑体"/>
                <w:b/>
                <w:color w:val="000000"/>
                <w:sz w:val="32"/>
              </w:rPr>
              <w:t>规模/指标</w:t>
            </w:r>
          </w:p>
        </w:tc>
        <w:tc>
          <w:tcPr>
            <w:tcW w:type="dxa" w:w="2551"/>
          </w:tcPr>
          <w:p>
            <w:pPr>
              <w:spacing w:lineRule="exact" w:line="600"/>
              <w:jc w:val="center"/>
            </w:pPr>
            <w:r/>
            <w:r>
              <w:rPr>
                <w:rFonts w:ascii="黑体" w:hAnsi="黑体" w:eastAsia="黑体"/>
                <w:b/>
                <w:color w:val="000000"/>
                <w:sz w:val="32"/>
              </w:rPr>
              <w:t>占比或数量</w:t>
            </w:r>
          </w:p>
        </w:tc>
      </w:tr>
      <w:tr>
        <w:tc>
          <w:tcPr>
            <w:tcW w:type="dxa" w:w="2551"/>
          </w:tcPr>
          <w:p>
            <w:pPr>
              <w:spacing w:lineRule="exact" w:line="600"/>
              <w:jc w:val="center"/>
            </w:pPr>
            <w:r/>
            <w:r>
              <w:rPr>
                <w:rFonts w:ascii="仿宋_GB2312" w:hAnsi="仿宋_GB2312" w:eastAsia="仿宋_GB2312"/>
                <w:b w:val="0"/>
                <w:color w:val="000000"/>
                <w:sz w:val="32"/>
              </w:rPr>
              <w:t>综合产能</w:t>
            </w:r>
          </w:p>
        </w:tc>
        <w:tc>
          <w:tcPr>
            <w:tcW w:type="dxa" w:w="3685"/>
          </w:tcPr>
          <w:p>
            <w:pPr>
              <w:spacing w:lineRule="exact" w:line="600"/>
              <w:jc w:val="center"/>
            </w:pPr>
            <w:r/>
            <w:r>
              <w:rPr>
                <w:rFonts w:ascii="仿宋_GB2312" w:hAnsi="仿宋_GB2312" w:eastAsia="仿宋_GB2312"/>
                <w:b w:val="0"/>
                <w:color w:val="000000"/>
                <w:sz w:val="32"/>
              </w:rPr>
              <w:t>2.67亿条/年（全市）</w:t>
            </w:r>
          </w:p>
        </w:tc>
        <w:tc>
          <w:tcPr>
            <w:tcW w:type="dxa" w:w="2551"/>
          </w:tcPr>
          <w:p>
            <w:pPr>
              <w:spacing w:lineRule="exact" w:line="600"/>
              <w:jc w:val="center"/>
            </w:pPr>
            <w:r/>
            <w:r>
              <w:rPr>
                <w:rFonts w:ascii="仿宋_GB2312" w:hAnsi="仿宋_GB2312" w:eastAsia="仿宋_GB2312"/>
                <w:b w:val="0"/>
                <w:color w:val="000000"/>
                <w:sz w:val="32"/>
              </w:rPr>
              <w:t>约占全省1/3、全国1/5</w:t>
            </w:r>
          </w:p>
        </w:tc>
      </w:tr>
      <w:tr>
        <w:tc>
          <w:tcPr>
            <w:tcW w:type="dxa" w:w="2551"/>
          </w:tcPr>
          <w:p>
            <w:pPr>
              <w:spacing w:lineRule="exact" w:line="600"/>
              <w:jc w:val="center"/>
            </w:pPr>
            <w:r/>
            <w:r>
              <w:rPr>
                <w:rFonts w:ascii="仿宋_GB2312" w:hAnsi="仿宋_GB2312" w:eastAsia="仿宋_GB2312"/>
                <w:b w:val="0"/>
                <w:color w:val="000000"/>
                <w:sz w:val="32"/>
              </w:rPr>
              <w:t>子午胎产能</w:t>
            </w:r>
          </w:p>
        </w:tc>
        <w:tc>
          <w:tcPr>
            <w:tcW w:type="dxa" w:w="3685"/>
          </w:tcPr>
          <w:p>
            <w:pPr>
              <w:spacing w:lineRule="exact" w:line="600"/>
              <w:jc w:val="center"/>
            </w:pPr>
            <w:r/>
            <w:r>
              <w:rPr>
                <w:rFonts w:ascii="仿宋_GB2312" w:hAnsi="仿宋_GB2312" w:eastAsia="仿宋_GB2312"/>
                <w:b w:val="0"/>
                <w:color w:val="000000"/>
                <w:sz w:val="32"/>
              </w:rPr>
              <w:t>1.94亿条/年（全市）</w:t>
            </w:r>
          </w:p>
        </w:tc>
        <w:tc>
          <w:tcPr>
            <w:tcW w:type="dxa" w:w="2551"/>
          </w:tcPr>
          <w:p>
            <w:pPr>
              <w:spacing w:lineRule="exact" w:line="600"/>
              <w:jc w:val="center"/>
            </w:pPr>
            <w:r/>
            <w:r>
              <w:rPr>
                <w:rFonts w:ascii="仿宋_GB2312" w:hAnsi="仿宋_GB2312" w:eastAsia="仿宋_GB2312"/>
                <w:b w:val="0"/>
                <w:color w:val="000000"/>
                <w:sz w:val="32"/>
              </w:rPr>
              <w:t>广饶子午胎1.76亿条</w:t>
            </w:r>
          </w:p>
        </w:tc>
      </w:tr>
      <w:tr>
        <w:tc>
          <w:tcPr>
            <w:tcW w:type="dxa" w:w="2551"/>
          </w:tcPr>
          <w:p>
            <w:pPr>
              <w:spacing w:lineRule="exact" w:line="600"/>
              <w:jc w:val="center"/>
            </w:pPr>
            <w:r/>
            <w:r>
              <w:rPr>
                <w:rFonts w:ascii="仿宋_GB2312" w:hAnsi="仿宋_GB2312" w:eastAsia="仿宋_GB2312"/>
                <w:b w:val="0"/>
                <w:color w:val="000000"/>
                <w:sz w:val="32"/>
              </w:rPr>
              <w:t>本地配套率</w:t>
            </w:r>
          </w:p>
        </w:tc>
        <w:tc>
          <w:tcPr>
            <w:tcW w:type="dxa" w:w="3685"/>
          </w:tcPr>
          <w:p>
            <w:pPr>
              <w:spacing w:lineRule="exact" w:line="600"/>
              <w:jc w:val="center"/>
            </w:pPr>
            <w:r/>
            <w:r>
              <w:rPr>
                <w:rFonts w:ascii="仿宋_GB2312" w:hAnsi="仿宋_GB2312" w:eastAsia="仿宋_GB2312"/>
                <w:b w:val="0"/>
                <w:color w:val="000000"/>
                <w:sz w:val="32"/>
              </w:rPr>
              <w:t>75%</w:t>
            </w:r>
          </w:p>
        </w:tc>
        <w:tc>
          <w:tcPr>
            <w:tcW w:type="dxa" w:w="2551"/>
          </w:tcPr>
          <w:p>
            <w:pPr>
              <w:spacing w:lineRule="exact" w:line="600"/>
              <w:jc w:val="center"/>
            </w:pPr>
            <w:r/>
            <w:r>
              <w:rPr>
                <w:rFonts w:ascii="仿宋_GB2312" w:hAnsi="仿宋_GB2312" w:eastAsia="仿宋_GB2312"/>
                <w:b w:val="0"/>
                <w:color w:val="000000"/>
                <w:sz w:val="32"/>
              </w:rPr>
              <w:t>20公里配套圈</w:t>
            </w:r>
          </w:p>
        </w:tc>
      </w:tr>
      <w:tr>
        <w:tc>
          <w:tcPr>
            <w:tcW w:type="dxa" w:w="2551"/>
          </w:tcPr>
          <w:p>
            <w:pPr>
              <w:spacing w:lineRule="exact" w:line="600"/>
              <w:jc w:val="center"/>
            </w:pPr>
            <w:r/>
            <w:r>
              <w:rPr>
                <w:rFonts w:ascii="仿宋_GB2312" w:hAnsi="仿宋_GB2312" w:eastAsia="仿宋_GB2312"/>
                <w:b w:val="0"/>
                <w:color w:val="000000"/>
                <w:sz w:val="32"/>
              </w:rPr>
              <w:t>入围全球轮胎75强</w:t>
            </w:r>
          </w:p>
        </w:tc>
        <w:tc>
          <w:tcPr>
            <w:tcW w:type="dxa" w:w="3685"/>
          </w:tcPr>
          <w:p>
            <w:pPr>
              <w:spacing w:lineRule="exact" w:line="600"/>
              <w:jc w:val="center"/>
            </w:pPr>
            <w:r/>
            <w:r>
              <w:rPr>
                <w:rFonts w:ascii="仿宋_GB2312" w:hAnsi="仿宋_GB2312" w:eastAsia="仿宋_GB2312"/>
                <w:b w:val="0"/>
                <w:color w:val="000000"/>
                <w:sz w:val="32"/>
              </w:rPr>
              <w:t>9家</w:t>
            </w:r>
          </w:p>
        </w:tc>
        <w:tc>
          <w:tcPr>
            <w:tcW w:type="dxa" w:w="2551"/>
          </w:tcPr>
          <w:p>
            <w:pPr>
              <w:spacing w:lineRule="exact" w:line="600"/>
              <w:jc w:val="center"/>
            </w:pPr>
            <w:r/>
            <w:r>
              <w:rPr>
                <w:rFonts w:ascii="仿宋_GB2312" w:hAnsi="仿宋_GB2312" w:eastAsia="仿宋_GB2312"/>
                <w:b w:val="0"/>
                <w:color w:val="000000"/>
                <w:sz w:val="32"/>
              </w:rPr>
              <w:t>占全省入围数1/4</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（一）需求规模与配套逻辑</w:t>
      </w:r>
    </w:p>
    <w:p>
      <w:pPr>
        <w:spacing w:lineRule="exact" w:line="600" w:before="0" w:after="0"/>
        <w:ind w:firstLine="420"/>
        <w:jc w:val="both"/>
      </w:pPr>
      <w:r>
        <w:rPr>
          <w:rFonts w:ascii="仿宋_GB2312" w:hAnsi="仿宋_GB2312" w:eastAsia="仿宋_GB2312"/>
          <w:b w:val="0"/>
          <w:color w:val="000000"/>
          <w:sz w:val="32"/>
        </w:rPr>
        <w:t>配套材料需求与轮胎产能直接挂钩。广饶子午胎产能近2亿条/年，对应钢丝帘线、炭黑、助剂等需求巨大。以钢丝帘线为例，每条轮胎约需数公斤钢帘线，近2亿条产能对应数十万吨级需求，兴达项目「就近配套」使技术对接效率提升一倍以上、物流由3天缩至当日达。本地配套率75%意味着仍有约25%需外部采购，炭黑、合成橡胶等存在供需缺口。</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钢丝帘线全国龙头为江苏兴达，其广饶基地单体规模最大；炭黑领域烁元新材料凭协同研发成为细分「隐形冠军」。整体看，广饶配套材料企业以服务本地轮胎为主，集中度较高、客户稳定，但高端产品（高模量低收缩帘子布、绿色助剂、特种合成橡胶）仍依赖外地或进口，省内青岛、烟台等地在合成橡胶与化工新材料上更具优势，形成竞争与互补并存格局。</w:t>
      </w:r>
    </w:p>
    <w:p>
      <w:pPr>
        <w:spacing w:lineRule="exact" w:line="600" w:before="120" w:after="120"/>
        <w:ind w:firstLine="420"/>
        <w:jc w:val="left"/>
      </w:pPr>
      <w:r>
        <w:rPr>
          <w:rFonts w:ascii="楷体_GB2312" w:hAnsi="楷体_GB2312" w:eastAsia="楷体_GB2312"/>
          <w:b w:val="0"/>
          <w:color w:val="000000"/>
          <w:sz w:val="32"/>
        </w:rPr>
        <w:t>（三）价格与波动</w:t>
      </w:r>
    </w:p>
    <w:p>
      <w:pPr>
        <w:spacing w:lineRule="exact" w:line="600" w:before="0" w:after="0"/>
        <w:ind w:firstLine="420"/>
        <w:jc w:val="both"/>
      </w:pPr>
      <w:r>
        <w:rPr>
          <w:rFonts w:ascii="仿宋_GB2312" w:hAnsi="仿宋_GB2312" w:eastAsia="仿宋_GB2312"/>
          <w:b w:val="0"/>
          <w:color w:val="000000"/>
          <w:sz w:val="32"/>
        </w:rPr>
        <w:t>合成橡胶、炭黑价格随原油与煤炭等大宗原料波动。2023年炭黑全年价格同比有所降低，钢丝帘线价格先升后降，天然橡胶下半年起伏。配套材料企业利润受上下游双向挤压，规模化、就近化是主要降本路径。欧盟REACH、零毁林等绿色壁垒也倒逼助剂与填料绿色化升级。</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材料指标</w:t>
            </w:r>
          </w:p>
        </w:tc>
        <w:tc>
          <w:tcPr>
            <w:tcW w:type="dxa" w:w="3685"/>
          </w:tcPr>
          <w:p>
            <w:pPr>
              <w:spacing w:lineRule="exact" w:line="600"/>
              <w:jc w:val="center"/>
            </w:pPr>
            <w:r/>
            <w:r>
              <w:rPr>
                <w:rFonts w:ascii="黑体" w:hAnsi="黑体" w:eastAsia="黑体"/>
                <w:b/>
                <w:color w:val="000000"/>
                <w:sz w:val="32"/>
              </w:rPr>
              <w:t>数值/特征</w:t>
            </w:r>
          </w:p>
        </w:tc>
        <w:tc>
          <w:tcPr>
            <w:tcW w:type="dxa" w:w="2551"/>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本地配套率</w:t>
            </w:r>
          </w:p>
        </w:tc>
        <w:tc>
          <w:tcPr>
            <w:tcW w:type="dxa" w:w="3685"/>
          </w:tcPr>
          <w:p>
            <w:pPr>
              <w:spacing w:lineRule="exact" w:line="600"/>
              <w:jc w:val="center"/>
            </w:pPr>
            <w:r/>
            <w:r>
              <w:rPr>
                <w:rFonts w:ascii="仿宋_GB2312" w:hAnsi="仿宋_GB2312" w:eastAsia="仿宋_GB2312"/>
                <w:b w:val="0"/>
                <w:color w:val="000000"/>
                <w:sz w:val="32"/>
              </w:rPr>
              <w:t>75%</w:t>
            </w:r>
          </w:p>
        </w:tc>
        <w:tc>
          <w:tcPr>
            <w:tcW w:type="dxa" w:w="2551"/>
          </w:tcPr>
          <w:p>
            <w:pPr>
              <w:spacing w:lineRule="exact" w:line="600"/>
              <w:jc w:val="center"/>
            </w:pPr>
            <w:r/>
            <w:r>
              <w:rPr>
                <w:rFonts w:ascii="仿宋_GB2312" w:hAnsi="仿宋_GB2312" w:eastAsia="仿宋_GB2312"/>
                <w:b w:val="0"/>
                <w:color w:val="000000"/>
                <w:sz w:val="32"/>
              </w:rPr>
              <w:t>东营市，2024</w:t>
            </w:r>
          </w:p>
        </w:tc>
      </w:tr>
      <w:tr>
        <w:tc>
          <w:tcPr>
            <w:tcW w:type="dxa" w:w="2268"/>
          </w:tcPr>
          <w:p>
            <w:pPr>
              <w:spacing w:lineRule="exact" w:line="600"/>
              <w:jc w:val="center"/>
            </w:pPr>
            <w:r/>
            <w:r>
              <w:rPr>
                <w:rFonts w:ascii="仿宋_GB2312" w:hAnsi="仿宋_GB2312" w:eastAsia="仿宋_GB2312"/>
                <w:b w:val="0"/>
                <w:color w:val="000000"/>
                <w:sz w:val="32"/>
              </w:rPr>
              <w:t>兴达钢帘线产能</w:t>
            </w:r>
          </w:p>
        </w:tc>
        <w:tc>
          <w:tcPr>
            <w:tcW w:type="dxa" w:w="3685"/>
          </w:tcPr>
          <w:p>
            <w:pPr>
              <w:spacing w:lineRule="exact" w:line="600"/>
              <w:jc w:val="center"/>
            </w:pPr>
            <w:r/>
            <w:r>
              <w:rPr>
                <w:rFonts w:ascii="仿宋_GB2312" w:hAnsi="仿宋_GB2312" w:eastAsia="仿宋_GB2312"/>
                <w:b w:val="0"/>
                <w:color w:val="000000"/>
                <w:sz w:val="32"/>
              </w:rPr>
              <w:t>10万吨+7.5万吨+10万吨</w:t>
            </w:r>
          </w:p>
        </w:tc>
        <w:tc>
          <w:tcPr>
            <w:tcW w:type="dxa" w:w="2551"/>
          </w:tcPr>
          <w:p>
            <w:pPr>
              <w:spacing w:lineRule="exact" w:line="600"/>
              <w:jc w:val="center"/>
            </w:pPr>
            <w:r/>
            <w:r>
              <w:rPr>
                <w:rFonts w:ascii="仿宋_GB2312" w:hAnsi="仿宋_GB2312" w:eastAsia="仿宋_GB2312"/>
                <w:b w:val="0"/>
                <w:color w:val="000000"/>
                <w:sz w:val="32"/>
              </w:rPr>
              <w:t>广饶县/兴达，2024</w:t>
            </w:r>
          </w:p>
        </w:tc>
      </w:tr>
      <w:tr>
        <w:tc>
          <w:tcPr>
            <w:tcW w:type="dxa" w:w="2268"/>
          </w:tcPr>
          <w:p>
            <w:pPr>
              <w:spacing w:lineRule="exact" w:line="600"/>
              <w:jc w:val="center"/>
            </w:pPr>
            <w:r/>
            <w:r>
              <w:rPr>
                <w:rFonts w:ascii="仿宋_GB2312" w:hAnsi="仿宋_GB2312" w:eastAsia="仿宋_GB2312"/>
                <w:b w:val="0"/>
                <w:color w:val="000000"/>
                <w:sz w:val="32"/>
              </w:rPr>
              <w:t>盛润通工业布</w:t>
            </w:r>
          </w:p>
        </w:tc>
        <w:tc>
          <w:tcPr>
            <w:tcW w:type="dxa" w:w="3685"/>
          </w:tcPr>
          <w:p>
            <w:pPr>
              <w:spacing w:lineRule="exact" w:line="600"/>
              <w:jc w:val="center"/>
            </w:pPr>
            <w:r/>
            <w:r>
              <w:rPr>
                <w:rFonts w:ascii="仿宋_GB2312" w:hAnsi="仿宋_GB2312" w:eastAsia="仿宋_GB2312"/>
                <w:b w:val="0"/>
                <w:color w:val="000000"/>
                <w:sz w:val="32"/>
              </w:rPr>
              <w:t>3.5万吨/年/利税2700万+</w:t>
            </w:r>
          </w:p>
        </w:tc>
        <w:tc>
          <w:tcPr>
            <w:tcW w:type="dxa" w:w="2551"/>
          </w:tcPr>
          <w:p>
            <w:pPr>
              <w:spacing w:lineRule="exact" w:line="600"/>
              <w:jc w:val="center"/>
            </w:pPr>
            <w:r/>
            <w:r>
              <w:rPr>
                <w:rFonts w:ascii="仿宋_GB2312" w:hAnsi="仿宋_GB2312" w:eastAsia="仿宋_GB2312"/>
                <w:b w:val="0"/>
                <w:color w:val="000000"/>
                <w:sz w:val="32"/>
              </w:rPr>
              <w:t>闪电新闻，2024</w:t>
            </w:r>
          </w:p>
        </w:tc>
      </w:tr>
      <w:tr>
        <w:tc>
          <w:tcPr>
            <w:tcW w:type="dxa" w:w="2268"/>
          </w:tcPr>
          <w:p>
            <w:pPr>
              <w:spacing w:lineRule="exact" w:line="600"/>
              <w:jc w:val="center"/>
            </w:pPr>
            <w:r/>
            <w:r>
              <w:rPr>
                <w:rFonts w:ascii="仿宋_GB2312" w:hAnsi="仿宋_GB2312" w:eastAsia="仿宋_GB2312"/>
                <w:b w:val="0"/>
                <w:color w:val="000000"/>
                <w:sz w:val="32"/>
              </w:rPr>
              <w:t>连续拉拔纪录</w:t>
            </w:r>
          </w:p>
        </w:tc>
        <w:tc>
          <w:tcPr>
            <w:tcW w:type="dxa" w:w="3685"/>
          </w:tcPr>
          <w:p>
            <w:pPr>
              <w:spacing w:lineRule="exact" w:line="600"/>
              <w:jc w:val="center"/>
            </w:pPr>
            <w:r/>
            <w:r>
              <w:rPr>
                <w:rFonts w:ascii="仿宋_GB2312" w:hAnsi="仿宋_GB2312" w:eastAsia="仿宋_GB2312"/>
                <w:b w:val="0"/>
                <w:color w:val="000000"/>
                <w:sz w:val="32"/>
              </w:rPr>
              <w:t>60万米不断丝</w:t>
            </w:r>
          </w:p>
        </w:tc>
        <w:tc>
          <w:tcPr>
            <w:tcW w:type="dxa" w:w="2551"/>
          </w:tcPr>
          <w:p>
            <w:pPr>
              <w:spacing w:lineRule="exact" w:line="600"/>
              <w:jc w:val="center"/>
            </w:pPr>
            <w:r/>
            <w:r>
              <w:rPr>
                <w:rFonts w:ascii="仿宋_GB2312" w:hAnsi="仿宋_GB2312" w:eastAsia="仿宋_GB2312"/>
                <w:b w:val="0"/>
                <w:color w:val="000000"/>
                <w:sz w:val="32"/>
              </w:rPr>
              <w:t>兴达，2024</w:t>
            </w:r>
          </w:p>
        </w:tc>
      </w:tr>
      <w:tr>
        <w:tc>
          <w:tcPr>
            <w:tcW w:type="dxa" w:w="2268"/>
          </w:tcPr>
          <w:p>
            <w:pPr>
              <w:spacing w:lineRule="exact" w:line="600"/>
              <w:jc w:val="center"/>
            </w:pPr>
            <w:r/>
            <w:r>
              <w:rPr>
                <w:rFonts w:ascii="仿宋_GB2312" w:hAnsi="仿宋_GB2312" w:eastAsia="仿宋_GB2312"/>
                <w:b w:val="0"/>
                <w:color w:val="000000"/>
                <w:sz w:val="32"/>
              </w:rPr>
              <w:t>炭黑企业</w:t>
            </w:r>
          </w:p>
        </w:tc>
        <w:tc>
          <w:tcPr>
            <w:tcW w:type="dxa" w:w="3685"/>
          </w:tcPr>
          <w:p>
            <w:pPr>
              <w:spacing w:lineRule="exact" w:line="600"/>
              <w:jc w:val="center"/>
            </w:pPr>
            <w:r/>
            <w:r>
              <w:rPr>
                <w:rFonts w:ascii="仿宋_GB2312" w:hAnsi="仿宋_GB2312" w:eastAsia="仿宋_GB2312"/>
                <w:b w:val="0"/>
                <w:color w:val="000000"/>
                <w:sz w:val="32"/>
              </w:rPr>
              <w:t>烁元（国家级小巨人）</w:t>
            </w:r>
          </w:p>
        </w:tc>
        <w:tc>
          <w:tcPr>
            <w:tcW w:type="dxa" w:w="2551"/>
          </w:tcPr>
          <w:p>
            <w:pPr>
              <w:spacing w:lineRule="exact" w:line="600"/>
              <w:jc w:val="center"/>
            </w:pPr>
            <w:r/>
            <w:r>
              <w:rPr>
                <w:rFonts w:ascii="仿宋_GB2312" w:hAnsi="仿宋_GB2312" w:eastAsia="仿宋_GB2312"/>
                <w:b w:val="0"/>
                <w:color w:val="000000"/>
                <w:sz w:val="32"/>
              </w:rPr>
              <w:t>广饶县，2024</w:t>
            </w:r>
          </w:p>
        </w:tc>
      </w:tr>
    </w:tbl>
    <w:p>
      <w:pPr>
        <w:spacing w:lineRule="exact" w:line="600" w:before="120" w:after="120"/>
        <w:ind w:firstLine="420"/>
        <w:jc w:val="left"/>
      </w:pPr>
      <w:r>
        <w:rPr>
          <w:rFonts w:ascii="楷体_GB2312" w:hAnsi="楷体_GB2312" w:eastAsia="楷体_GB2312"/>
          <w:b w:val="0"/>
          <w:color w:val="000000"/>
          <w:sz w:val="32"/>
        </w:rPr>
        <w:t>出口与市场份额（本批真实数据补充·来源见正文）</w:t>
      </w:r>
    </w:p>
    <w:p>
      <w:pPr>
        <w:spacing w:lineRule="exact" w:line="600" w:before="0" w:after="0"/>
        <w:ind w:firstLine="420"/>
        <w:jc w:val="both"/>
      </w:pPr>
      <w:r>
        <w:rPr>
          <w:rFonts w:ascii="仿宋_GB2312" w:hAnsi="仿宋_GB2312" w:eastAsia="仿宋_GB2312"/>
          <w:b w:val="0"/>
          <w:color w:val="000000"/>
          <w:sz w:val="32"/>
        </w:rPr>
        <w:t>广饶轮胎以外向型为主，2024年橡胶轮胎产业实现出口259.5亿元，产品辐射欧盟、东南亚、中东非等国际市场，第十五届中国（广饶）国际橡胶轮胎展吸引50余家全球轮胎75强参展。（来源：山东省网2025年广饶轮胎展会报道）</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说明</w:t>
            </w:r>
          </w:p>
        </w:tc>
      </w:tr>
      <w:tr>
        <w:tc>
          <w:tcPr>
            <w:tcW w:type="dxa" w:w="2551"/>
          </w:tcPr>
          <w:p>
            <w:pPr>
              <w:spacing w:lineRule="exact" w:line="600"/>
              <w:jc w:val="center"/>
            </w:pPr>
            <w:r/>
            <w:r>
              <w:rPr>
                <w:rFonts w:ascii="仿宋_GB2312" w:hAnsi="仿宋_GB2312" w:eastAsia="仿宋_GB2312"/>
                <w:b w:val="0"/>
                <w:color w:val="000000"/>
                <w:sz w:val="32"/>
              </w:rPr>
              <w:t>橡胶轮胎产业出口额</w:t>
            </w:r>
          </w:p>
        </w:tc>
        <w:tc>
          <w:tcPr>
            <w:tcW w:type="dxa" w:w="3118"/>
          </w:tcPr>
          <w:p>
            <w:pPr>
              <w:spacing w:lineRule="exact" w:line="600"/>
              <w:jc w:val="center"/>
            </w:pPr>
            <w:r/>
            <w:r>
              <w:rPr>
                <w:rFonts w:ascii="仿宋_GB2312" w:hAnsi="仿宋_GB2312" w:eastAsia="仿宋_GB2312"/>
                <w:b w:val="0"/>
                <w:color w:val="000000"/>
                <w:sz w:val="32"/>
              </w:rPr>
              <w:t>259.5亿元（2024）</w:t>
            </w:r>
          </w:p>
        </w:tc>
        <w:tc>
          <w:tcPr>
            <w:tcW w:type="dxa" w:w="3118"/>
          </w:tcPr>
          <w:p>
            <w:pPr>
              <w:spacing w:lineRule="exact" w:line="600"/>
              <w:jc w:val="center"/>
            </w:pPr>
            <w:r/>
            <w:r>
              <w:rPr>
                <w:rFonts w:ascii="仿宋_GB2312" w:hAnsi="仿宋_GB2312" w:eastAsia="仿宋_GB2312"/>
                <w:b w:val="0"/>
                <w:color w:val="000000"/>
                <w:sz w:val="32"/>
              </w:rPr>
              <w:t>广饶县</w:t>
            </w:r>
          </w:p>
        </w:tc>
      </w:tr>
      <w:tr>
        <w:tc>
          <w:tcPr>
            <w:tcW w:type="dxa" w:w="2551"/>
          </w:tcPr>
          <w:p>
            <w:pPr>
              <w:spacing w:lineRule="exact" w:line="600"/>
              <w:jc w:val="center"/>
            </w:pPr>
            <w:r/>
            <w:r>
              <w:rPr>
                <w:rFonts w:ascii="仿宋_GB2312" w:hAnsi="仿宋_GB2312" w:eastAsia="仿宋_GB2312"/>
                <w:b w:val="0"/>
                <w:color w:val="000000"/>
                <w:sz w:val="32"/>
              </w:rPr>
              <w:t>入围全球轮胎75强企业</w:t>
            </w:r>
          </w:p>
        </w:tc>
        <w:tc>
          <w:tcPr>
            <w:tcW w:type="dxa" w:w="3118"/>
          </w:tcPr>
          <w:p>
            <w:pPr>
              <w:spacing w:lineRule="exact" w:line="600"/>
              <w:jc w:val="center"/>
            </w:pPr>
            <w:r/>
            <w:r>
              <w:rPr>
                <w:rFonts w:ascii="仿宋_GB2312" w:hAnsi="仿宋_GB2312" w:eastAsia="仿宋_GB2312"/>
                <w:b w:val="0"/>
                <w:color w:val="000000"/>
                <w:sz w:val="32"/>
              </w:rPr>
              <w:t>8家</w:t>
            </w:r>
          </w:p>
        </w:tc>
        <w:tc>
          <w:tcPr>
            <w:tcW w:type="dxa" w:w="3118"/>
          </w:tcPr>
          <w:p>
            <w:pPr>
              <w:spacing w:lineRule="exact" w:line="600"/>
              <w:jc w:val="center"/>
            </w:pPr>
            <w:r/>
            <w:r>
              <w:rPr>
                <w:rFonts w:ascii="仿宋_GB2312" w:hAnsi="仿宋_GB2312" w:eastAsia="仿宋_GB2312"/>
                <w:b w:val="0"/>
                <w:color w:val="000000"/>
                <w:sz w:val="32"/>
              </w:rPr>
              <w:t>广饶县</w:t>
            </w:r>
          </w:p>
        </w:tc>
      </w:tr>
      <w:tr>
        <w:tc>
          <w:tcPr>
            <w:tcW w:type="dxa" w:w="2551"/>
          </w:tcPr>
          <w:p>
            <w:pPr>
              <w:spacing w:lineRule="exact" w:line="600"/>
              <w:jc w:val="center"/>
            </w:pPr>
            <w:r/>
            <w:r>
              <w:rPr>
                <w:rFonts w:ascii="仿宋_GB2312" w:hAnsi="仿宋_GB2312" w:eastAsia="仿宋_GB2312"/>
                <w:b w:val="0"/>
                <w:color w:val="000000"/>
                <w:sz w:val="32"/>
              </w:rPr>
              <w:t>重点展会参展强企</w:t>
            </w:r>
          </w:p>
        </w:tc>
        <w:tc>
          <w:tcPr>
            <w:tcW w:type="dxa" w:w="3118"/>
          </w:tcPr>
          <w:p>
            <w:pPr>
              <w:spacing w:lineRule="exact" w:line="600"/>
              <w:jc w:val="center"/>
            </w:pPr>
            <w:r/>
            <w:r>
              <w:rPr>
                <w:rFonts w:ascii="仿宋_GB2312" w:hAnsi="仿宋_GB2312" w:eastAsia="仿宋_GB2312"/>
                <w:b w:val="0"/>
                <w:color w:val="000000"/>
                <w:sz w:val="32"/>
              </w:rPr>
              <w:t>50余家全球轮胎75强</w:t>
            </w:r>
          </w:p>
        </w:tc>
        <w:tc>
          <w:tcPr>
            <w:tcW w:type="dxa" w:w="3118"/>
          </w:tcPr>
          <w:p>
            <w:pPr>
              <w:spacing w:lineRule="exact" w:line="600"/>
              <w:jc w:val="center"/>
            </w:pPr>
            <w:r/>
            <w:r>
              <w:rPr>
                <w:rFonts w:ascii="仿宋_GB2312" w:hAnsi="仿宋_GB2312" w:eastAsia="仿宋_GB2312"/>
                <w:b w:val="0"/>
                <w:color w:val="000000"/>
                <w:sz w:val="32"/>
              </w:rPr>
              <w:t>第15届广饶胎展</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（一）集群配套生态</w:t>
      </w:r>
    </w:p>
    <w:p>
      <w:pPr>
        <w:spacing w:lineRule="exact" w:line="600" w:before="0" w:after="0"/>
        <w:ind w:firstLine="420"/>
        <w:jc w:val="both"/>
      </w:pPr>
      <w:r>
        <w:rPr>
          <w:rFonts w:ascii="仿宋_GB2312" w:hAnsi="仿宋_GB2312" w:eastAsia="仿宋_GB2312"/>
          <w:b w:val="0"/>
          <w:color w:val="000000"/>
          <w:sz w:val="32"/>
        </w:rPr>
        <w:t>广饶橡胶轮胎配套体系涵盖钢丝帘线、炭黑、合成橡胶、橡胶助剂、帘子布、轮胎模具、胶囊等，构成「20公里配套圈」。2025年广饶橡胶轮胎产业集群以全省第一入选国家级中小企业特色产业集群，配套企业的专精特新发展是重要支撑——烁元新材料为国家级专精特新「小巨人」，华普锦纶新材料等为省级专精特新中小企业。</w:t>
      </w:r>
    </w:p>
    <w:p>
      <w:pPr>
        <w:spacing w:lineRule="exact" w:line="600" w:before="120" w:after="120"/>
        <w:ind w:firstLine="420"/>
        <w:jc w:val="left"/>
      </w:pPr>
      <w:r>
        <w:rPr>
          <w:rFonts w:ascii="楷体_GB2312" w:hAnsi="楷体_GB2312" w:eastAsia="楷体_GB2312"/>
          <w:b w:val="0"/>
          <w:color w:val="000000"/>
          <w:sz w:val="32"/>
        </w:rPr>
        <w:t>（二）代表企业</w:t>
      </w:r>
    </w:p>
    <w:p>
      <w:pPr>
        <w:spacing w:lineRule="exact" w:line="600" w:before="0" w:after="0"/>
        <w:ind w:firstLine="420"/>
        <w:jc w:val="both"/>
      </w:pPr>
      <w:r>
        <w:rPr>
          <w:rFonts w:ascii="仿宋_GB2312" w:hAnsi="仿宋_GB2312" w:eastAsia="仿宋_GB2312"/>
          <w:b w:val="0"/>
          <w:color w:val="000000"/>
          <w:sz w:val="32"/>
        </w:rPr>
        <w:t>山东兴达钢帘线有限公司为江苏兴达与兴源轮胎合资，单体规模国内最大，产品有力支撑本地高端轮胎；山东盛润通纺织科技有限公司2022年成立，高端轮胎工业布项目补强帘子布；烁元新材料主攻炭黑与补强材料，协同研发模式成产业样板；山东宏盛橡胶科技经营天然/合成橡胶贸易；东润新材料加快高性能树脂产业化。这些企业彼此依存、协同进化，形成抵御风险能力强的产业共同体。</w:t>
      </w:r>
    </w:p>
    <w:p>
      <w:pPr>
        <w:spacing w:lineRule="exact" w:line="600" w:before="120" w:after="120"/>
        <w:ind w:firstLine="420"/>
        <w:jc w:val="left"/>
      </w:pPr>
      <w:r>
        <w:rPr>
          <w:rFonts w:ascii="楷体_GB2312" w:hAnsi="楷体_GB2312" w:eastAsia="楷体_GB2312"/>
          <w:b w:val="0"/>
          <w:color w:val="000000"/>
          <w:sz w:val="32"/>
        </w:rPr>
        <w:t>（三）园区与平台</w:t>
      </w:r>
    </w:p>
    <w:p>
      <w:pPr>
        <w:spacing w:lineRule="exact" w:line="600" w:before="0" w:after="0"/>
        <w:ind w:firstLine="420"/>
        <w:jc w:val="both"/>
      </w:pPr>
      <w:r>
        <w:rPr>
          <w:rFonts w:ascii="仿宋_GB2312" w:hAnsi="仿宋_GB2312" w:eastAsia="仿宋_GB2312"/>
          <w:b w:val="0"/>
          <w:color w:val="000000"/>
          <w:sz w:val="32"/>
        </w:rPr>
        <w:t>广饶规划面积23.3平方公里的橡胶轮胎循环产业园，制定产业链图谱，精准实施兴达金属制品、盛润通工业布等延链补链强链项目。青岛科技大学广饶橡胶工业研究院、东营市橡胶新材料与智能制造创新创业共同体为配套材料研发提供平台，平台累计助力企业解决行业共性技术难题17项，协同研发由轮胎企业扩展至钢丝、助剂等领域。</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企业</w:t>
            </w:r>
          </w:p>
        </w:tc>
        <w:tc>
          <w:tcPr>
            <w:tcW w:type="dxa" w:w="3685"/>
          </w:tcPr>
          <w:p>
            <w:pPr>
              <w:spacing w:lineRule="exact" w:line="600"/>
              <w:jc w:val="center"/>
            </w:pPr>
            <w:r/>
            <w:r>
              <w:rPr>
                <w:rFonts w:ascii="黑体" w:hAnsi="黑体" w:eastAsia="黑体"/>
                <w:b/>
                <w:color w:val="000000"/>
                <w:sz w:val="32"/>
              </w:rPr>
              <w:t>产品/产能</w:t>
            </w:r>
          </w:p>
        </w:tc>
        <w:tc>
          <w:tcPr>
            <w:tcW w:type="dxa" w:w="3402"/>
          </w:tcPr>
          <w:p>
            <w:pPr>
              <w:spacing w:lineRule="exact" w:line="600"/>
              <w:jc w:val="center"/>
            </w:pPr>
            <w:r/>
            <w:r>
              <w:rPr>
                <w:rFonts w:ascii="黑体" w:hAnsi="黑体" w:eastAsia="黑体"/>
                <w:b/>
                <w:color w:val="000000"/>
                <w:sz w:val="32"/>
              </w:rPr>
              <w:t>资质/角色</w:t>
            </w:r>
          </w:p>
        </w:tc>
      </w:tr>
      <w:tr>
        <w:tc>
          <w:tcPr>
            <w:tcW w:type="dxa" w:w="1984"/>
          </w:tcPr>
          <w:p>
            <w:pPr>
              <w:spacing w:lineRule="exact" w:line="600"/>
              <w:jc w:val="center"/>
            </w:pPr>
            <w:r/>
            <w:r>
              <w:rPr>
                <w:rFonts w:ascii="仿宋_GB2312" w:hAnsi="仿宋_GB2312" w:eastAsia="仿宋_GB2312"/>
                <w:b w:val="0"/>
                <w:color w:val="000000"/>
                <w:sz w:val="32"/>
              </w:rPr>
              <w:t>山东兴达钢帘线</w:t>
            </w:r>
          </w:p>
        </w:tc>
        <w:tc>
          <w:tcPr>
            <w:tcW w:type="dxa" w:w="3685"/>
          </w:tcPr>
          <w:p>
            <w:pPr>
              <w:spacing w:lineRule="exact" w:line="600"/>
              <w:jc w:val="center"/>
            </w:pPr>
            <w:r/>
            <w:r>
              <w:rPr>
                <w:rFonts w:ascii="仿宋_GB2312" w:hAnsi="仿宋_GB2312" w:eastAsia="仿宋_GB2312"/>
                <w:b w:val="0"/>
                <w:color w:val="000000"/>
                <w:sz w:val="32"/>
              </w:rPr>
              <w:t>钢帘线10万+胎圈钢丝10万+7.5万</w:t>
            </w:r>
          </w:p>
        </w:tc>
        <w:tc>
          <w:tcPr>
            <w:tcW w:type="dxa" w:w="3402"/>
          </w:tcPr>
          <w:p>
            <w:pPr>
              <w:spacing w:lineRule="exact" w:line="600"/>
              <w:jc w:val="center"/>
            </w:pPr>
            <w:r/>
            <w:r>
              <w:rPr>
                <w:rFonts w:ascii="仿宋_GB2312" w:hAnsi="仿宋_GB2312" w:eastAsia="仿宋_GB2312"/>
                <w:b w:val="0"/>
                <w:color w:val="000000"/>
                <w:sz w:val="32"/>
              </w:rPr>
              <w:t>单体最大/骨架龙头</w:t>
            </w:r>
          </w:p>
        </w:tc>
      </w:tr>
      <w:tr>
        <w:tc>
          <w:tcPr>
            <w:tcW w:type="dxa" w:w="1984"/>
          </w:tcPr>
          <w:p>
            <w:pPr>
              <w:spacing w:lineRule="exact" w:line="600"/>
              <w:jc w:val="center"/>
            </w:pPr>
            <w:r/>
            <w:r>
              <w:rPr>
                <w:rFonts w:ascii="仿宋_GB2312" w:hAnsi="仿宋_GB2312" w:eastAsia="仿宋_GB2312"/>
                <w:b w:val="0"/>
                <w:color w:val="000000"/>
                <w:sz w:val="32"/>
              </w:rPr>
              <w:t>山东盛润通</w:t>
            </w:r>
          </w:p>
        </w:tc>
        <w:tc>
          <w:tcPr>
            <w:tcW w:type="dxa" w:w="3685"/>
          </w:tcPr>
          <w:p>
            <w:pPr>
              <w:spacing w:lineRule="exact" w:line="600"/>
              <w:jc w:val="center"/>
            </w:pPr>
            <w:r/>
            <w:r>
              <w:rPr>
                <w:rFonts w:ascii="仿宋_GB2312" w:hAnsi="仿宋_GB2312" w:eastAsia="仿宋_GB2312"/>
                <w:b w:val="0"/>
                <w:color w:val="000000"/>
                <w:sz w:val="32"/>
              </w:rPr>
              <w:t>3.5万吨/年工业布</w:t>
            </w:r>
          </w:p>
        </w:tc>
        <w:tc>
          <w:tcPr>
            <w:tcW w:type="dxa" w:w="3402"/>
          </w:tcPr>
          <w:p>
            <w:pPr>
              <w:spacing w:lineRule="exact" w:line="600"/>
              <w:jc w:val="center"/>
            </w:pPr>
            <w:r/>
            <w:r>
              <w:rPr>
                <w:rFonts w:ascii="仿宋_GB2312" w:hAnsi="仿宋_GB2312" w:eastAsia="仿宋_GB2312"/>
                <w:b w:val="0"/>
                <w:color w:val="000000"/>
                <w:sz w:val="32"/>
              </w:rPr>
              <w:t>帘布补强</w:t>
            </w:r>
          </w:p>
        </w:tc>
      </w:tr>
      <w:tr>
        <w:tc>
          <w:tcPr>
            <w:tcW w:type="dxa" w:w="1984"/>
          </w:tcPr>
          <w:p>
            <w:pPr>
              <w:spacing w:lineRule="exact" w:line="600"/>
              <w:jc w:val="center"/>
            </w:pPr>
            <w:r/>
            <w:r>
              <w:rPr>
                <w:rFonts w:ascii="仿宋_GB2312" w:hAnsi="仿宋_GB2312" w:eastAsia="仿宋_GB2312"/>
                <w:b w:val="0"/>
                <w:color w:val="000000"/>
                <w:sz w:val="32"/>
              </w:rPr>
              <w:t>烁元新材料</w:t>
            </w:r>
          </w:p>
        </w:tc>
        <w:tc>
          <w:tcPr>
            <w:tcW w:type="dxa" w:w="3685"/>
          </w:tcPr>
          <w:p>
            <w:pPr>
              <w:spacing w:lineRule="exact" w:line="600"/>
              <w:jc w:val="center"/>
            </w:pPr>
            <w:r/>
            <w:r>
              <w:rPr>
                <w:rFonts w:ascii="仿宋_GB2312" w:hAnsi="仿宋_GB2312" w:eastAsia="仿宋_GB2312"/>
                <w:b w:val="0"/>
                <w:color w:val="000000"/>
                <w:sz w:val="32"/>
              </w:rPr>
              <w:t>炭黑/补强填料</w:t>
            </w:r>
          </w:p>
        </w:tc>
        <w:tc>
          <w:tcPr>
            <w:tcW w:type="dxa" w:w="3402"/>
          </w:tcPr>
          <w:p>
            <w:pPr>
              <w:spacing w:lineRule="exact" w:line="600"/>
              <w:jc w:val="center"/>
            </w:pPr>
            <w:r/>
            <w:r>
              <w:rPr>
                <w:rFonts w:ascii="仿宋_GB2312" w:hAnsi="仿宋_GB2312" w:eastAsia="仿宋_GB2312"/>
                <w:b w:val="0"/>
                <w:color w:val="000000"/>
                <w:sz w:val="32"/>
              </w:rPr>
              <w:t>国家级小巨人</w:t>
            </w:r>
          </w:p>
        </w:tc>
      </w:tr>
      <w:tr>
        <w:tc>
          <w:tcPr>
            <w:tcW w:type="dxa" w:w="1984"/>
          </w:tcPr>
          <w:p>
            <w:pPr>
              <w:spacing w:lineRule="exact" w:line="600"/>
              <w:jc w:val="center"/>
            </w:pPr>
            <w:r/>
            <w:r>
              <w:rPr>
                <w:rFonts w:ascii="仿宋_GB2312" w:hAnsi="仿宋_GB2312" w:eastAsia="仿宋_GB2312"/>
                <w:b w:val="0"/>
                <w:color w:val="000000"/>
                <w:sz w:val="32"/>
              </w:rPr>
              <w:t>山东宏盛橡胶</w:t>
            </w:r>
          </w:p>
        </w:tc>
        <w:tc>
          <w:tcPr>
            <w:tcW w:type="dxa" w:w="3685"/>
          </w:tcPr>
          <w:p>
            <w:pPr>
              <w:spacing w:lineRule="exact" w:line="600"/>
              <w:jc w:val="center"/>
            </w:pPr>
            <w:r/>
            <w:r>
              <w:rPr>
                <w:rFonts w:ascii="仿宋_GB2312" w:hAnsi="仿宋_GB2312" w:eastAsia="仿宋_GB2312"/>
                <w:b w:val="0"/>
                <w:color w:val="000000"/>
                <w:sz w:val="32"/>
              </w:rPr>
              <w:t>合成橡胶贸易</w:t>
            </w:r>
          </w:p>
        </w:tc>
        <w:tc>
          <w:tcPr>
            <w:tcW w:type="dxa" w:w="3402"/>
          </w:tcPr>
          <w:p>
            <w:pPr>
              <w:spacing w:lineRule="exact" w:line="600"/>
              <w:jc w:val="center"/>
            </w:pPr>
            <w:r/>
            <w:r>
              <w:rPr>
                <w:rFonts w:ascii="仿宋_GB2312" w:hAnsi="仿宋_GB2312" w:eastAsia="仿宋_GB2312"/>
                <w:b w:val="0"/>
                <w:color w:val="000000"/>
                <w:sz w:val="32"/>
              </w:rPr>
              <w:t>贸易配套</w:t>
            </w:r>
          </w:p>
        </w:tc>
      </w:tr>
      <w:tr>
        <w:tc>
          <w:tcPr>
            <w:tcW w:type="dxa" w:w="1984"/>
          </w:tcPr>
          <w:p>
            <w:pPr>
              <w:spacing w:lineRule="exact" w:line="600"/>
              <w:jc w:val="center"/>
            </w:pPr>
            <w:r/>
            <w:r>
              <w:rPr>
                <w:rFonts w:ascii="仿宋_GB2312" w:hAnsi="仿宋_GB2312" w:eastAsia="仿宋_GB2312"/>
                <w:b w:val="0"/>
                <w:color w:val="000000"/>
                <w:sz w:val="32"/>
              </w:rPr>
              <w:t>东润新材料</w:t>
            </w:r>
          </w:p>
        </w:tc>
        <w:tc>
          <w:tcPr>
            <w:tcW w:type="dxa" w:w="3685"/>
          </w:tcPr>
          <w:p>
            <w:pPr>
              <w:spacing w:lineRule="exact" w:line="600"/>
              <w:jc w:val="center"/>
            </w:pPr>
            <w:r/>
            <w:r>
              <w:rPr>
                <w:rFonts w:ascii="仿宋_GB2312" w:hAnsi="仿宋_GB2312" w:eastAsia="仿宋_GB2312"/>
                <w:b w:val="0"/>
                <w:color w:val="000000"/>
                <w:sz w:val="32"/>
              </w:rPr>
              <w:t>高性能树脂</w:t>
            </w:r>
          </w:p>
        </w:tc>
        <w:tc>
          <w:tcPr>
            <w:tcW w:type="dxa" w:w="3402"/>
          </w:tcPr>
          <w:p>
            <w:pPr>
              <w:spacing w:lineRule="exact" w:line="600"/>
              <w:jc w:val="center"/>
            </w:pPr>
            <w:r/>
            <w:r>
              <w:rPr>
                <w:rFonts w:ascii="仿宋_GB2312" w:hAnsi="仿宋_GB2312" w:eastAsia="仿宋_GB2312"/>
                <w:b w:val="0"/>
                <w:color w:val="000000"/>
                <w:sz w:val="32"/>
              </w:rPr>
              <w:t>助剂产业化</w:t>
            </w:r>
          </w:p>
        </w:tc>
      </w:tr>
    </w:tbl>
    <w:p>
      <w:pPr>
        <w:spacing w:lineRule="exact" w:line="600" w:before="120" w:after="120"/>
        <w:ind w:firstLine="420"/>
        <w:jc w:val="left"/>
      </w:pPr>
      <w:r>
        <w:rPr>
          <w:rFonts w:ascii="楷体_GB2312" w:hAnsi="楷体_GB2312" w:eastAsia="楷体_GB2312"/>
          <w:b w:val="0"/>
          <w:color w:val="000000"/>
          <w:sz w:val="32"/>
        </w:rPr>
        <w:t>集群规模与龙头企业（本批真实数据补充·来源见正文）</w:t>
      </w:r>
    </w:p>
    <w:p>
      <w:pPr>
        <w:spacing w:lineRule="exact" w:line="600" w:before="0" w:after="0"/>
        <w:ind w:firstLine="420"/>
        <w:jc w:val="both"/>
      </w:pPr>
      <w:r>
        <w:rPr>
          <w:rFonts w:ascii="仿宋_GB2312" w:hAnsi="仿宋_GB2312" w:eastAsia="仿宋_GB2312"/>
          <w:b w:val="0"/>
          <w:color w:val="000000"/>
          <w:sz w:val="32"/>
        </w:rPr>
        <w:t>2024年广饶县橡胶轮胎产业实现工业总产值466.7亿元、同比增长13.1%；全市现有规上橡胶轮胎产业链企业65家，产值过50亿元企业5家、过10亿元企业17家。赛轮轮胎2024年营业收入318.02亿元。橡胶轮胎产业集群入选全省“雁阵形”产业集群及先进制造业集群转型升级示范。（来源：东营市工信局2025发布会、赛轮轮胎2024年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主体/指标</w:t>
            </w:r>
          </w:p>
        </w:tc>
        <w:tc>
          <w:tcPr>
            <w:tcW w:type="dxa" w:w="2835"/>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w:t>
            </w:r>
          </w:p>
        </w:tc>
      </w:tr>
      <w:tr>
        <w:tc>
          <w:tcPr>
            <w:tcW w:type="dxa" w:w="3118"/>
          </w:tcPr>
          <w:p>
            <w:pPr>
              <w:spacing w:lineRule="exact" w:line="600"/>
              <w:jc w:val="center"/>
            </w:pPr>
            <w:r/>
            <w:r>
              <w:rPr>
                <w:rFonts w:ascii="仿宋_GB2312" w:hAnsi="仿宋_GB2312" w:eastAsia="仿宋_GB2312"/>
                <w:b w:val="0"/>
                <w:color w:val="000000"/>
                <w:sz w:val="32"/>
              </w:rPr>
              <w:t>橡胶轮胎工业总产值</w:t>
            </w:r>
          </w:p>
        </w:tc>
        <w:tc>
          <w:tcPr>
            <w:tcW w:type="dxa" w:w="2835"/>
          </w:tcPr>
          <w:p>
            <w:pPr>
              <w:spacing w:lineRule="exact" w:line="600"/>
              <w:jc w:val="center"/>
            </w:pPr>
            <w:r/>
            <w:r>
              <w:rPr>
                <w:rFonts w:ascii="仿宋_GB2312" w:hAnsi="仿宋_GB2312" w:eastAsia="仿宋_GB2312"/>
                <w:b w:val="0"/>
                <w:color w:val="000000"/>
                <w:sz w:val="32"/>
              </w:rPr>
              <w:t>466.7亿元（同比+13.1%）</w:t>
            </w:r>
          </w:p>
        </w:tc>
        <w:tc>
          <w:tcPr>
            <w:tcW w:type="dxa" w:w="2835"/>
          </w:tcPr>
          <w:p>
            <w:pPr>
              <w:spacing w:lineRule="exact" w:line="600"/>
              <w:jc w:val="center"/>
            </w:pPr>
            <w:r/>
            <w:r>
              <w:rPr>
                <w:rFonts w:ascii="仿宋_GB2312" w:hAnsi="仿宋_GB2312" w:eastAsia="仿宋_GB2312"/>
                <w:b w:val="0"/>
                <w:color w:val="000000"/>
                <w:sz w:val="32"/>
              </w:rPr>
              <w:t>广饶县2024</w:t>
            </w:r>
          </w:p>
        </w:tc>
      </w:tr>
      <w:tr>
        <w:tc>
          <w:tcPr>
            <w:tcW w:type="dxa" w:w="3118"/>
          </w:tcPr>
          <w:p>
            <w:pPr>
              <w:spacing w:lineRule="exact" w:line="600"/>
              <w:jc w:val="center"/>
            </w:pPr>
            <w:r/>
            <w:r>
              <w:rPr>
                <w:rFonts w:ascii="仿宋_GB2312" w:hAnsi="仿宋_GB2312" w:eastAsia="仿宋_GB2312"/>
                <w:b w:val="0"/>
                <w:color w:val="000000"/>
                <w:sz w:val="32"/>
              </w:rPr>
              <w:t>规上产业链企业</w:t>
            </w:r>
          </w:p>
        </w:tc>
        <w:tc>
          <w:tcPr>
            <w:tcW w:type="dxa" w:w="2835"/>
          </w:tcPr>
          <w:p>
            <w:pPr>
              <w:spacing w:lineRule="exact" w:line="600"/>
              <w:jc w:val="center"/>
            </w:pPr>
            <w:r/>
            <w:r>
              <w:rPr>
                <w:rFonts w:ascii="仿宋_GB2312" w:hAnsi="仿宋_GB2312" w:eastAsia="仿宋_GB2312"/>
                <w:b w:val="0"/>
                <w:color w:val="000000"/>
                <w:sz w:val="32"/>
              </w:rPr>
              <w:t>65家（全市）</w:t>
            </w:r>
          </w:p>
        </w:tc>
        <w:tc>
          <w:tcPr>
            <w:tcW w:type="dxa" w:w="2835"/>
          </w:tcPr>
          <w:p>
            <w:pPr>
              <w:spacing w:lineRule="exact" w:line="600"/>
              <w:jc w:val="center"/>
            </w:pPr>
            <w:r/>
            <w:r>
              <w:rPr>
                <w:rFonts w:ascii="仿宋_GB2312" w:hAnsi="仿宋_GB2312" w:eastAsia="仿宋_GB2312"/>
                <w:b w:val="0"/>
                <w:color w:val="000000"/>
                <w:sz w:val="32"/>
              </w:rPr>
              <w:t>东营市工信局</w:t>
            </w:r>
          </w:p>
        </w:tc>
      </w:tr>
      <w:tr>
        <w:tc>
          <w:tcPr>
            <w:tcW w:type="dxa" w:w="3118"/>
          </w:tcPr>
          <w:p>
            <w:pPr>
              <w:spacing w:lineRule="exact" w:line="600"/>
              <w:jc w:val="center"/>
            </w:pPr>
            <w:r/>
            <w:r>
              <w:rPr>
                <w:rFonts w:ascii="仿宋_GB2312" w:hAnsi="仿宋_GB2312" w:eastAsia="仿宋_GB2312"/>
                <w:b w:val="0"/>
                <w:color w:val="000000"/>
                <w:sz w:val="32"/>
              </w:rPr>
              <w:t>产值过50亿元企业</w:t>
            </w:r>
          </w:p>
        </w:tc>
        <w:tc>
          <w:tcPr>
            <w:tcW w:type="dxa" w:w="2835"/>
          </w:tcPr>
          <w:p>
            <w:pPr>
              <w:spacing w:lineRule="exact" w:line="600"/>
              <w:jc w:val="center"/>
            </w:pPr>
            <w:r/>
            <w:r>
              <w:rPr>
                <w:rFonts w:ascii="仿宋_GB2312" w:hAnsi="仿宋_GB2312" w:eastAsia="仿宋_GB2312"/>
                <w:b w:val="0"/>
                <w:color w:val="000000"/>
                <w:sz w:val="32"/>
              </w:rPr>
              <w:t>5家</w:t>
            </w:r>
          </w:p>
        </w:tc>
        <w:tc>
          <w:tcPr>
            <w:tcW w:type="dxa" w:w="2835"/>
          </w:tcPr>
          <w:p>
            <w:pPr>
              <w:spacing w:lineRule="exact" w:line="600"/>
              <w:jc w:val="center"/>
            </w:pPr>
            <w:r/>
            <w:r>
              <w:rPr>
                <w:rFonts w:ascii="仿宋_GB2312" w:hAnsi="仿宋_GB2312" w:eastAsia="仿宋_GB2312"/>
                <w:b w:val="0"/>
                <w:color w:val="000000"/>
                <w:sz w:val="32"/>
              </w:rPr>
              <w:t>东营市工信局</w:t>
            </w:r>
          </w:p>
        </w:tc>
      </w:tr>
      <w:tr>
        <w:tc>
          <w:tcPr>
            <w:tcW w:type="dxa" w:w="3118"/>
          </w:tcPr>
          <w:p>
            <w:pPr>
              <w:spacing w:lineRule="exact" w:line="600"/>
              <w:jc w:val="center"/>
            </w:pPr>
            <w:r/>
            <w:r>
              <w:rPr>
                <w:rFonts w:ascii="仿宋_GB2312" w:hAnsi="仿宋_GB2312" w:eastAsia="仿宋_GB2312"/>
                <w:b w:val="0"/>
                <w:color w:val="000000"/>
                <w:sz w:val="32"/>
              </w:rPr>
              <w:t>赛轮轮胎营业收入</w:t>
            </w:r>
          </w:p>
        </w:tc>
        <w:tc>
          <w:tcPr>
            <w:tcW w:type="dxa" w:w="2835"/>
          </w:tcPr>
          <w:p>
            <w:pPr>
              <w:spacing w:lineRule="exact" w:line="600"/>
              <w:jc w:val="center"/>
            </w:pPr>
            <w:r/>
            <w:r>
              <w:rPr>
                <w:rFonts w:ascii="仿宋_GB2312" w:hAnsi="仿宋_GB2312" w:eastAsia="仿宋_GB2312"/>
                <w:b w:val="0"/>
                <w:color w:val="000000"/>
                <w:sz w:val="32"/>
              </w:rPr>
              <w:t>318.02亿元（2024）</w:t>
            </w:r>
          </w:p>
        </w:tc>
        <w:tc>
          <w:tcPr>
            <w:tcW w:type="dxa" w:w="2835"/>
          </w:tcPr>
          <w:p>
            <w:pPr>
              <w:spacing w:lineRule="exact" w:line="600"/>
              <w:jc w:val="center"/>
            </w:pPr>
            <w:r/>
            <w:r>
              <w:rPr>
                <w:rFonts w:ascii="仿宋_GB2312" w:hAnsi="仿宋_GB2312" w:eastAsia="仿宋_GB2312"/>
                <w:b w:val="0"/>
                <w:color w:val="000000"/>
                <w:sz w:val="32"/>
              </w:rPr>
              <w:t>上市公司年报</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（一）材料工艺创新</w:t>
      </w:r>
    </w:p>
    <w:p>
      <w:pPr>
        <w:spacing w:lineRule="exact" w:line="600" w:before="0" w:after="0"/>
        <w:ind w:firstLine="420"/>
        <w:jc w:val="both"/>
      </w:pPr>
      <w:r>
        <w:rPr>
          <w:rFonts w:ascii="仿宋_GB2312" w:hAnsi="仿宋_GB2312" w:eastAsia="仿宋_GB2312"/>
          <w:b w:val="0"/>
          <w:color w:val="000000"/>
          <w:sz w:val="32"/>
        </w:rPr>
        <w:t>骨架材料向高模量、低收缩帘子布与新型结构钢帘线升级，兴达在广饶实现连续拉拔60万米不断丝，高于行业标准5倍以上，整体技术装备世界一流。炭黑领域烁元新材料与轮胎企业共用研发平台，从设计源头深度绑定，将研发资源互通共用，解决行业共性难题。绿色助剂推广微反应、清洁生产工艺，发展符合REACH的功能性产品。</w:t>
      </w:r>
    </w:p>
    <w:p>
      <w:pPr>
        <w:spacing w:lineRule="exact" w:line="600" w:before="120" w:after="120"/>
        <w:ind w:firstLine="420"/>
        <w:jc w:val="left"/>
      </w:pPr>
      <w:r>
        <w:rPr>
          <w:rFonts w:ascii="楷体_GB2312" w:hAnsi="楷体_GB2312" w:eastAsia="楷体_GB2312"/>
          <w:b w:val="0"/>
          <w:color w:val="000000"/>
          <w:sz w:val="32"/>
        </w:rPr>
        <w:t>（二）协同研发机制</w:t>
      </w:r>
    </w:p>
    <w:p>
      <w:pPr>
        <w:spacing w:lineRule="exact" w:line="600" w:before="0" w:after="0"/>
        <w:ind w:firstLine="420"/>
        <w:jc w:val="both"/>
      </w:pPr>
      <w:r>
        <w:rPr>
          <w:rFonts w:ascii="仿宋_GB2312" w:hAnsi="仿宋_GB2312" w:eastAsia="仿宋_GB2312"/>
          <w:b w:val="0"/>
          <w:color w:val="000000"/>
          <w:sz w:val="32"/>
        </w:rPr>
        <w:t>广饶搭建产业协同创新平台，将分散的配套企业串联整合。「企业出题、院所解题」模式使华盛等轮胎企业与高校合作攻关静音胎；配套企业同步参与，烁元协同研发模式已推广至钢丝、助剂等领域，平台累计解决共性技术难题17项。上下游由传统供应商关系升级为「创新合伙人」。</w:t>
      </w:r>
    </w:p>
    <w:p>
      <w:pPr>
        <w:spacing w:lineRule="exact" w:line="600" w:before="120" w:after="120"/>
        <w:ind w:firstLine="420"/>
        <w:jc w:val="left"/>
      </w:pPr>
      <w:r>
        <w:rPr>
          <w:rFonts w:ascii="楷体_GB2312" w:hAnsi="楷体_GB2312" w:eastAsia="楷体_GB2312"/>
          <w:b w:val="0"/>
          <w:color w:val="000000"/>
          <w:sz w:val="32"/>
        </w:rPr>
        <w:t>（三）智能化与绿色工艺</w:t>
      </w:r>
    </w:p>
    <w:p>
      <w:pPr>
        <w:spacing w:lineRule="exact" w:line="600" w:before="0" w:after="0"/>
        <w:ind w:firstLine="420"/>
        <w:jc w:val="both"/>
      </w:pPr>
      <w:r>
        <w:rPr>
          <w:rFonts w:ascii="仿宋_GB2312" w:hAnsi="仿宋_GB2312" w:eastAsia="仿宋_GB2312"/>
          <w:b w:val="0"/>
          <w:color w:val="000000"/>
          <w:sz w:val="32"/>
        </w:rPr>
        <w:t>兴达钢帘线项目智能化水平行业最高；盛润通工业布引进国际先进纺织设备，在节能、自动化、智能化上全面迭代。配套材料生产逐步引入MES系统实现数据追溯，与轮胎制造端的智能制造形成呼应，共同支撑集群绿色化、高端化。</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创新指标</w:t>
            </w:r>
          </w:p>
        </w:tc>
        <w:tc>
          <w:tcPr>
            <w:tcW w:type="dxa" w:w="3402"/>
          </w:tcPr>
          <w:p>
            <w:pPr>
              <w:spacing w:lineRule="exact" w:line="600"/>
              <w:jc w:val="center"/>
            </w:pPr>
            <w:r/>
            <w:r>
              <w:rPr>
                <w:rFonts w:ascii="黑体" w:hAnsi="黑体" w:eastAsia="黑体"/>
                <w:b/>
                <w:color w:val="000000"/>
                <w:sz w:val="32"/>
              </w:rPr>
              <w:t>数值/水平</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连续拉拔纪录</w:t>
            </w:r>
          </w:p>
        </w:tc>
        <w:tc>
          <w:tcPr>
            <w:tcW w:type="dxa" w:w="3402"/>
          </w:tcPr>
          <w:p>
            <w:pPr>
              <w:spacing w:lineRule="exact" w:line="600"/>
              <w:jc w:val="center"/>
            </w:pPr>
            <w:r/>
            <w:r>
              <w:rPr>
                <w:rFonts w:ascii="仿宋_GB2312" w:hAnsi="仿宋_GB2312" w:eastAsia="仿宋_GB2312"/>
                <w:b w:val="0"/>
                <w:color w:val="000000"/>
                <w:sz w:val="32"/>
              </w:rPr>
              <w:t>60万米不断丝</w:t>
            </w:r>
          </w:p>
        </w:tc>
        <w:tc>
          <w:tcPr>
            <w:tcW w:type="dxa" w:w="2835"/>
          </w:tcPr>
          <w:p>
            <w:pPr>
              <w:spacing w:lineRule="exact" w:line="600"/>
              <w:jc w:val="center"/>
            </w:pPr>
            <w:r/>
            <w:r>
              <w:rPr>
                <w:rFonts w:ascii="仿宋_GB2312" w:hAnsi="仿宋_GB2312" w:eastAsia="仿宋_GB2312"/>
                <w:b w:val="0"/>
                <w:color w:val="000000"/>
                <w:sz w:val="32"/>
              </w:rPr>
              <w:t>兴达，2024</w:t>
            </w:r>
          </w:p>
        </w:tc>
      </w:tr>
      <w:tr>
        <w:tc>
          <w:tcPr>
            <w:tcW w:type="dxa" w:w="2268"/>
          </w:tcPr>
          <w:p>
            <w:pPr>
              <w:spacing w:lineRule="exact" w:line="600"/>
              <w:jc w:val="center"/>
            </w:pPr>
            <w:r/>
            <w:r>
              <w:rPr>
                <w:rFonts w:ascii="仿宋_GB2312" w:hAnsi="仿宋_GB2312" w:eastAsia="仿宋_GB2312"/>
                <w:b w:val="0"/>
                <w:color w:val="000000"/>
                <w:sz w:val="32"/>
              </w:rPr>
              <w:t>协同解决共性难题</w:t>
            </w:r>
          </w:p>
        </w:tc>
        <w:tc>
          <w:tcPr>
            <w:tcW w:type="dxa" w:w="3402"/>
          </w:tcPr>
          <w:p>
            <w:pPr>
              <w:spacing w:lineRule="exact" w:line="600"/>
              <w:jc w:val="center"/>
            </w:pPr>
            <w:r/>
            <w:r>
              <w:rPr>
                <w:rFonts w:ascii="仿宋_GB2312" w:hAnsi="仿宋_GB2312" w:eastAsia="仿宋_GB2312"/>
                <w:b w:val="0"/>
                <w:color w:val="000000"/>
                <w:sz w:val="32"/>
              </w:rPr>
              <w:t>17项</w:t>
            </w:r>
          </w:p>
        </w:tc>
        <w:tc>
          <w:tcPr>
            <w:tcW w:type="dxa" w:w="2835"/>
          </w:tcPr>
          <w:p>
            <w:pPr>
              <w:spacing w:lineRule="exact" w:line="600"/>
              <w:jc w:val="center"/>
            </w:pPr>
            <w:r/>
            <w:r>
              <w:rPr>
                <w:rFonts w:ascii="仿宋_GB2312" w:hAnsi="仿宋_GB2312" w:eastAsia="仿宋_GB2312"/>
                <w:b w:val="0"/>
                <w:color w:val="000000"/>
                <w:sz w:val="32"/>
              </w:rPr>
              <w:t>广饶县，2024</w:t>
            </w:r>
          </w:p>
        </w:tc>
      </w:tr>
      <w:tr>
        <w:tc>
          <w:tcPr>
            <w:tcW w:type="dxa" w:w="2268"/>
          </w:tcPr>
          <w:p>
            <w:pPr>
              <w:spacing w:lineRule="exact" w:line="600"/>
              <w:jc w:val="center"/>
            </w:pPr>
            <w:r/>
            <w:r>
              <w:rPr>
                <w:rFonts w:ascii="仿宋_GB2312" w:hAnsi="仿宋_GB2312" w:eastAsia="仿宋_GB2312"/>
                <w:b w:val="0"/>
                <w:color w:val="000000"/>
                <w:sz w:val="32"/>
              </w:rPr>
              <w:t>烁元资质</w:t>
            </w:r>
          </w:p>
        </w:tc>
        <w:tc>
          <w:tcPr>
            <w:tcW w:type="dxa" w:w="3402"/>
          </w:tcPr>
          <w:p>
            <w:pPr>
              <w:spacing w:lineRule="exact" w:line="600"/>
              <w:jc w:val="center"/>
            </w:pPr>
            <w:r/>
            <w:r>
              <w:rPr>
                <w:rFonts w:ascii="仿宋_GB2312" w:hAnsi="仿宋_GB2312" w:eastAsia="仿宋_GB2312"/>
                <w:b w:val="0"/>
                <w:color w:val="000000"/>
                <w:sz w:val="32"/>
              </w:rPr>
              <w:t>国家级专精特新小巨人</w:t>
            </w:r>
          </w:p>
        </w:tc>
        <w:tc>
          <w:tcPr>
            <w:tcW w:type="dxa" w:w="2835"/>
          </w:tcPr>
          <w:p>
            <w:pPr>
              <w:spacing w:lineRule="exact" w:line="600"/>
              <w:jc w:val="center"/>
            </w:pPr>
            <w:r/>
            <w:r>
              <w:rPr>
                <w:rFonts w:ascii="仿宋_GB2312" w:hAnsi="仿宋_GB2312" w:eastAsia="仿宋_GB2312"/>
                <w:b w:val="0"/>
                <w:color w:val="000000"/>
                <w:sz w:val="32"/>
              </w:rPr>
              <w:t>工信部</w:t>
            </w:r>
          </w:p>
        </w:tc>
      </w:tr>
      <w:tr>
        <w:tc>
          <w:tcPr>
            <w:tcW w:type="dxa" w:w="2268"/>
          </w:tcPr>
          <w:p>
            <w:pPr>
              <w:spacing w:lineRule="exact" w:line="600"/>
              <w:jc w:val="center"/>
            </w:pPr>
            <w:r/>
            <w:r>
              <w:rPr>
                <w:rFonts w:ascii="仿宋_GB2312" w:hAnsi="仿宋_GB2312" w:eastAsia="仿宋_GB2312"/>
                <w:b w:val="0"/>
                <w:color w:val="000000"/>
                <w:sz w:val="32"/>
              </w:rPr>
              <w:t>工业布装备</w:t>
            </w:r>
          </w:p>
        </w:tc>
        <w:tc>
          <w:tcPr>
            <w:tcW w:type="dxa" w:w="3402"/>
          </w:tcPr>
          <w:p>
            <w:pPr>
              <w:spacing w:lineRule="exact" w:line="600"/>
              <w:jc w:val="center"/>
            </w:pPr>
            <w:r/>
            <w:r>
              <w:rPr>
                <w:rFonts w:ascii="仿宋_GB2312" w:hAnsi="仿宋_GB2312" w:eastAsia="仿宋_GB2312"/>
                <w:b w:val="0"/>
                <w:color w:val="000000"/>
                <w:sz w:val="32"/>
              </w:rPr>
              <w:t>国际先进/智能化</w:t>
            </w:r>
          </w:p>
        </w:tc>
        <w:tc>
          <w:tcPr>
            <w:tcW w:type="dxa" w:w="2835"/>
          </w:tcPr>
          <w:p>
            <w:pPr>
              <w:spacing w:lineRule="exact" w:line="600"/>
              <w:jc w:val="center"/>
            </w:pPr>
            <w:r/>
            <w:r>
              <w:rPr>
                <w:rFonts w:ascii="仿宋_GB2312" w:hAnsi="仿宋_GB2312" w:eastAsia="仿宋_GB2312"/>
                <w:b w:val="0"/>
                <w:color w:val="000000"/>
                <w:sz w:val="32"/>
              </w:rPr>
              <w:t>盛润通，2024</w:t>
            </w:r>
          </w:p>
        </w:tc>
      </w:tr>
      <w:tr>
        <w:tc>
          <w:tcPr>
            <w:tcW w:type="dxa" w:w="2268"/>
          </w:tcPr>
          <w:p>
            <w:pPr>
              <w:spacing w:lineRule="exact" w:line="600"/>
              <w:jc w:val="center"/>
            </w:pPr>
            <w:r/>
            <w:r>
              <w:rPr>
                <w:rFonts w:ascii="仿宋_GB2312" w:hAnsi="仿宋_GB2312" w:eastAsia="仿宋_GB2312"/>
                <w:b w:val="0"/>
                <w:color w:val="000000"/>
                <w:sz w:val="32"/>
              </w:rPr>
              <w:t>研发模式</w:t>
            </w:r>
          </w:p>
        </w:tc>
        <w:tc>
          <w:tcPr>
            <w:tcW w:type="dxa" w:w="3402"/>
          </w:tcPr>
          <w:p>
            <w:pPr>
              <w:spacing w:lineRule="exact" w:line="600"/>
              <w:jc w:val="center"/>
            </w:pPr>
            <w:r/>
            <w:r>
              <w:rPr>
                <w:rFonts w:ascii="仿宋_GB2312" w:hAnsi="仿宋_GB2312" w:eastAsia="仿宋_GB2312"/>
                <w:b w:val="0"/>
                <w:color w:val="000000"/>
                <w:sz w:val="32"/>
              </w:rPr>
              <w:t>企业出题院所解题</w:t>
            </w:r>
          </w:p>
        </w:tc>
        <w:tc>
          <w:tcPr>
            <w:tcW w:type="dxa" w:w="2835"/>
          </w:tcPr>
          <w:p>
            <w:pPr>
              <w:spacing w:lineRule="exact" w:line="600"/>
              <w:jc w:val="center"/>
            </w:pPr>
            <w:r/>
            <w:r>
              <w:rPr>
                <w:rFonts w:ascii="仿宋_GB2312" w:hAnsi="仿宋_GB2312" w:eastAsia="仿宋_GB2312"/>
                <w:b w:val="0"/>
                <w:color w:val="000000"/>
                <w:sz w:val="32"/>
              </w:rPr>
              <w:t>广饶县，2024</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（一）原料与成本</w:t>
      </w:r>
    </w:p>
    <w:p>
      <w:pPr>
        <w:spacing w:lineRule="exact" w:line="600" w:before="0" w:after="0"/>
        <w:ind w:firstLine="420"/>
        <w:jc w:val="both"/>
      </w:pPr>
      <w:r>
        <w:rPr>
          <w:rFonts w:ascii="仿宋_GB2312" w:hAnsi="仿宋_GB2312" w:eastAsia="仿宋_GB2312"/>
          <w:b w:val="0"/>
          <w:color w:val="000000"/>
          <w:sz w:val="32"/>
        </w:rPr>
        <w:t>钢丝帘线成本以钢材为主，炭黑以煤焦油/油为原料，合成橡胶以石脑油/碳四为原料，均受大宗商品价格影响。就近配套使物流成本显著下降，兴达「零距离」布局使技术响应效率提升一倍以上。盛润通工业布达产后年销售收入5亿元以上、利税2700万元以上，体现配套项目的盈利空间。</w:t>
      </w:r>
    </w:p>
    <w:p>
      <w:pPr>
        <w:spacing w:lineRule="exact" w:line="600" w:before="120" w:after="120"/>
        <w:ind w:firstLine="420"/>
        <w:jc w:val="left"/>
      </w:pPr>
      <w:r>
        <w:rPr>
          <w:rFonts w:ascii="楷体_GB2312" w:hAnsi="楷体_GB2312" w:eastAsia="楷体_GB2312"/>
          <w:b w:val="0"/>
          <w:color w:val="000000"/>
          <w:sz w:val="32"/>
        </w:rPr>
        <w:t>（二）能耗与环保</w:t>
      </w:r>
    </w:p>
    <w:p>
      <w:pPr>
        <w:spacing w:lineRule="exact" w:line="600" w:before="0" w:after="0"/>
        <w:ind w:firstLine="420"/>
        <w:jc w:val="both"/>
      </w:pPr>
      <w:r>
        <w:rPr>
          <w:rFonts w:ascii="仿宋_GB2312" w:hAnsi="仿宋_GB2312" w:eastAsia="仿宋_GB2312"/>
          <w:b w:val="0"/>
          <w:color w:val="000000"/>
          <w:sz w:val="32"/>
        </w:rPr>
        <w:t>炭黑为高耗能行业，受能耗双控与环保约束；绿色助剂需符合REACH、无6PPD等要求。广饶推动配套材料企业绿色化，鼓励生物质软化剂、环保树脂研发应用。轮胎模具、胶囊等配套相对轻耗，但均纳入集群绿色制造体系，与轮胎成品协同降碳。</w:t>
      </w:r>
    </w:p>
    <w:p>
      <w:pPr>
        <w:spacing w:lineRule="exact" w:line="600" w:before="120" w:after="120"/>
        <w:ind w:firstLine="420"/>
        <w:jc w:val="left"/>
      </w:pPr>
      <w:r>
        <w:rPr>
          <w:rFonts w:ascii="楷体_GB2312" w:hAnsi="楷体_GB2312" w:eastAsia="楷体_GB2312"/>
          <w:b w:val="0"/>
          <w:color w:val="000000"/>
          <w:sz w:val="32"/>
        </w:rPr>
        <w:t>（三）资金保障</w:t>
      </w:r>
    </w:p>
    <w:p>
      <w:pPr>
        <w:spacing w:lineRule="exact" w:line="600" w:before="0" w:after="0"/>
        <w:ind w:firstLine="420"/>
        <w:jc w:val="both"/>
      </w:pPr>
      <w:r>
        <w:rPr>
          <w:rFonts w:ascii="仿宋_GB2312" w:hAnsi="仿宋_GB2312" w:eastAsia="仿宋_GB2312"/>
          <w:b w:val="0"/>
          <w:color w:val="000000"/>
          <w:sz w:val="32"/>
        </w:rPr>
        <w:t>兴达、盛润通等项目的设备与产线投资需固定资产贷款与技改支持；烁元等「小巨人」研发需科创信贷。广饶通过产业链图谱精准招商与要素保障，配套材料项目与轮胎项目同步获得用地、能耗指标统筹，降低单体投资风险。</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要素指标</w:t>
            </w:r>
          </w:p>
        </w:tc>
        <w:tc>
          <w:tcPr>
            <w:tcW w:type="dxa" w:w="3685"/>
          </w:tcPr>
          <w:p>
            <w:pPr>
              <w:spacing w:lineRule="exact" w:line="600"/>
              <w:jc w:val="center"/>
            </w:pPr>
            <w:r/>
            <w:r>
              <w:rPr>
                <w:rFonts w:ascii="黑体" w:hAnsi="黑体" w:eastAsia="黑体"/>
                <w:b/>
                <w:color w:val="000000"/>
                <w:sz w:val="32"/>
              </w:rPr>
              <w:t>数值/特征</w:t>
            </w:r>
          </w:p>
        </w:tc>
        <w:tc>
          <w:tcPr>
            <w:tcW w:type="dxa" w:w="2551"/>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盛润通达产收入</w:t>
            </w:r>
          </w:p>
        </w:tc>
        <w:tc>
          <w:tcPr>
            <w:tcW w:type="dxa" w:w="3685"/>
          </w:tcPr>
          <w:p>
            <w:pPr>
              <w:spacing w:lineRule="exact" w:line="600"/>
              <w:jc w:val="center"/>
            </w:pPr>
            <w:r/>
            <w:r>
              <w:rPr>
                <w:rFonts w:ascii="仿宋_GB2312" w:hAnsi="仿宋_GB2312" w:eastAsia="仿宋_GB2312"/>
                <w:b w:val="0"/>
                <w:color w:val="000000"/>
                <w:sz w:val="32"/>
              </w:rPr>
              <w:t>5亿元+/利税2700万+</w:t>
            </w:r>
          </w:p>
        </w:tc>
        <w:tc>
          <w:tcPr>
            <w:tcW w:type="dxa" w:w="2551"/>
          </w:tcPr>
          <w:p>
            <w:pPr>
              <w:spacing w:lineRule="exact" w:line="600"/>
              <w:jc w:val="center"/>
            </w:pPr>
            <w:r/>
            <w:r>
              <w:rPr>
                <w:rFonts w:ascii="仿宋_GB2312" w:hAnsi="仿宋_GB2312" w:eastAsia="仿宋_GB2312"/>
                <w:b w:val="0"/>
                <w:color w:val="000000"/>
                <w:sz w:val="32"/>
              </w:rPr>
              <w:t>闪电新闻，2024</w:t>
            </w:r>
          </w:p>
        </w:tc>
      </w:tr>
      <w:tr>
        <w:tc>
          <w:tcPr>
            <w:tcW w:type="dxa" w:w="2268"/>
          </w:tcPr>
          <w:p>
            <w:pPr>
              <w:spacing w:lineRule="exact" w:line="600"/>
              <w:jc w:val="center"/>
            </w:pPr>
            <w:r/>
            <w:r>
              <w:rPr>
                <w:rFonts w:ascii="仿宋_GB2312" w:hAnsi="仿宋_GB2312" w:eastAsia="仿宋_GB2312"/>
                <w:b w:val="0"/>
                <w:color w:val="000000"/>
                <w:sz w:val="32"/>
              </w:rPr>
              <w:t>本地物流时效</w:t>
            </w:r>
          </w:p>
        </w:tc>
        <w:tc>
          <w:tcPr>
            <w:tcW w:type="dxa" w:w="3685"/>
          </w:tcPr>
          <w:p>
            <w:pPr>
              <w:spacing w:lineRule="exact" w:line="600"/>
              <w:jc w:val="center"/>
            </w:pPr>
            <w:r/>
            <w:r>
              <w:rPr>
                <w:rFonts w:ascii="仿宋_GB2312" w:hAnsi="仿宋_GB2312" w:eastAsia="仿宋_GB2312"/>
                <w:b w:val="0"/>
                <w:color w:val="000000"/>
                <w:sz w:val="32"/>
              </w:rPr>
              <w:t>当日达（原3天）</w:t>
            </w:r>
          </w:p>
        </w:tc>
        <w:tc>
          <w:tcPr>
            <w:tcW w:type="dxa" w:w="2551"/>
          </w:tcPr>
          <w:p>
            <w:pPr>
              <w:spacing w:lineRule="exact" w:line="600"/>
              <w:jc w:val="center"/>
            </w:pPr>
            <w:r/>
            <w:r>
              <w:rPr>
                <w:rFonts w:ascii="仿宋_GB2312" w:hAnsi="仿宋_GB2312" w:eastAsia="仿宋_GB2312"/>
                <w:b w:val="0"/>
                <w:color w:val="000000"/>
                <w:sz w:val="32"/>
              </w:rPr>
              <w:t>兴达，2024</w:t>
            </w:r>
          </w:p>
        </w:tc>
      </w:tr>
      <w:tr>
        <w:tc>
          <w:tcPr>
            <w:tcW w:type="dxa" w:w="2268"/>
          </w:tcPr>
          <w:p>
            <w:pPr>
              <w:spacing w:lineRule="exact" w:line="600"/>
              <w:jc w:val="center"/>
            </w:pPr>
            <w:r/>
            <w:r>
              <w:rPr>
                <w:rFonts w:ascii="仿宋_GB2312" w:hAnsi="仿宋_GB2312" w:eastAsia="仿宋_GB2312"/>
                <w:b w:val="0"/>
                <w:color w:val="000000"/>
                <w:sz w:val="32"/>
              </w:rPr>
              <w:t>技术响应</w:t>
            </w:r>
          </w:p>
        </w:tc>
        <w:tc>
          <w:tcPr>
            <w:tcW w:type="dxa" w:w="3685"/>
          </w:tcPr>
          <w:p>
            <w:pPr>
              <w:spacing w:lineRule="exact" w:line="600"/>
              <w:jc w:val="center"/>
            </w:pPr>
            <w:r/>
            <w:r>
              <w:rPr>
                <w:rFonts w:ascii="仿宋_GB2312" w:hAnsi="仿宋_GB2312" w:eastAsia="仿宋_GB2312"/>
                <w:b w:val="0"/>
                <w:color w:val="000000"/>
                <w:sz w:val="32"/>
              </w:rPr>
              <w:t>效率提升一倍以上</w:t>
            </w:r>
          </w:p>
        </w:tc>
        <w:tc>
          <w:tcPr>
            <w:tcW w:type="dxa" w:w="2551"/>
          </w:tcPr>
          <w:p>
            <w:pPr>
              <w:spacing w:lineRule="exact" w:line="600"/>
              <w:jc w:val="center"/>
            </w:pPr>
            <w:r/>
            <w:r>
              <w:rPr>
                <w:rFonts w:ascii="仿宋_GB2312" w:hAnsi="仿宋_GB2312" w:eastAsia="仿宋_GB2312"/>
                <w:b w:val="0"/>
                <w:color w:val="000000"/>
                <w:sz w:val="32"/>
              </w:rPr>
              <w:t>兴达，2024</w:t>
            </w:r>
          </w:p>
        </w:tc>
      </w:tr>
      <w:tr>
        <w:tc>
          <w:tcPr>
            <w:tcW w:type="dxa" w:w="2268"/>
          </w:tcPr>
          <w:p>
            <w:pPr>
              <w:spacing w:lineRule="exact" w:line="600"/>
              <w:jc w:val="center"/>
            </w:pPr>
            <w:r/>
            <w:r>
              <w:rPr>
                <w:rFonts w:ascii="仿宋_GB2312" w:hAnsi="仿宋_GB2312" w:eastAsia="仿宋_GB2312"/>
                <w:b w:val="0"/>
                <w:color w:val="000000"/>
                <w:sz w:val="32"/>
              </w:rPr>
              <w:t>环保约束</w:t>
            </w:r>
          </w:p>
        </w:tc>
        <w:tc>
          <w:tcPr>
            <w:tcW w:type="dxa" w:w="3685"/>
          </w:tcPr>
          <w:p>
            <w:pPr>
              <w:spacing w:lineRule="exact" w:line="600"/>
              <w:jc w:val="center"/>
            </w:pPr>
            <w:r/>
            <w:r>
              <w:rPr>
                <w:rFonts w:ascii="仿宋_GB2312" w:hAnsi="仿宋_GB2312" w:eastAsia="仿宋_GB2312"/>
                <w:b w:val="0"/>
                <w:color w:val="000000"/>
                <w:sz w:val="32"/>
              </w:rPr>
              <w:t>REACH/无6PPD</w:t>
            </w:r>
          </w:p>
        </w:tc>
        <w:tc>
          <w:tcPr>
            <w:tcW w:type="dxa" w:w="2551"/>
          </w:tcPr>
          <w:p>
            <w:pPr>
              <w:spacing w:lineRule="exact" w:line="600"/>
              <w:jc w:val="center"/>
            </w:pPr>
            <w:r/>
            <w:r>
              <w:rPr>
                <w:rFonts w:ascii="仿宋_GB2312" w:hAnsi="仿宋_GB2312" w:eastAsia="仿宋_GB2312"/>
                <w:b w:val="0"/>
                <w:color w:val="000000"/>
                <w:sz w:val="32"/>
              </w:rPr>
              <w:t>欧盟法规</w:t>
            </w:r>
          </w:p>
        </w:tc>
      </w:tr>
      <w:tr>
        <w:tc>
          <w:tcPr>
            <w:tcW w:type="dxa" w:w="2268"/>
          </w:tcPr>
          <w:p>
            <w:pPr>
              <w:spacing w:lineRule="exact" w:line="600"/>
              <w:jc w:val="center"/>
            </w:pPr>
            <w:r/>
            <w:r>
              <w:rPr>
                <w:rFonts w:ascii="仿宋_GB2312" w:hAnsi="仿宋_GB2312" w:eastAsia="仿宋_GB2312"/>
                <w:b w:val="0"/>
                <w:color w:val="000000"/>
                <w:sz w:val="32"/>
              </w:rPr>
              <w:t>资金工具</w:t>
            </w:r>
          </w:p>
        </w:tc>
        <w:tc>
          <w:tcPr>
            <w:tcW w:type="dxa" w:w="3685"/>
          </w:tcPr>
          <w:p>
            <w:pPr>
              <w:spacing w:lineRule="exact" w:line="600"/>
              <w:jc w:val="center"/>
            </w:pPr>
            <w:r/>
            <w:r>
              <w:rPr>
                <w:rFonts w:ascii="仿宋_GB2312" w:hAnsi="仿宋_GB2312" w:eastAsia="仿宋_GB2312"/>
                <w:b w:val="0"/>
                <w:color w:val="000000"/>
                <w:sz w:val="32"/>
              </w:rPr>
              <w:t>项目贷/科创贷</w:t>
            </w:r>
          </w:p>
        </w:tc>
        <w:tc>
          <w:tcPr>
            <w:tcW w:type="dxa" w:w="2551"/>
          </w:tcPr>
          <w:p>
            <w:pPr>
              <w:spacing w:lineRule="exact" w:line="600"/>
              <w:jc w:val="center"/>
            </w:pPr>
            <w:r/>
            <w:r>
              <w:rPr>
                <w:rFonts w:ascii="仿宋_GB2312" w:hAnsi="仿宋_GB2312" w:eastAsia="仿宋_GB2312"/>
                <w:b w:val="0"/>
                <w:color w:val="000000"/>
                <w:sz w:val="32"/>
              </w:rPr>
              <w:t>广饶要素保障</w:t>
            </w:r>
          </w:p>
        </w:tc>
      </w:tr>
    </w:tbl>
    <w:p>
      <w:pPr>
        <w:spacing w:lineRule="exact" w:line="600" w:before="120" w:after="120"/>
        <w:ind w:firstLine="420"/>
        <w:jc w:val="left"/>
      </w:pPr>
      <w:r>
        <w:rPr>
          <w:rFonts w:ascii="楷体_GB2312" w:hAnsi="楷体_GB2312" w:eastAsia="楷体_GB2312"/>
          <w:b w:val="0"/>
          <w:color w:val="000000"/>
          <w:sz w:val="32"/>
        </w:rPr>
        <w:t>能耗与智能制造水平（本批真实数据补充·来源见正文）</w:t>
      </w:r>
    </w:p>
    <w:p>
      <w:pPr>
        <w:spacing w:lineRule="exact" w:line="600" w:before="0" w:after="0"/>
        <w:ind w:firstLine="420"/>
        <w:jc w:val="both"/>
      </w:pPr>
      <w:r>
        <w:rPr>
          <w:rFonts w:ascii="仿宋_GB2312" w:hAnsi="仿宋_GB2312" w:eastAsia="仿宋_GB2312"/>
          <w:b w:val="0"/>
          <w:color w:val="000000"/>
          <w:sz w:val="32"/>
        </w:rPr>
        <w:t>广饶重点轮胎企业设备数控化率达90%；骨干轮胎企业全钢胎、半钢胎平均能耗分别为253千克标煤/吨、313千克标煤/吨，均优于全省标杆值；建成省级以上绿色工厂12个。当地规划多片橡胶产业园区用地，并与金融机构合作推出“轮胎贸易贷”缓解融资难。（来源：山东省网、经济日报2025年广饶轮胎报道）</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对标</w:t>
            </w:r>
          </w:p>
        </w:tc>
      </w:tr>
      <w:tr>
        <w:tc>
          <w:tcPr>
            <w:tcW w:type="dxa" w:w="2835"/>
          </w:tcPr>
          <w:p>
            <w:pPr>
              <w:spacing w:lineRule="exact" w:line="600"/>
              <w:jc w:val="center"/>
            </w:pPr>
            <w:r/>
            <w:r>
              <w:rPr>
                <w:rFonts w:ascii="仿宋_GB2312" w:hAnsi="仿宋_GB2312" w:eastAsia="仿宋_GB2312"/>
                <w:b w:val="0"/>
                <w:color w:val="000000"/>
                <w:sz w:val="32"/>
              </w:rPr>
              <w:t>重点企业设备数控化率</w:t>
            </w:r>
          </w:p>
        </w:tc>
        <w:tc>
          <w:tcPr>
            <w:tcW w:type="dxa" w:w="3118"/>
          </w:tcPr>
          <w:p>
            <w:pPr>
              <w:spacing w:lineRule="exact" w:line="600"/>
              <w:jc w:val="center"/>
            </w:pPr>
            <w:r/>
            <w:r>
              <w:rPr>
                <w:rFonts w:ascii="仿宋_GB2312" w:hAnsi="仿宋_GB2312" w:eastAsia="仿宋_GB2312"/>
                <w:b w:val="0"/>
                <w:color w:val="000000"/>
                <w:sz w:val="32"/>
              </w:rPr>
              <w:t>90%</w:t>
            </w:r>
          </w:p>
        </w:tc>
        <w:tc>
          <w:tcPr>
            <w:tcW w:type="dxa" w:w="2835"/>
          </w:tcPr>
          <w:p>
            <w:pPr>
              <w:spacing w:lineRule="exact" w:line="600"/>
              <w:jc w:val="center"/>
            </w:pPr>
            <w:r/>
            <w:r>
              <w:rPr>
                <w:rFonts w:ascii="仿宋_GB2312" w:hAnsi="仿宋_GB2312" w:eastAsia="仿宋_GB2312"/>
                <w:b w:val="0"/>
                <w:color w:val="000000"/>
                <w:sz w:val="32"/>
              </w:rPr>
              <w:t>国内先进</w:t>
            </w:r>
          </w:p>
        </w:tc>
      </w:tr>
      <w:tr>
        <w:tc>
          <w:tcPr>
            <w:tcW w:type="dxa" w:w="2835"/>
          </w:tcPr>
          <w:p>
            <w:pPr>
              <w:spacing w:lineRule="exact" w:line="600"/>
              <w:jc w:val="center"/>
            </w:pPr>
            <w:r/>
            <w:r>
              <w:rPr>
                <w:rFonts w:ascii="仿宋_GB2312" w:hAnsi="仿宋_GB2312" w:eastAsia="仿宋_GB2312"/>
                <w:b w:val="0"/>
                <w:color w:val="000000"/>
                <w:sz w:val="32"/>
              </w:rPr>
              <w:t>全钢胎平均能耗</w:t>
            </w:r>
          </w:p>
        </w:tc>
        <w:tc>
          <w:tcPr>
            <w:tcW w:type="dxa" w:w="3118"/>
          </w:tcPr>
          <w:p>
            <w:pPr>
              <w:spacing w:lineRule="exact" w:line="600"/>
              <w:jc w:val="center"/>
            </w:pPr>
            <w:r/>
            <w:r>
              <w:rPr>
                <w:rFonts w:ascii="仿宋_GB2312" w:hAnsi="仿宋_GB2312" w:eastAsia="仿宋_GB2312"/>
                <w:b w:val="0"/>
                <w:color w:val="000000"/>
                <w:sz w:val="32"/>
              </w:rPr>
              <w:t>253千克标煤/吨</w:t>
            </w:r>
          </w:p>
        </w:tc>
        <w:tc>
          <w:tcPr>
            <w:tcW w:type="dxa" w:w="2835"/>
          </w:tcPr>
          <w:p>
            <w:pPr>
              <w:spacing w:lineRule="exact" w:line="600"/>
              <w:jc w:val="center"/>
            </w:pPr>
            <w:r/>
            <w:r>
              <w:rPr>
                <w:rFonts w:ascii="仿宋_GB2312" w:hAnsi="仿宋_GB2312" w:eastAsia="仿宋_GB2312"/>
                <w:b w:val="0"/>
                <w:color w:val="000000"/>
                <w:sz w:val="32"/>
              </w:rPr>
              <w:t>优于全省标杆值</w:t>
            </w:r>
          </w:p>
        </w:tc>
      </w:tr>
      <w:tr>
        <w:tc>
          <w:tcPr>
            <w:tcW w:type="dxa" w:w="2835"/>
          </w:tcPr>
          <w:p>
            <w:pPr>
              <w:spacing w:lineRule="exact" w:line="600"/>
              <w:jc w:val="center"/>
            </w:pPr>
            <w:r/>
            <w:r>
              <w:rPr>
                <w:rFonts w:ascii="仿宋_GB2312" w:hAnsi="仿宋_GB2312" w:eastAsia="仿宋_GB2312"/>
                <w:b w:val="0"/>
                <w:color w:val="000000"/>
                <w:sz w:val="32"/>
              </w:rPr>
              <w:t>半钢胎平均能耗</w:t>
            </w:r>
          </w:p>
        </w:tc>
        <w:tc>
          <w:tcPr>
            <w:tcW w:type="dxa" w:w="3118"/>
          </w:tcPr>
          <w:p>
            <w:pPr>
              <w:spacing w:lineRule="exact" w:line="600"/>
              <w:jc w:val="center"/>
            </w:pPr>
            <w:r/>
            <w:r>
              <w:rPr>
                <w:rFonts w:ascii="仿宋_GB2312" w:hAnsi="仿宋_GB2312" w:eastAsia="仿宋_GB2312"/>
                <w:b w:val="0"/>
                <w:color w:val="000000"/>
                <w:sz w:val="32"/>
              </w:rPr>
              <w:t>313千克标煤/吨</w:t>
            </w:r>
          </w:p>
        </w:tc>
        <w:tc>
          <w:tcPr>
            <w:tcW w:type="dxa" w:w="2835"/>
          </w:tcPr>
          <w:p>
            <w:pPr>
              <w:spacing w:lineRule="exact" w:line="600"/>
              <w:jc w:val="center"/>
            </w:pPr>
            <w:r/>
            <w:r>
              <w:rPr>
                <w:rFonts w:ascii="仿宋_GB2312" w:hAnsi="仿宋_GB2312" w:eastAsia="仿宋_GB2312"/>
                <w:b w:val="0"/>
                <w:color w:val="000000"/>
                <w:sz w:val="32"/>
              </w:rPr>
              <w:t>优于全省标杆值</w:t>
            </w:r>
          </w:p>
        </w:tc>
      </w:tr>
      <w:tr>
        <w:tc>
          <w:tcPr>
            <w:tcW w:type="dxa" w:w="2835"/>
          </w:tcPr>
          <w:p>
            <w:pPr>
              <w:spacing w:lineRule="exact" w:line="600"/>
              <w:jc w:val="center"/>
            </w:pPr>
            <w:r/>
            <w:r>
              <w:rPr>
                <w:rFonts w:ascii="仿宋_GB2312" w:hAnsi="仿宋_GB2312" w:eastAsia="仿宋_GB2312"/>
                <w:b w:val="0"/>
                <w:color w:val="000000"/>
                <w:sz w:val="32"/>
              </w:rPr>
              <w:t>省级以上绿色工厂</w:t>
            </w:r>
          </w:p>
        </w:tc>
        <w:tc>
          <w:tcPr>
            <w:tcW w:type="dxa" w:w="3118"/>
          </w:tcPr>
          <w:p>
            <w:pPr>
              <w:spacing w:lineRule="exact" w:line="600"/>
              <w:jc w:val="center"/>
            </w:pPr>
            <w:r/>
            <w:r>
              <w:rPr>
                <w:rFonts w:ascii="仿宋_GB2312" w:hAnsi="仿宋_GB2312" w:eastAsia="仿宋_GB2312"/>
                <w:b w:val="0"/>
                <w:color w:val="000000"/>
                <w:sz w:val="32"/>
              </w:rPr>
              <w:t>12个</w:t>
            </w:r>
          </w:p>
        </w:tc>
        <w:tc>
          <w:tcPr>
            <w:tcW w:type="dxa" w:w="2835"/>
          </w:tcPr>
          <w:p>
            <w:pPr>
              <w:spacing w:lineRule="exact" w:line="600"/>
              <w:jc w:val="center"/>
            </w:pPr>
            <w:r/>
            <w:r>
              <w:rPr>
                <w:rFonts w:ascii="仿宋_GB2312" w:hAnsi="仿宋_GB2312" w:eastAsia="仿宋_GB2312"/>
                <w:b w:val="0"/>
                <w:color w:val="000000"/>
                <w:sz w:val="32"/>
              </w:rPr>
              <w:t>骨干轮胎企业</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轮胎产能持续扩张（广饶子午胎向2.4亿条迈进）带来配套材料稳定增量；高端化、新能源化拉动高模量帘线、绿色助剂、低滚阻白炭黑需求；石化与橡胶耦合、碳四深加工为合成橡胶补链提供原料基础；协同研发机制提升配套企业附加值。</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高端合成橡胶、高分散白炭黑、绿色助剂仍存短板，部分依赖外地或进口；配套企业客户集中度高，议价能力受轮胎企业波动传导；本地配套率75%，炭黑、合成橡胶等仍有缺口需外购。省内青岛、烟台化工新材料集群在合成橡胶上更具优势，形成竞争。</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大宗原料（钢、煤、油）价格波动直接冲击成本；炭黑等环保与能耗约束趋严，落后产能面临退出；欧盟REACH、零毁林、6PPD限制等绿色贸易壁垒向上游传导；若轮胎出口受贸易壁垒冲击下行，配套材料需求将同步收缩，存在联动风险。</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252"/>
          </w:tcPr>
          <w:p>
            <w:pPr>
              <w:spacing w:lineRule="exact" w:line="600"/>
              <w:jc w:val="center"/>
            </w:pPr>
            <w:r/>
            <w:r>
              <w:rPr>
                <w:rFonts w:ascii="黑体" w:hAnsi="黑体" w:eastAsia="黑体"/>
                <w:b/>
                <w:color w:val="000000"/>
                <w:sz w:val="32"/>
              </w:rPr>
              <w:t>表现</w:t>
            </w:r>
          </w:p>
        </w:tc>
        <w:tc>
          <w:tcPr>
            <w:tcW w:type="dxa" w:w="2551"/>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原料波动</w:t>
            </w:r>
          </w:p>
        </w:tc>
        <w:tc>
          <w:tcPr>
            <w:tcW w:type="dxa" w:w="4252"/>
          </w:tcPr>
          <w:p>
            <w:pPr>
              <w:spacing w:lineRule="exact" w:line="600"/>
              <w:jc w:val="center"/>
            </w:pPr>
            <w:r/>
            <w:r>
              <w:rPr>
                <w:rFonts w:ascii="仿宋_GB2312" w:hAnsi="仿宋_GB2312" w:eastAsia="仿宋_GB2312"/>
                <w:b w:val="0"/>
                <w:color w:val="000000"/>
                <w:sz w:val="32"/>
              </w:rPr>
              <w:t>钢/煤/油价格起伏</w:t>
            </w:r>
          </w:p>
        </w:tc>
        <w:tc>
          <w:tcPr>
            <w:tcW w:type="dxa" w:w="2551"/>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环保能耗</w:t>
            </w:r>
          </w:p>
        </w:tc>
        <w:tc>
          <w:tcPr>
            <w:tcW w:type="dxa" w:w="4252"/>
          </w:tcPr>
          <w:p>
            <w:pPr>
              <w:spacing w:lineRule="exact" w:line="600"/>
              <w:jc w:val="center"/>
            </w:pPr>
            <w:r/>
            <w:r>
              <w:rPr>
                <w:rFonts w:ascii="仿宋_GB2312" w:hAnsi="仿宋_GB2312" w:eastAsia="仿宋_GB2312"/>
                <w:b w:val="0"/>
                <w:color w:val="000000"/>
                <w:sz w:val="32"/>
              </w:rPr>
              <w:t>炭黑双控、REACH</w:t>
            </w:r>
          </w:p>
        </w:tc>
        <w:tc>
          <w:tcPr>
            <w:tcW w:type="dxa" w:w="2551"/>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需求联动</w:t>
            </w:r>
          </w:p>
        </w:tc>
        <w:tc>
          <w:tcPr>
            <w:tcW w:type="dxa" w:w="4252"/>
          </w:tcPr>
          <w:p>
            <w:pPr>
              <w:spacing w:lineRule="exact" w:line="600"/>
              <w:jc w:val="center"/>
            </w:pPr>
            <w:r/>
            <w:r>
              <w:rPr>
                <w:rFonts w:ascii="仿宋_GB2312" w:hAnsi="仿宋_GB2312" w:eastAsia="仿宋_GB2312"/>
                <w:b w:val="0"/>
                <w:color w:val="000000"/>
                <w:sz w:val="32"/>
              </w:rPr>
              <w:t>轮胎出口下滑传导</w:t>
            </w:r>
          </w:p>
        </w:tc>
        <w:tc>
          <w:tcPr>
            <w:tcW w:type="dxa" w:w="2551"/>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技术短板</w:t>
            </w:r>
          </w:p>
        </w:tc>
        <w:tc>
          <w:tcPr>
            <w:tcW w:type="dxa" w:w="4252"/>
          </w:tcPr>
          <w:p>
            <w:pPr>
              <w:spacing w:lineRule="exact" w:line="600"/>
              <w:jc w:val="center"/>
            </w:pPr>
            <w:r/>
            <w:r>
              <w:rPr>
                <w:rFonts w:ascii="仿宋_GB2312" w:hAnsi="仿宋_GB2312" w:eastAsia="仿宋_GB2312"/>
                <w:b w:val="0"/>
                <w:color w:val="000000"/>
                <w:sz w:val="32"/>
              </w:rPr>
              <w:t>高端合成胶依赖外购</w:t>
            </w:r>
          </w:p>
        </w:tc>
        <w:tc>
          <w:tcPr>
            <w:tcW w:type="dxa" w:w="2551"/>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竞争</w:t>
            </w:r>
          </w:p>
        </w:tc>
        <w:tc>
          <w:tcPr>
            <w:tcW w:type="dxa" w:w="4252"/>
          </w:tcPr>
          <w:p>
            <w:pPr>
              <w:spacing w:lineRule="exact" w:line="600"/>
              <w:jc w:val="center"/>
            </w:pPr>
            <w:r/>
            <w:r>
              <w:rPr>
                <w:rFonts w:ascii="仿宋_GB2312" w:hAnsi="仿宋_GB2312" w:eastAsia="仿宋_GB2312"/>
                <w:b w:val="0"/>
                <w:color w:val="000000"/>
                <w:sz w:val="32"/>
              </w:rPr>
              <w:t>青岛烟台化工集群</w:t>
            </w:r>
          </w:p>
        </w:tc>
        <w:tc>
          <w:tcPr>
            <w:tcW w:type="dxa" w:w="2551"/>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（一）补链强链方向</w:t>
      </w:r>
    </w:p>
    <w:p>
      <w:pPr>
        <w:spacing w:lineRule="exact" w:line="600" w:before="0" w:after="0"/>
        <w:ind w:firstLine="420"/>
        <w:jc w:val="both"/>
      </w:pPr>
      <w:r>
        <w:rPr>
          <w:rFonts w:ascii="仿宋_GB2312" w:hAnsi="仿宋_GB2312" w:eastAsia="仿宋_GB2312"/>
          <w:b w:val="0"/>
          <w:color w:val="000000"/>
          <w:sz w:val="32"/>
        </w:rPr>
        <w:t>规划明确补短板锻长板：发展壮大骨架材料、炭黑、轮胎胶囊、模具、橡胶助剂等配套产业，打造「20公里配套圈」提升本地配套率；推动橡胶、石化耦合，补齐高性能合成橡胶、橡胶助剂短板。鼓励新型结构钢帘线和高模量低收缩帘子布，加快碳纤维、芳纶等高性能纤维在轮胎骨架应用。</w:t>
      </w:r>
    </w:p>
    <w:p>
      <w:pPr>
        <w:spacing w:lineRule="exact" w:line="600" w:before="120" w:after="120"/>
        <w:ind w:firstLine="420"/>
        <w:jc w:val="left"/>
      </w:pPr>
      <w:r>
        <w:rPr>
          <w:rFonts w:ascii="楷体_GB2312" w:hAnsi="楷体_GB2312" w:eastAsia="楷体_GB2312"/>
          <w:b w:val="0"/>
          <w:color w:val="000000"/>
          <w:sz w:val="32"/>
        </w:rPr>
        <w:t>（二）材料高端化</w:t>
      </w:r>
    </w:p>
    <w:p>
      <w:pPr>
        <w:spacing w:lineRule="exact" w:line="600" w:before="0" w:after="0"/>
        <w:ind w:firstLine="420"/>
        <w:jc w:val="both"/>
      </w:pPr>
      <w:r>
        <w:rPr>
          <w:rFonts w:ascii="仿宋_GB2312" w:hAnsi="仿宋_GB2312" w:eastAsia="仿宋_GB2312"/>
          <w:b w:val="0"/>
          <w:color w:val="000000"/>
          <w:sz w:val="32"/>
        </w:rPr>
        <w:t>重点发展降低滚阻的高分散白炭黑、碳纳米材料、纳米空心微球、纳米硅酸盐等新型补强填料；研发感光、导电、磁性等功能橡胶；推广微反应清洁工艺的绿色助剂，推动生物质软化剂、环保树脂应用，满足欧盟REACH与低碳要求。</w:t>
      </w:r>
    </w:p>
    <w:p>
      <w:pPr>
        <w:spacing w:lineRule="exact" w:line="600" w:before="120" w:after="120"/>
        <w:ind w:firstLine="420"/>
        <w:jc w:val="left"/>
      </w:pPr>
      <w:r>
        <w:rPr>
          <w:rFonts w:ascii="楷体_GB2312" w:hAnsi="楷体_GB2312" w:eastAsia="楷体_GB2312"/>
          <w:b w:val="0"/>
          <w:color w:val="000000"/>
          <w:sz w:val="32"/>
        </w:rPr>
        <w:t>（三）协同与绿色</w:t>
      </w:r>
    </w:p>
    <w:p>
      <w:pPr>
        <w:spacing w:lineRule="exact" w:line="600" w:before="0" w:after="0"/>
        <w:ind w:firstLine="420"/>
        <w:jc w:val="both"/>
      </w:pPr>
      <w:r>
        <w:rPr>
          <w:rFonts w:ascii="仿宋_GB2312" w:hAnsi="仿宋_GB2312" w:eastAsia="仿宋_GB2312"/>
          <w:b w:val="0"/>
          <w:color w:val="000000"/>
          <w:sz w:val="32"/>
        </w:rPr>
        <w:t>深化「创新合伙人」协同研发，将平台模式由轮胎扩展至钢丝、助剂全领域；推动配套企业专精特新发展，培育细分隐形冠军；与轮胎成品协同构建绿色制造体系，实现能源梯级利用与产业循环衔接，支撑千亿级集群生态。</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升级方向</w:t>
            </w:r>
          </w:p>
        </w:tc>
        <w:tc>
          <w:tcPr>
            <w:tcW w:type="dxa" w:w="4252"/>
          </w:tcPr>
          <w:p>
            <w:pPr>
              <w:spacing w:lineRule="exact" w:line="600"/>
              <w:jc w:val="center"/>
            </w:pPr>
            <w:r/>
            <w:r>
              <w:rPr>
                <w:rFonts w:ascii="黑体" w:hAnsi="黑体" w:eastAsia="黑体"/>
                <w:b/>
                <w:color w:val="000000"/>
                <w:sz w:val="32"/>
              </w:rPr>
              <w:t>重点内容</w:t>
            </w:r>
          </w:p>
        </w:tc>
        <w:tc>
          <w:tcPr>
            <w:tcW w:type="dxa" w:w="2551"/>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补链</w:t>
            </w:r>
          </w:p>
        </w:tc>
        <w:tc>
          <w:tcPr>
            <w:tcW w:type="dxa" w:w="4252"/>
          </w:tcPr>
          <w:p>
            <w:pPr>
              <w:spacing w:lineRule="exact" w:line="600"/>
              <w:jc w:val="center"/>
            </w:pPr>
            <w:r/>
            <w:r>
              <w:rPr>
                <w:rFonts w:ascii="仿宋_GB2312" w:hAnsi="仿宋_GB2312" w:eastAsia="仿宋_GB2312"/>
                <w:b w:val="0"/>
                <w:color w:val="000000"/>
                <w:sz w:val="32"/>
              </w:rPr>
              <w:t>合成橡胶/助剂短板</w:t>
            </w:r>
          </w:p>
        </w:tc>
        <w:tc>
          <w:tcPr>
            <w:tcW w:type="dxa" w:w="2551"/>
          </w:tcPr>
          <w:p>
            <w:pPr>
              <w:spacing w:lineRule="exact" w:line="600"/>
              <w:jc w:val="center"/>
            </w:pPr>
            <w:r/>
            <w:r>
              <w:rPr>
                <w:rFonts w:ascii="仿宋_GB2312" w:hAnsi="仿宋_GB2312" w:eastAsia="仿宋_GB2312"/>
                <w:b w:val="0"/>
                <w:color w:val="000000"/>
                <w:sz w:val="32"/>
              </w:rPr>
              <w:t>本地配套率↑</w:t>
            </w:r>
          </w:p>
        </w:tc>
      </w:tr>
      <w:tr>
        <w:tc>
          <w:tcPr>
            <w:tcW w:type="dxa" w:w="1701"/>
          </w:tcPr>
          <w:p>
            <w:pPr>
              <w:spacing w:lineRule="exact" w:line="600"/>
              <w:jc w:val="center"/>
            </w:pPr>
            <w:r/>
            <w:r>
              <w:rPr>
                <w:rFonts w:ascii="仿宋_GB2312" w:hAnsi="仿宋_GB2312" w:eastAsia="仿宋_GB2312"/>
                <w:b w:val="0"/>
                <w:color w:val="000000"/>
                <w:sz w:val="32"/>
              </w:rPr>
              <w:t>高端材料</w:t>
            </w:r>
          </w:p>
        </w:tc>
        <w:tc>
          <w:tcPr>
            <w:tcW w:type="dxa" w:w="4252"/>
          </w:tcPr>
          <w:p>
            <w:pPr>
              <w:spacing w:lineRule="exact" w:line="600"/>
              <w:jc w:val="center"/>
            </w:pPr>
            <w:r/>
            <w:r>
              <w:rPr>
                <w:rFonts w:ascii="仿宋_GB2312" w:hAnsi="仿宋_GB2312" w:eastAsia="仿宋_GB2312"/>
                <w:b w:val="0"/>
                <w:color w:val="000000"/>
                <w:sz w:val="32"/>
              </w:rPr>
              <w:t>白炭黑/碳纳米/功能胶</w:t>
            </w:r>
          </w:p>
        </w:tc>
        <w:tc>
          <w:tcPr>
            <w:tcW w:type="dxa" w:w="2551"/>
          </w:tcPr>
          <w:p>
            <w:pPr>
              <w:spacing w:lineRule="exact" w:line="600"/>
              <w:jc w:val="center"/>
            </w:pPr>
            <w:r/>
            <w:r>
              <w:rPr>
                <w:rFonts w:ascii="仿宋_GB2312" w:hAnsi="仿宋_GB2312" w:eastAsia="仿宋_GB2312"/>
                <w:b w:val="0"/>
                <w:color w:val="000000"/>
                <w:sz w:val="32"/>
              </w:rPr>
              <w:t>绿色高性能</w:t>
            </w:r>
          </w:p>
        </w:tc>
      </w:tr>
      <w:tr>
        <w:tc>
          <w:tcPr>
            <w:tcW w:type="dxa" w:w="1701"/>
          </w:tcPr>
          <w:p>
            <w:pPr>
              <w:spacing w:lineRule="exact" w:line="600"/>
              <w:jc w:val="center"/>
            </w:pPr>
            <w:r/>
            <w:r>
              <w:rPr>
                <w:rFonts w:ascii="仿宋_GB2312" w:hAnsi="仿宋_GB2312" w:eastAsia="仿宋_GB2312"/>
                <w:b w:val="0"/>
                <w:color w:val="000000"/>
                <w:sz w:val="32"/>
              </w:rPr>
              <w:t>协同研发</w:t>
            </w:r>
          </w:p>
        </w:tc>
        <w:tc>
          <w:tcPr>
            <w:tcW w:type="dxa" w:w="4252"/>
          </w:tcPr>
          <w:p>
            <w:pPr>
              <w:spacing w:lineRule="exact" w:line="600"/>
              <w:jc w:val="center"/>
            </w:pPr>
            <w:r/>
            <w:r>
              <w:rPr>
                <w:rFonts w:ascii="仿宋_GB2312" w:hAnsi="仿宋_GB2312" w:eastAsia="仿宋_GB2312"/>
                <w:b w:val="0"/>
                <w:color w:val="000000"/>
                <w:sz w:val="32"/>
              </w:rPr>
              <w:t>平台扩至全领域</w:t>
            </w:r>
          </w:p>
        </w:tc>
        <w:tc>
          <w:tcPr>
            <w:tcW w:type="dxa" w:w="2551"/>
          </w:tcPr>
          <w:p>
            <w:pPr>
              <w:spacing w:lineRule="exact" w:line="600"/>
              <w:jc w:val="center"/>
            </w:pPr>
            <w:r/>
            <w:r>
              <w:rPr>
                <w:rFonts w:ascii="仿宋_GB2312" w:hAnsi="仿宋_GB2312" w:eastAsia="仿宋_GB2312"/>
                <w:b w:val="0"/>
                <w:color w:val="000000"/>
                <w:sz w:val="32"/>
              </w:rPr>
              <w:t>共性难题解决</w:t>
            </w:r>
          </w:p>
        </w:tc>
      </w:tr>
      <w:tr>
        <w:tc>
          <w:tcPr>
            <w:tcW w:type="dxa" w:w="1701"/>
          </w:tcPr>
          <w:p>
            <w:pPr>
              <w:spacing w:lineRule="exact" w:line="600"/>
              <w:jc w:val="center"/>
            </w:pPr>
            <w:r/>
            <w:r>
              <w:rPr>
                <w:rFonts w:ascii="仿宋_GB2312" w:hAnsi="仿宋_GB2312" w:eastAsia="仿宋_GB2312"/>
                <w:b w:val="0"/>
                <w:color w:val="000000"/>
                <w:sz w:val="32"/>
              </w:rPr>
              <w:t>专精特新</w:t>
            </w:r>
          </w:p>
        </w:tc>
        <w:tc>
          <w:tcPr>
            <w:tcW w:type="dxa" w:w="4252"/>
          </w:tcPr>
          <w:p>
            <w:pPr>
              <w:spacing w:lineRule="exact" w:line="600"/>
              <w:jc w:val="center"/>
            </w:pPr>
            <w:r/>
            <w:r>
              <w:rPr>
                <w:rFonts w:ascii="仿宋_GB2312" w:hAnsi="仿宋_GB2312" w:eastAsia="仿宋_GB2312"/>
                <w:b w:val="0"/>
                <w:color w:val="000000"/>
                <w:sz w:val="32"/>
              </w:rPr>
              <w:t>培育隐形冠军</w:t>
            </w:r>
          </w:p>
        </w:tc>
        <w:tc>
          <w:tcPr>
            <w:tcW w:type="dxa" w:w="2551"/>
          </w:tcPr>
          <w:p>
            <w:pPr>
              <w:spacing w:lineRule="exact" w:line="600"/>
              <w:jc w:val="center"/>
            </w:pPr>
            <w:r/>
            <w:r>
              <w:rPr>
                <w:rFonts w:ascii="仿宋_GB2312" w:hAnsi="仿宋_GB2312" w:eastAsia="仿宋_GB2312"/>
                <w:b w:val="0"/>
                <w:color w:val="000000"/>
                <w:sz w:val="32"/>
              </w:rPr>
              <w:t>配套竞争力</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（一）产能扩建融资</w:t>
      </w:r>
    </w:p>
    <w:p>
      <w:pPr>
        <w:spacing w:lineRule="exact" w:line="600" w:before="0" w:after="0"/>
        <w:ind w:firstLine="420"/>
        <w:jc w:val="both"/>
      </w:pPr>
      <w:r>
        <w:rPr>
          <w:rFonts w:ascii="仿宋_GB2312" w:hAnsi="仿宋_GB2312" w:eastAsia="仿宋_GB2312"/>
          <w:b w:val="0"/>
          <w:color w:val="000000"/>
          <w:sz w:val="32"/>
        </w:rPr>
        <w:t>兴达钢帘线10万吨胎圈钢丝、7.5万吨钢帘线项目，盛润通3.5万吨工业布二期等需项目建设贷款与设备融资；若进一步扩能（对齐近2亿条轮胎产能），配套材料总投资规模可达数十亿元，需银团贷款与产业基金支持。</w:t>
      </w:r>
    </w:p>
    <w:p>
      <w:pPr>
        <w:spacing w:lineRule="exact" w:line="600" w:before="120" w:after="120"/>
        <w:ind w:firstLine="420"/>
        <w:jc w:val="left"/>
      </w:pPr>
      <w:r>
        <w:rPr>
          <w:rFonts w:ascii="楷体_GB2312" w:hAnsi="楷体_GB2312" w:eastAsia="楷体_GB2312"/>
          <w:b w:val="0"/>
          <w:color w:val="000000"/>
          <w:sz w:val="32"/>
        </w:rPr>
        <w:t>（二）研发与绿色改造融资</w:t>
      </w:r>
    </w:p>
    <w:p>
      <w:pPr>
        <w:spacing w:lineRule="exact" w:line="600" w:before="0" w:after="0"/>
        <w:ind w:firstLine="420"/>
        <w:jc w:val="both"/>
      </w:pPr>
      <w:r>
        <w:rPr>
          <w:rFonts w:ascii="仿宋_GB2312" w:hAnsi="仿宋_GB2312" w:eastAsia="仿宋_GB2312"/>
          <w:b w:val="0"/>
          <w:color w:val="000000"/>
          <w:sz w:val="32"/>
        </w:rPr>
        <w:t>高分散白炭黑、绿色助剂、功能橡胶研发需科创再贷款与研发贷；炭黑企业节能降碳改造、REACH合规改造需绿色信贷与碳减排支持工具。烁元等「小巨人」可借助专精特新专项融资降低资金成本。</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依托「轮胎贸易贷」与产业链核心企业信用，发展应收账款融资、仓单质押，缓解配套材料中小企业流动资金压力；通过产业大脑数据共享，实现配套企业与轮胎龙头的订单、物流、资金闭环，提升整体融资效率。</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融资方向</w:t>
            </w:r>
          </w:p>
        </w:tc>
        <w:tc>
          <w:tcPr>
            <w:tcW w:type="dxa" w:w="3685"/>
          </w:tcPr>
          <w:p>
            <w:pPr>
              <w:spacing w:lineRule="exact" w:line="600"/>
              <w:jc w:val="center"/>
            </w:pPr>
            <w:r/>
            <w:r>
              <w:rPr>
                <w:rFonts w:ascii="黑体" w:hAnsi="黑体" w:eastAsia="黑体"/>
                <w:b/>
                <w:color w:val="000000"/>
                <w:sz w:val="32"/>
              </w:rPr>
              <w:t>规模/示例</w:t>
            </w:r>
          </w:p>
        </w:tc>
        <w:tc>
          <w:tcPr>
            <w:tcW w:type="dxa" w:w="3118"/>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产能扩建</w:t>
            </w:r>
          </w:p>
        </w:tc>
        <w:tc>
          <w:tcPr>
            <w:tcW w:type="dxa" w:w="3685"/>
          </w:tcPr>
          <w:p>
            <w:pPr>
              <w:spacing w:lineRule="exact" w:line="600"/>
              <w:jc w:val="center"/>
            </w:pPr>
            <w:r/>
            <w:r>
              <w:rPr>
                <w:rFonts w:ascii="仿宋_GB2312" w:hAnsi="仿宋_GB2312" w:eastAsia="仿宋_GB2312"/>
                <w:b w:val="0"/>
                <w:color w:val="000000"/>
                <w:sz w:val="32"/>
              </w:rPr>
              <w:t>兴达/盛润通项目</w:t>
            </w:r>
          </w:p>
        </w:tc>
        <w:tc>
          <w:tcPr>
            <w:tcW w:type="dxa" w:w="3118"/>
          </w:tcPr>
          <w:p>
            <w:pPr>
              <w:spacing w:lineRule="exact" w:line="600"/>
              <w:jc w:val="center"/>
            </w:pPr>
            <w:r/>
            <w:r>
              <w:rPr>
                <w:rFonts w:ascii="仿宋_GB2312" w:hAnsi="仿宋_GB2312" w:eastAsia="仿宋_GB2312"/>
                <w:b w:val="0"/>
                <w:color w:val="000000"/>
                <w:sz w:val="32"/>
              </w:rPr>
              <w:t>项目贷、产业基金</w:t>
            </w:r>
          </w:p>
        </w:tc>
      </w:tr>
      <w:tr>
        <w:tc>
          <w:tcPr>
            <w:tcW w:type="dxa" w:w="1984"/>
          </w:tcPr>
          <w:p>
            <w:pPr>
              <w:spacing w:lineRule="exact" w:line="600"/>
              <w:jc w:val="center"/>
            </w:pPr>
            <w:r/>
            <w:r>
              <w:rPr>
                <w:rFonts w:ascii="仿宋_GB2312" w:hAnsi="仿宋_GB2312" w:eastAsia="仿宋_GB2312"/>
                <w:b w:val="0"/>
                <w:color w:val="000000"/>
                <w:sz w:val="32"/>
              </w:rPr>
              <w:t>研发</w:t>
            </w:r>
          </w:p>
        </w:tc>
        <w:tc>
          <w:tcPr>
            <w:tcW w:type="dxa" w:w="3685"/>
          </w:tcPr>
          <w:p>
            <w:pPr>
              <w:spacing w:lineRule="exact" w:line="600"/>
              <w:jc w:val="center"/>
            </w:pPr>
            <w:r/>
            <w:r>
              <w:rPr>
                <w:rFonts w:ascii="仿宋_GB2312" w:hAnsi="仿宋_GB2312" w:eastAsia="仿宋_GB2312"/>
                <w:b w:val="0"/>
                <w:color w:val="000000"/>
                <w:sz w:val="32"/>
              </w:rPr>
              <w:t>功能胶/白炭黑</w:t>
            </w:r>
          </w:p>
        </w:tc>
        <w:tc>
          <w:tcPr>
            <w:tcW w:type="dxa" w:w="3118"/>
          </w:tcPr>
          <w:p>
            <w:pPr>
              <w:spacing w:lineRule="exact" w:line="600"/>
              <w:jc w:val="center"/>
            </w:pPr>
            <w:r/>
            <w:r>
              <w:rPr>
                <w:rFonts w:ascii="仿宋_GB2312" w:hAnsi="仿宋_GB2312" w:eastAsia="仿宋_GB2312"/>
                <w:b w:val="0"/>
                <w:color w:val="000000"/>
                <w:sz w:val="32"/>
              </w:rPr>
              <w:t>科创再贷款</w:t>
            </w:r>
          </w:p>
        </w:tc>
      </w:tr>
      <w:tr>
        <w:tc>
          <w:tcPr>
            <w:tcW w:type="dxa" w:w="1984"/>
          </w:tcPr>
          <w:p>
            <w:pPr>
              <w:spacing w:lineRule="exact" w:line="600"/>
              <w:jc w:val="center"/>
            </w:pPr>
            <w:r/>
            <w:r>
              <w:rPr>
                <w:rFonts w:ascii="仿宋_GB2312" w:hAnsi="仿宋_GB2312" w:eastAsia="仿宋_GB2312"/>
                <w:b w:val="0"/>
                <w:color w:val="000000"/>
                <w:sz w:val="32"/>
              </w:rPr>
              <w:t>绿色改造</w:t>
            </w:r>
          </w:p>
        </w:tc>
        <w:tc>
          <w:tcPr>
            <w:tcW w:type="dxa" w:w="3685"/>
          </w:tcPr>
          <w:p>
            <w:pPr>
              <w:spacing w:lineRule="exact" w:line="600"/>
              <w:jc w:val="center"/>
            </w:pPr>
            <w:r/>
            <w:r>
              <w:rPr>
                <w:rFonts w:ascii="仿宋_GB2312" w:hAnsi="仿宋_GB2312" w:eastAsia="仿宋_GB2312"/>
                <w:b w:val="0"/>
                <w:color w:val="000000"/>
                <w:sz w:val="32"/>
              </w:rPr>
              <w:t>炭黑节能降碳</w:t>
            </w:r>
          </w:p>
        </w:tc>
        <w:tc>
          <w:tcPr>
            <w:tcW w:type="dxa" w:w="3118"/>
          </w:tcPr>
          <w:p>
            <w:pPr>
              <w:spacing w:lineRule="exact" w:line="600"/>
              <w:jc w:val="center"/>
            </w:pPr>
            <w:r/>
            <w:r>
              <w:rPr>
                <w:rFonts w:ascii="仿宋_GB2312" w:hAnsi="仿宋_GB2312" w:eastAsia="仿宋_GB2312"/>
                <w:b w:val="0"/>
                <w:color w:val="000000"/>
                <w:sz w:val="32"/>
              </w:rPr>
              <w:t>绿色信贷</w:t>
            </w:r>
          </w:p>
        </w:tc>
      </w:tr>
      <w:tr>
        <w:tc>
          <w:tcPr>
            <w:tcW w:type="dxa" w:w="1984"/>
          </w:tcPr>
          <w:p>
            <w:pPr>
              <w:spacing w:lineRule="exact" w:line="600"/>
              <w:jc w:val="center"/>
            </w:pPr>
            <w:r/>
            <w:r>
              <w:rPr>
                <w:rFonts w:ascii="仿宋_GB2312" w:hAnsi="仿宋_GB2312" w:eastAsia="仿宋_GB2312"/>
                <w:b w:val="0"/>
                <w:color w:val="000000"/>
                <w:sz w:val="32"/>
              </w:rPr>
              <w:t>流贷</w:t>
            </w:r>
          </w:p>
        </w:tc>
        <w:tc>
          <w:tcPr>
            <w:tcW w:type="dxa" w:w="3685"/>
          </w:tcPr>
          <w:p>
            <w:pPr>
              <w:spacing w:lineRule="exact" w:line="600"/>
              <w:jc w:val="center"/>
            </w:pPr>
            <w:r/>
            <w:r>
              <w:rPr>
                <w:rFonts w:ascii="仿宋_GB2312" w:hAnsi="仿宋_GB2312" w:eastAsia="仿宋_GB2312"/>
                <w:b w:val="0"/>
                <w:color w:val="000000"/>
                <w:sz w:val="32"/>
              </w:rPr>
              <w:t>中小企业周转</w:t>
            </w:r>
          </w:p>
        </w:tc>
        <w:tc>
          <w:tcPr>
            <w:tcW w:type="dxa" w:w="3118"/>
          </w:tcPr>
          <w:p>
            <w:pPr>
              <w:spacing w:lineRule="exact" w:line="600"/>
              <w:jc w:val="center"/>
            </w:pPr>
            <w:r/>
            <w:r>
              <w:rPr>
                <w:rFonts w:ascii="仿宋_GB2312" w:hAnsi="仿宋_GB2312" w:eastAsia="仿宋_GB2312"/>
                <w:b w:val="0"/>
                <w:color w:val="000000"/>
                <w:sz w:val="32"/>
              </w:rPr>
              <w:t>供应链金融/贸易贷</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兴达钢帘线有限公司：江苏兴达与兴源轮胎合资，落户广饶，已建成年产10万吨钢帘线，推进10万吨/年胎圈钢丝、7.5万吨/年钢丝帘线项目，单体规模国内最大、智能化水平行业最高，创连续拉拔60万米不断丝纪录，技术对接效率提升一倍以上。来源：广饶县报道、兴达公开资料。</w:t>
      </w:r>
    </w:p>
    <w:p>
      <w:pPr>
        <w:spacing w:lineRule="exact" w:line="600" w:before="0" w:after="0"/>
        <w:ind w:firstLine="420"/>
        <w:jc w:val="both"/>
      </w:pPr>
      <w:r>
        <w:rPr>
          <w:rFonts w:ascii="仿宋_GB2312" w:hAnsi="仿宋_GB2312" w:eastAsia="仿宋_GB2312"/>
          <w:b w:val="0"/>
          <w:color w:val="000000"/>
          <w:sz w:val="32"/>
        </w:rPr>
        <w:t>山东盛润通纺织科技有限公司：2022年成立，投资3.5万吨/年高端轮胎工业布项目补强帘子布短板，二期2024年6月底竣工，完全达产可实现年销售收入5亿元以上、利税2700万元以上，引进国际先进纺织设备实现节能智能化。来源：齐鲁网闪电新闻。</w:t>
      </w:r>
    </w:p>
    <w:p>
      <w:pPr>
        <w:spacing w:lineRule="exact" w:line="600" w:before="0" w:after="0"/>
        <w:ind w:firstLine="420"/>
        <w:jc w:val="both"/>
      </w:pPr>
      <w:r>
        <w:rPr>
          <w:rFonts w:ascii="仿宋_GB2312" w:hAnsi="仿宋_GB2312" w:eastAsia="仿宋_GB2312"/>
          <w:b w:val="0"/>
          <w:color w:val="000000"/>
          <w:sz w:val="32"/>
        </w:rPr>
        <w:t>烁元新材料：炭黑与补强材料领域国家级专精特新「小巨人」，与轮胎企业共用研发平台、从设计源头协同，平台累计助力解决行业共性技术难题17项，协同研发模式成产业样板并推广至钢丝、助剂领域。来源：广饶县报道、搜狐解码系列。</w:t>
      </w:r>
    </w:p>
    <w:p>
      <w:pPr>
        <w:spacing w:lineRule="exact" w:line="600" w:before="0" w:after="0"/>
        <w:jc w:val="left"/>
      </w:pPr>
      <w:r>
        <w:rPr>
          <w:rFonts w:ascii="仿宋_GB2312" w:hAnsi="仿宋_GB2312" w:eastAsia="仿宋_GB2312"/>
          <w:b w:val="0"/>
          <w:color w:val="000000"/>
          <w:sz w:val="28"/>
        </w:rPr>
        <w:t>主要数据来源：《东营市橡胶轮胎产业发展规划（2024—2028年）》（东工信字〔2024〕48号）；广饶县人民政府官网、东营日报《「轮胎之都」塑强新质生产力》（2024年5月）；齐鲁网闪电新闻《广饶县：以链筑基 以新赋能 轮胎产业集群加速聚合》（2024年5月）；搜狐《解码广饶轮胎「新质生产力」系列报道之一：链的融合》（2024年）；山东省工业和信息化厅《山东省化工行业投资项目管理规定》（2022年10月）；江苏兴达钢帘线/山东兴达公开资料、山东盛润通纺织科技公开资料；青岛科技大学广饶橡胶工业研究院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