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山东广饶（橡胶轮胎）特色产业集群</w:t>
      </w:r>
    </w:p>
    <w:p>
      <w:pPr>
        <w:spacing w:lineRule="exact" w:line="600" w:before="240" w:after="240"/>
        <w:ind w:firstLine="0"/>
        <w:jc w:val="center"/>
      </w:pPr>
      <w:r>
        <w:rPr>
          <w:rFonts w:ascii="方正小标宋简体" w:hAnsi="方正小标宋简体" w:eastAsia="方正小标宋简体"/>
          <w:b w:val="0"/>
          <w:color w:val="000000"/>
          <w:sz w:val="44"/>
        </w:rPr>
        <w:t>轮胎装备与循环利用行业深度分析报告</w:t>
      </w:r>
    </w:p>
    <w:p>
      <w:pPr>
        <w:spacing w:lineRule="exact" w:line="600" w:before="0" w:after="0"/>
        <w:jc w:val="left"/>
      </w:pPr>
      <w:r>
        <w:rPr>
          <w:rFonts w:ascii="仿宋_GB2312" w:hAnsi="仿宋_GB2312" w:eastAsia="仿宋_GB2312"/>
          <w:b w:val="0"/>
          <w:color w:val="000000"/>
          <w:sz w:val="28"/>
        </w:rPr>
        <w:t>本报告聚焦广饶橡胶轮胎集群的设备装备与废旧轮胎循环利用环节，包括轮胎机械、模具、胶囊及再生橡胶、胶粉、裂解等循环产业。数据来源于广饶县政府官网、东营日报、齐鲁网闪电新闻、国际在线（CRI）及企业公开资料。数据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轮胎装备与循环利用是广饶橡胶轮胎集群「上游核心材料—中游智能制造—下游回收再生」全产业链闭环的关键两端。装备端涵盖密炼、压延、裁断、成型、硫化、检测等轮胎机械及轮胎模具、胶囊，重点企业关键设备数控化率超90%，永盛橡胶15亿元工业4.0智能工厂、双动力智能硫化机等体现装备高端化。循环端以东营长建再生资源为代表，采用常温常压连续脱硫新工艺，年产能近10万吨高端再生胶（9.8万吨），累计投入7000万元建设绿色工厂，吨再生胶能耗下降30%，产品获玲珑、三角等头部企业订单，年产值1.7—2亿元，构建「生产—废弃—再生—再生产」绿色闭环。该环节是广饶绿色转型与千亿集群的重要支撑，但循环利用规模相对轮胎产量仍偏小，技术标准化与高值化有待提升。</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重点企业数控化率</w:t>
            </w:r>
          </w:p>
        </w:tc>
        <w:tc>
          <w:tcPr>
            <w:tcW w:type="dxa" w:w="2835"/>
          </w:tcPr>
          <w:p>
            <w:pPr>
              <w:spacing w:lineRule="exact" w:line="600"/>
              <w:jc w:val="center"/>
            </w:pPr>
            <w:r/>
            <w:r>
              <w:rPr>
                <w:rFonts w:ascii="仿宋_GB2312" w:hAnsi="仿宋_GB2312" w:eastAsia="仿宋_GB2312"/>
                <w:b w:val="0"/>
                <w:color w:val="000000"/>
                <w:sz w:val="32"/>
              </w:rPr>
              <w:t>90%以上</w:t>
            </w:r>
          </w:p>
        </w:tc>
        <w:tc>
          <w:tcPr>
            <w:tcW w:type="dxa" w:w="3118"/>
          </w:tcPr>
          <w:p>
            <w:pPr>
              <w:spacing w:lineRule="exact" w:line="600"/>
              <w:jc w:val="center"/>
            </w:pPr>
            <w:r/>
            <w:r>
              <w:rPr>
                <w:rFonts w:ascii="仿宋_GB2312" w:hAnsi="仿宋_GB2312" w:eastAsia="仿宋_GB2312"/>
                <w:b w:val="0"/>
                <w:color w:val="000000"/>
                <w:sz w:val="32"/>
              </w:rPr>
              <w:t>广饶县，2025</w:t>
            </w:r>
          </w:p>
        </w:tc>
      </w:tr>
      <w:tr>
        <w:tc>
          <w:tcPr>
            <w:tcW w:type="dxa" w:w="2835"/>
          </w:tcPr>
          <w:p>
            <w:pPr>
              <w:spacing w:lineRule="exact" w:line="600"/>
              <w:jc w:val="center"/>
            </w:pPr>
            <w:r/>
            <w:r>
              <w:rPr>
                <w:rFonts w:ascii="仿宋_GB2312" w:hAnsi="仿宋_GB2312" w:eastAsia="仿宋_GB2312"/>
                <w:b w:val="0"/>
                <w:color w:val="000000"/>
                <w:sz w:val="32"/>
              </w:rPr>
              <w:t>智能化改造投入</w:t>
            </w:r>
          </w:p>
        </w:tc>
        <w:tc>
          <w:tcPr>
            <w:tcW w:type="dxa" w:w="2835"/>
          </w:tcPr>
          <w:p>
            <w:pPr>
              <w:spacing w:lineRule="exact" w:line="600"/>
              <w:jc w:val="center"/>
            </w:pPr>
            <w:r/>
            <w:r>
              <w:rPr>
                <w:rFonts w:ascii="仿宋_GB2312" w:hAnsi="仿宋_GB2312" w:eastAsia="仿宋_GB2312"/>
                <w:b w:val="0"/>
                <w:color w:val="000000"/>
                <w:sz w:val="32"/>
              </w:rPr>
              <w:t>69.3亿元/75个项目</w:t>
            </w:r>
          </w:p>
        </w:tc>
        <w:tc>
          <w:tcPr>
            <w:tcW w:type="dxa" w:w="3118"/>
          </w:tcPr>
          <w:p>
            <w:pPr>
              <w:spacing w:lineRule="exact" w:line="600"/>
              <w:jc w:val="center"/>
            </w:pPr>
            <w:r/>
            <w:r>
              <w:rPr>
                <w:rFonts w:ascii="仿宋_GB2312" w:hAnsi="仿宋_GB2312" w:eastAsia="仿宋_GB2312"/>
                <w:b w:val="0"/>
                <w:color w:val="000000"/>
                <w:sz w:val="32"/>
              </w:rPr>
              <w:t>广饶县，2025</w:t>
            </w:r>
          </w:p>
        </w:tc>
      </w:tr>
      <w:tr>
        <w:tc>
          <w:tcPr>
            <w:tcW w:type="dxa" w:w="2835"/>
          </w:tcPr>
          <w:p>
            <w:pPr>
              <w:spacing w:lineRule="exact" w:line="600"/>
              <w:jc w:val="center"/>
            </w:pPr>
            <w:r/>
            <w:r>
              <w:rPr>
                <w:rFonts w:ascii="仿宋_GB2312" w:hAnsi="仿宋_GB2312" w:eastAsia="仿宋_GB2312"/>
                <w:b w:val="0"/>
                <w:color w:val="000000"/>
                <w:sz w:val="32"/>
              </w:rPr>
              <w:t>长建再生胶产能</w:t>
            </w:r>
          </w:p>
        </w:tc>
        <w:tc>
          <w:tcPr>
            <w:tcW w:type="dxa" w:w="2835"/>
          </w:tcPr>
          <w:p>
            <w:pPr>
              <w:spacing w:lineRule="exact" w:line="600"/>
              <w:jc w:val="center"/>
            </w:pPr>
            <w:r/>
            <w:r>
              <w:rPr>
                <w:rFonts w:ascii="仿宋_GB2312" w:hAnsi="仿宋_GB2312" w:eastAsia="仿宋_GB2312"/>
                <w:b w:val="0"/>
                <w:color w:val="000000"/>
                <w:sz w:val="32"/>
              </w:rPr>
              <w:t>9.8万吨/年</w:t>
            </w:r>
          </w:p>
        </w:tc>
        <w:tc>
          <w:tcPr>
            <w:tcW w:type="dxa" w:w="3118"/>
          </w:tcPr>
          <w:p>
            <w:pPr>
              <w:spacing w:lineRule="exact" w:line="600"/>
              <w:jc w:val="center"/>
            </w:pPr>
            <w:r/>
            <w:r>
              <w:rPr>
                <w:rFonts w:ascii="仿宋_GB2312" w:hAnsi="仿宋_GB2312" w:eastAsia="仿宋_GB2312"/>
                <w:b w:val="0"/>
                <w:color w:val="000000"/>
                <w:sz w:val="32"/>
              </w:rPr>
              <w:t>长建/CRI，2025</w:t>
            </w:r>
          </w:p>
        </w:tc>
      </w:tr>
      <w:tr>
        <w:tc>
          <w:tcPr>
            <w:tcW w:type="dxa" w:w="2835"/>
          </w:tcPr>
          <w:p>
            <w:pPr>
              <w:spacing w:lineRule="exact" w:line="600"/>
              <w:jc w:val="center"/>
            </w:pPr>
            <w:r/>
            <w:r>
              <w:rPr>
                <w:rFonts w:ascii="仿宋_GB2312" w:hAnsi="仿宋_GB2312" w:eastAsia="仿宋_GB2312"/>
                <w:b w:val="0"/>
                <w:color w:val="000000"/>
                <w:sz w:val="32"/>
              </w:rPr>
              <w:t>长建年产值</w:t>
            </w:r>
          </w:p>
        </w:tc>
        <w:tc>
          <w:tcPr>
            <w:tcW w:type="dxa" w:w="2835"/>
          </w:tcPr>
          <w:p>
            <w:pPr>
              <w:spacing w:lineRule="exact" w:line="600"/>
              <w:jc w:val="center"/>
            </w:pPr>
            <w:r/>
            <w:r>
              <w:rPr>
                <w:rFonts w:ascii="仿宋_GB2312" w:hAnsi="仿宋_GB2312" w:eastAsia="仿宋_GB2312"/>
                <w:b w:val="0"/>
                <w:color w:val="000000"/>
                <w:sz w:val="32"/>
              </w:rPr>
              <w:t>1.7—2亿元</w:t>
            </w:r>
          </w:p>
        </w:tc>
        <w:tc>
          <w:tcPr>
            <w:tcW w:type="dxa" w:w="3118"/>
          </w:tcPr>
          <w:p>
            <w:pPr>
              <w:spacing w:lineRule="exact" w:line="600"/>
              <w:jc w:val="center"/>
            </w:pPr>
            <w:r/>
            <w:r>
              <w:rPr>
                <w:rFonts w:ascii="仿宋_GB2312" w:hAnsi="仿宋_GB2312" w:eastAsia="仿宋_GB2312"/>
                <w:b w:val="0"/>
                <w:color w:val="000000"/>
                <w:sz w:val="32"/>
              </w:rPr>
              <w:t>长建，2024</w:t>
            </w:r>
          </w:p>
        </w:tc>
      </w:tr>
      <w:tr>
        <w:tc>
          <w:tcPr>
            <w:tcW w:type="dxa" w:w="2835"/>
          </w:tcPr>
          <w:p>
            <w:pPr>
              <w:spacing w:lineRule="exact" w:line="600"/>
              <w:jc w:val="center"/>
            </w:pPr>
            <w:r/>
            <w:r>
              <w:rPr>
                <w:rFonts w:ascii="仿宋_GB2312" w:hAnsi="仿宋_GB2312" w:eastAsia="仿宋_GB2312"/>
                <w:b w:val="0"/>
                <w:color w:val="000000"/>
                <w:sz w:val="32"/>
              </w:rPr>
              <w:t>长建总投资</w:t>
            </w:r>
          </w:p>
        </w:tc>
        <w:tc>
          <w:tcPr>
            <w:tcW w:type="dxa" w:w="2835"/>
          </w:tcPr>
          <w:p>
            <w:pPr>
              <w:spacing w:lineRule="exact" w:line="600"/>
              <w:jc w:val="center"/>
            </w:pPr>
            <w:r/>
            <w:r>
              <w:rPr>
                <w:rFonts w:ascii="仿宋_GB2312" w:hAnsi="仿宋_GB2312" w:eastAsia="仿宋_GB2312"/>
                <w:b w:val="0"/>
                <w:color w:val="000000"/>
                <w:sz w:val="32"/>
              </w:rPr>
              <w:t>7000万元</w:t>
            </w:r>
          </w:p>
        </w:tc>
        <w:tc>
          <w:tcPr>
            <w:tcW w:type="dxa" w:w="3118"/>
          </w:tcPr>
          <w:p>
            <w:pPr>
              <w:spacing w:lineRule="exact" w:line="600"/>
              <w:jc w:val="center"/>
            </w:pPr>
            <w:r/>
            <w:r>
              <w:rPr>
                <w:rFonts w:ascii="仿宋_GB2312" w:hAnsi="仿宋_GB2312" w:eastAsia="仿宋_GB2312"/>
                <w:b w:val="0"/>
                <w:color w:val="000000"/>
                <w:sz w:val="32"/>
              </w:rPr>
              <w:t>长建，2024</w:t>
            </w:r>
          </w:p>
        </w:tc>
      </w:tr>
      <w:tr>
        <w:tc>
          <w:tcPr>
            <w:tcW w:type="dxa" w:w="2835"/>
          </w:tcPr>
          <w:p>
            <w:pPr>
              <w:spacing w:lineRule="exact" w:line="600"/>
              <w:jc w:val="center"/>
            </w:pPr>
            <w:r/>
            <w:r>
              <w:rPr>
                <w:rFonts w:ascii="仿宋_GB2312" w:hAnsi="仿宋_GB2312" w:eastAsia="仿宋_GB2312"/>
                <w:b w:val="0"/>
                <w:color w:val="000000"/>
                <w:sz w:val="32"/>
              </w:rPr>
              <w:t>再生胶能耗下降</w:t>
            </w:r>
          </w:p>
        </w:tc>
        <w:tc>
          <w:tcPr>
            <w:tcW w:type="dxa" w:w="2835"/>
          </w:tcPr>
          <w:p>
            <w:pPr>
              <w:spacing w:lineRule="exact" w:line="600"/>
              <w:jc w:val="center"/>
            </w:pPr>
            <w:r/>
            <w:r>
              <w:rPr>
                <w:rFonts w:ascii="仿宋_GB2312" w:hAnsi="仿宋_GB2312" w:eastAsia="仿宋_GB2312"/>
                <w:b w:val="0"/>
                <w:color w:val="000000"/>
                <w:sz w:val="32"/>
              </w:rPr>
              <w:t>30%/吨</w:t>
            </w:r>
          </w:p>
        </w:tc>
        <w:tc>
          <w:tcPr>
            <w:tcW w:type="dxa" w:w="3118"/>
          </w:tcPr>
          <w:p>
            <w:pPr>
              <w:spacing w:lineRule="exact" w:line="600"/>
              <w:jc w:val="center"/>
            </w:pPr>
            <w:r/>
            <w:r>
              <w:rPr>
                <w:rFonts w:ascii="仿宋_GB2312" w:hAnsi="仿宋_GB2312" w:eastAsia="仿宋_GB2312"/>
                <w:b w:val="0"/>
                <w:color w:val="000000"/>
                <w:sz w:val="32"/>
              </w:rPr>
              <w:t>长建，2025</w:t>
            </w:r>
          </w:p>
        </w:tc>
      </w:tr>
      <w:tr>
        <w:tc>
          <w:tcPr>
            <w:tcW w:type="dxa" w:w="2835"/>
          </w:tcPr>
          <w:p>
            <w:pPr>
              <w:spacing w:lineRule="exact" w:line="600"/>
              <w:jc w:val="center"/>
            </w:pPr>
            <w:r/>
            <w:r>
              <w:rPr>
                <w:rFonts w:ascii="仿宋_GB2312" w:hAnsi="仿宋_GB2312" w:eastAsia="仿宋_GB2312"/>
                <w:b w:val="0"/>
                <w:color w:val="000000"/>
                <w:sz w:val="32"/>
              </w:rPr>
              <w:t>智能工厂效率</w:t>
            </w:r>
          </w:p>
        </w:tc>
        <w:tc>
          <w:tcPr>
            <w:tcW w:type="dxa" w:w="2835"/>
          </w:tcPr>
          <w:p>
            <w:pPr>
              <w:spacing w:lineRule="exact" w:line="600"/>
              <w:jc w:val="center"/>
            </w:pPr>
            <w:r/>
            <w:r>
              <w:rPr>
                <w:rFonts w:ascii="仿宋_GB2312" w:hAnsi="仿宋_GB2312" w:eastAsia="仿宋_GB2312"/>
                <w:b w:val="0"/>
                <w:color w:val="000000"/>
                <w:sz w:val="32"/>
              </w:rPr>
              <w:t>+30%/能耗-10%</w:t>
            </w:r>
          </w:p>
        </w:tc>
        <w:tc>
          <w:tcPr>
            <w:tcW w:type="dxa" w:w="3118"/>
          </w:tcPr>
          <w:p>
            <w:pPr>
              <w:spacing w:lineRule="exact" w:line="600"/>
              <w:jc w:val="center"/>
            </w:pPr>
            <w:r/>
            <w:r>
              <w:rPr>
                <w:rFonts w:ascii="仿宋_GB2312" w:hAnsi="仿宋_GB2312" w:eastAsia="仿宋_GB2312"/>
                <w:b w:val="0"/>
                <w:color w:val="000000"/>
                <w:sz w:val="32"/>
              </w:rPr>
              <w:t>永盛，2024</w:t>
            </w:r>
          </w:p>
        </w:tc>
      </w:tr>
      <w:tr>
        <w:tc>
          <w:tcPr>
            <w:tcW w:type="dxa" w:w="2835"/>
          </w:tcPr>
          <w:p>
            <w:pPr>
              <w:spacing w:lineRule="exact" w:line="600"/>
              <w:jc w:val="center"/>
            </w:pPr>
            <w:r/>
            <w:r>
              <w:rPr>
                <w:rFonts w:ascii="仿宋_GB2312" w:hAnsi="仿宋_GB2312" w:eastAsia="仿宋_GB2312"/>
                <w:b w:val="0"/>
                <w:color w:val="000000"/>
                <w:sz w:val="32"/>
              </w:rPr>
              <w:t>循环产业园面积</w:t>
            </w:r>
          </w:p>
        </w:tc>
        <w:tc>
          <w:tcPr>
            <w:tcW w:type="dxa" w:w="2835"/>
          </w:tcPr>
          <w:p>
            <w:pPr>
              <w:spacing w:lineRule="exact" w:line="600"/>
              <w:jc w:val="center"/>
            </w:pPr>
            <w:r/>
            <w:r>
              <w:rPr>
                <w:rFonts w:ascii="仿宋_GB2312" w:hAnsi="仿宋_GB2312" w:eastAsia="仿宋_GB2312"/>
                <w:b w:val="0"/>
                <w:color w:val="000000"/>
                <w:sz w:val="32"/>
              </w:rPr>
              <w:t>23.3平方公里</w:t>
            </w:r>
          </w:p>
        </w:tc>
        <w:tc>
          <w:tcPr>
            <w:tcW w:type="dxa" w:w="3118"/>
          </w:tcPr>
          <w:p>
            <w:pPr>
              <w:spacing w:lineRule="exact" w:line="600"/>
              <w:jc w:val="center"/>
            </w:pPr>
            <w:r/>
            <w:r>
              <w:rPr>
                <w:rFonts w:ascii="仿宋_GB2312" w:hAnsi="仿宋_GB2312" w:eastAsia="仿宋_GB2312"/>
                <w:b w:val="0"/>
                <w:color w:val="000000"/>
                <w:sz w:val="32"/>
              </w:rPr>
              <w:t>广饶县规划</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（一）循环经济政策导向</w:t>
      </w:r>
    </w:p>
    <w:p>
      <w:pPr>
        <w:spacing w:lineRule="exact" w:line="600" w:before="0" w:after="0"/>
        <w:ind w:firstLine="420"/>
        <w:jc w:val="both"/>
      </w:pPr>
      <w:r>
        <w:rPr>
          <w:rFonts w:ascii="仿宋_GB2312" w:hAnsi="仿宋_GB2312" w:eastAsia="仿宋_GB2312"/>
          <w:b w:val="0"/>
          <w:color w:val="000000"/>
          <w:sz w:val="32"/>
        </w:rPr>
        <w:t>国家「双碳」目标与《「十四五」循环经济发展规划》将废旧轮胎综合利用列为重点，鼓励裂解、再生等方式将废旧轮胎转化为高价值产品。广饶县将废旧轮胎循环利用纳入橡胶轮胎循环产业园，作为补齐补强研发、生产到处置全产业链绿色发展模式的关键一环。2024年国家大规模设备更新政策则为轮胎企业智能装备升级提供贴息与改造支持，装备端迎来更新窗口。</w:t>
      </w:r>
    </w:p>
    <w:p>
      <w:pPr>
        <w:spacing w:lineRule="exact" w:line="600" w:before="120" w:after="120"/>
        <w:ind w:firstLine="420"/>
        <w:jc w:val="left"/>
      </w:pPr>
      <w:r>
        <w:rPr>
          <w:rFonts w:ascii="楷体_GB2312" w:hAnsi="楷体_GB2312" w:eastAsia="楷体_GB2312"/>
          <w:b w:val="0"/>
          <w:color w:val="000000"/>
          <w:sz w:val="32"/>
        </w:rPr>
        <w:t>（二）区域闭环定位</w:t>
      </w:r>
    </w:p>
    <w:p>
      <w:pPr>
        <w:spacing w:lineRule="exact" w:line="600" w:before="0" w:after="0"/>
        <w:ind w:firstLine="420"/>
        <w:jc w:val="both"/>
      </w:pPr>
      <w:r>
        <w:rPr>
          <w:rFonts w:ascii="仿宋_GB2312" w:hAnsi="仿宋_GB2312" w:eastAsia="仿宋_GB2312"/>
          <w:b w:val="0"/>
          <w:color w:val="000000"/>
          <w:sz w:val="32"/>
        </w:rPr>
        <w:t>广饶提出「全产业链发展、全要素链融合、全价值链贯通」，规划23.3平方公里橡胶轮胎循环产业园，打通「上游核心材料—中游智能制造—下游回收再生」闭环。循环利用被定位为补链环节，既解决「黑色污染」，又实现资源回用，支撑集群绿色低碳与生态原产地保护区建设（全国首个工业类生态原产地保护区）。</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政策/规划</w:t>
            </w:r>
          </w:p>
        </w:tc>
        <w:tc>
          <w:tcPr>
            <w:tcW w:type="dxa" w:w="3685"/>
          </w:tcPr>
          <w:p>
            <w:pPr>
              <w:spacing w:lineRule="exact" w:line="600"/>
              <w:jc w:val="center"/>
            </w:pPr>
            <w:r/>
            <w:r>
              <w:rPr>
                <w:rFonts w:ascii="黑体" w:hAnsi="黑体" w:eastAsia="黑体"/>
                <w:b/>
                <w:color w:val="000000"/>
                <w:sz w:val="32"/>
              </w:rPr>
              <w:t>对装备与循环影响</w:t>
            </w:r>
          </w:p>
        </w:tc>
        <w:tc>
          <w:tcPr>
            <w:tcW w:type="dxa" w:w="2551"/>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十四五循环经济规划</w:t>
            </w:r>
          </w:p>
        </w:tc>
        <w:tc>
          <w:tcPr>
            <w:tcW w:type="dxa" w:w="3685"/>
          </w:tcPr>
          <w:p>
            <w:pPr>
              <w:spacing w:lineRule="exact" w:line="600"/>
              <w:jc w:val="center"/>
            </w:pPr>
            <w:r/>
            <w:r>
              <w:rPr>
                <w:rFonts w:ascii="仿宋_GB2312" w:hAnsi="仿宋_GB2312" w:eastAsia="仿宋_GB2312"/>
                <w:b w:val="0"/>
                <w:color w:val="000000"/>
                <w:sz w:val="32"/>
              </w:rPr>
              <w:t>废旧轮胎综合利用重点</w:t>
            </w:r>
          </w:p>
        </w:tc>
        <w:tc>
          <w:tcPr>
            <w:tcW w:type="dxa" w:w="2551"/>
          </w:tcPr>
          <w:p>
            <w:pPr>
              <w:spacing w:lineRule="exact" w:line="600"/>
              <w:jc w:val="center"/>
            </w:pPr>
            <w:r/>
            <w:r>
              <w:rPr>
                <w:rFonts w:ascii="仿宋_GB2312" w:hAnsi="仿宋_GB2312" w:eastAsia="仿宋_GB2312"/>
                <w:b w:val="0"/>
                <w:color w:val="000000"/>
                <w:sz w:val="32"/>
              </w:rPr>
              <w:t>国家发改委</w:t>
            </w:r>
          </w:p>
        </w:tc>
      </w:tr>
      <w:tr>
        <w:tc>
          <w:tcPr>
            <w:tcW w:type="dxa" w:w="2835"/>
          </w:tcPr>
          <w:p>
            <w:pPr>
              <w:spacing w:lineRule="exact" w:line="600"/>
              <w:jc w:val="center"/>
            </w:pPr>
            <w:r/>
            <w:r>
              <w:rPr>
                <w:rFonts w:ascii="仿宋_GB2312" w:hAnsi="仿宋_GB2312" w:eastAsia="仿宋_GB2312"/>
                <w:b w:val="0"/>
                <w:color w:val="000000"/>
                <w:sz w:val="32"/>
              </w:rPr>
              <w:t>设备更新政策</w:t>
            </w:r>
          </w:p>
        </w:tc>
        <w:tc>
          <w:tcPr>
            <w:tcW w:type="dxa" w:w="3685"/>
          </w:tcPr>
          <w:p>
            <w:pPr>
              <w:spacing w:lineRule="exact" w:line="600"/>
              <w:jc w:val="center"/>
            </w:pPr>
            <w:r/>
            <w:r>
              <w:rPr>
                <w:rFonts w:ascii="仿宋_GB2312" w:hAnsi="仿宋_GB2312" w:eastAsia="仿宋_GB2312"/>
                <w:b w:val="0"/>
                <w:color w:val="000000"/>
                <w:sz w:val="32"/>
              </w:rPr>
              <w:t>智能装备升级贴息</w:t>
            </w:r>
          </w:p>
        </w:tc>
        <w:tc>
          <w:tcPr>
            <w:tcW w:type="dxa" w:w="2551"/>
          </w:tcPr>
          <w:p>
            <w:pPr>
              <w:spacing w:lineRule="exact" w:line="600"/>
              <w:jc w:val="center"/>
            </w:pPr>
            <w:r/>
            <w:r>
              <w:rPr>
                <w:rFonts w:ascii="仿宋_GB2312" w:hAnsi="仿宋_GB2312" w:eastAsia="仿宋_GB2312"/>
                <w:b w:val="0"/>
                <w:color w:val="000000"/>
                <w:sz w:val="32"/>
              </w:rPr>
              <w:t>国务院，2024</w:t>
            </w:r>
          </w:p>
        </w:tc>
      </w:tr>
      <w:tr>
        <w:tc>
          <w:tcPr>
            <w:tcW w:type="dxa" w:w="2835"/>
          </w:tcPr>
          <w:p>
            <w:pPr>
              <w:spacing w:lineRule="exact" w:line="600"/>
              <w:jc w:val="center"/>
            </w:pPr>
            <w:r/>
            <w:r>
              <w:rPr>
                <w:rFonts w:ascii="仿宋_GB2312" w:hAnsi="仿宋_GB2312" w:eastAsia="仿宋_GB2312"/>
                <w:b w:val="0"/>
                <w:color w:val="000000"/>
                <w:sz w:val="32"/>
              </w:rPr>
              <w:t>橡胶轮胎循环产业园</w:t>
            </w:r>
          </w:p>
        </w:tc>
        <w:tc>
          <w:tcPr>
            <w:tcW w:type="dxa" w:w="3685"/>
          </w:tcPr>
          <w:p>
            <w:pPr>
              <w:spacing w:lineRule="exact" w:line="600"/>
              <w:jc w:val="center"/>
            </w:pPr>
            <w:r/>
            <w:r>
              <w:rPr>
                <w:rFonts w:ascii="仿宋_GB2312" w:hAnsi="仿宋_GB2312" w:eastAsia="仿宋_GB2312"/>
                <w:b w:val="0"/>
                <w:color w:val="000000"/>
                <w:sz w:val="32"/>
              </w:rPr>
              <w:t>23.3平方公里闭环</w:t>
            </w:r>
          </w:p>
        </w:tc>
        <w:tc>
          <w:tcPr>
            <w:tcW w:type="dxa" w:w="2551"/>
          </w:tcPr>
          <w:p>
            <w:pPr>
              <w:spacing w:lineRule="exact" w:line="600"/>
              <w:jc w:val="center"/>
            </w:pPr>
            <w:r/>
            <w:r>
              <w:rPr>
                <w:rFonts w:ascii="仿宋_GB2312" w:hAnsi="仿宋_GB2312" w:eastAsia="仿宋_GB2312"/>
                <w:b w:val="0"/>
                <w:color w:val="000000"/>
                <w:sz w:val="32"/>
              </w:rPr>
              <w:t>广饶县规划</w:t>
            </w:r>
          </w:p>
        </w:tc>
      </w:tr>
      <w:tr>
        <w:tc>
          <w:tcPr>
            <w:tcW w:type="dxa" w:w="2835"/>
          </w:tcPr>
          <w:p>
            <w:pPr>
              <w:spacing w:lineRule="exact" w:line="600"/>
              <w:jc w:val="center"/>
            </w:pPr>
            <w:r/>
            <w:r>
              <w:rPr>
                <w:rFonts w:ascii="仿宋_GB2312" w:hAnsi="仿宋_GB2312" w:eastAsia="仿宋_GB2312"/>
                <w:b w:val="0"/>
                <w:color w:val="000000"/>
                <w:sz w:val="32"/>
              </w:rPr>
              <w:t>生态原产地保护区</w:t>
            </w:r>
          </w:p>
        </w:tc>
        <w:tc>
          <w:tcPr>
            <w:tcW w:type="dxa" w:w="3685"/>
          </w:tcPr>
          <w:p>
            <w:pPr>
              <w:spacing w:lineRule="exact" w:line="600"/>
              <w:jc w:val="center"/>
            </w:pPr>
            <w:r/>
            <w:r>
              <w:rPr>
                <w:rFonts w:ascii="仿宋_GB2312" w:hAnsi="仿宋_GB2312" w:eastAsia="仿宋_GB2312"/>
                <w:b w:val="0"/>
                <w:color w:val="000000"/>
                <w:sz w:val="32"/>
              </w:rPr>
              <w:t>全国首个工业类</w:t>
            </w:r>
          </w:p>
        </w:tc>
        <w:tc>
          <w:tcPr>
            <w:tcW w:type="dxa" w:w="2551"/>
          </w:tcPr>
          <w:p>
            <w:pPr>
              <w:spacing w:lineRule="exact" w:line="600"/>
              <w:jc w:val="center"/>
            </w:pPr>
            <w:r/>
            <w:r>
              <w:rPr>
                <w:rFonts w:ascii="仿宋_GB2312" w:hAnsi="仿宋_GB2312" w:eastAsia="仿宋_GB2312"/>
                <w:b w:val="0"/>
                <w:color w:val="000000"/>
                <w:sz w:val="32"/>
              </w:rPr>
              <w:t>广饶县，2024</w:t>
            </w:r>
          </w:p>
        </w:tc>
      </w:tr>
    </w:tbl>
    <w:p>
      <w:pPr>
        <w:spacing w:lineRule="exact" w:line="600" w:before="120" w:after="120"/>
        <w:ind w:firstLine="420"/>
        <w:jc w:val="left"/>
      </w:pPr>
      <w:r>
        <w:rPr>
          <w:rFonts w:ascii="楷体_GB2312" w:hAnsi="楷体_GB2312" w:eastAsia="楷体_GB2312"/>
          <w:b w:val="0"/>
          <w:color w:val="000000"/>
          <w:sz w:val="32"/>
        </w:rPr>
        <w:t>县域经济与工业底盘（本批真实数据补充·来源见正文）</w:t>
      </w:r>
    </w:p>
    <w:p>
      <w:pPr>
        <w:spacing w:lineRule="exact" w:line="600" w:before="0" w:after="0"/>
        <w:ind w:firstLine="420"/>
        <w:jc w:val="both"/>
      </w:pPr>
      <w:r>
        <w:rPr>
          <w:rFonts w:ascii="仿宋_GB2312" w:hAnsi="仿宋_GB2312" w:eastAsia="仿宋_GB2312"/>
          <w:b w:val="0"/>
          <w:color w:val="000000"/>
          <w:sz w:val="32"/>
        </w:rPr>
        <w:t>广饶县是山东工业强县、中国工业百强县。2024年全县实现地区生产总值951.6亿元、增长6.7%，一般公共预算收入61.3亿元、增长6%；规上工业企业298家，营业收入2705.3亿元；进出口总额787.4亿元，占全市近三分之一。橡胶轮胎为全县第一支柱产业。（来源：广饶县政府2025年政府工作报告、山东省发改委2025年县域总部经济典型经验）</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地区生产总值</w:t>
            </w:r>
          </w:p>
        </w:tc>
        <w:tc>
          <w:tcPr>
            <w:tcW w:type="dxa" w:w="3118"/>
          </w:tcPr>
          <w:p>
            <w:pPr>
              <w:spacing w:lineRule="exact" w:line="600"/>
              <w:jc w:val="center"/>
            </w:pPr>
            <w:r/>
            <w:r>
              <w:rPr>
                <w:rFonts w:ascii="仿宋_GB2312" w:hAnsi="仿宋_GB2312" w:eastAsia="仿宋_GB2312"/>
                <w:b w:val="0"/>
                <w:color w:val="000000"/>
                <w:sz w:val="32"/>
              </w:rPr>
              <w:t>951.6亿元（增长6.7%）</w:t>
            </w:r>
          </w:p>
        </w:tc>
        <w:tc>
          <w:tcPr>
            <w:tcW w:type="dxa" w:w="3118"/>
          </w:tcPr>
          <w:p>
            <w:pPr>
              <w:spacing w:lineRule="exact" w:line="600"/>
              <w:jc w:val="center"/>
            </w:pPr>
            <w:r/>
            <w:r>
              <w:rPr>
                <w:rFonts w:ascii="仿宋_GB2312" w:hAnsi="仿宋_GB2312" w:eastAsia="仿宋_GB2312"/>
                <w:b w:val="0"/>
                <w:color w:val="000000"/>
                <w:sz w:val="32"/>
              </w:rPr>
              <w:t>广饶县2025政府工作报告</w:t>
            </w:r>
          </w:p>
        </w:tc>
      </w:tr>
      <w:tr>
        <w:tc>
          <w:tcPr>
            <w:tcW w:type="dxa" w:w="2551"/>
          </w:tcPr>
          <w:p>
            <w:pPr>
              <w:spacing w:lineRule="exact" w:line="600"/>
              <w:jc w:val="center"/>
            </w:pPr>
            <w:r/>
            <w:r>
              <w:rPr>
                <w:rFonts w:ascii="仿宋_GB2312" w:hAnsi="仿宋_GB2312" w:eastAsia="仿宋_GB2312"/>
                <w:b w:val="0"/>
                <w:color w:val="000000"/>
                <w:sz w:val="32"/>
              </w:rPr>
              <w:t>规上工业企业营业收入</w:t>
            </w:r>
          </w:p>
        </w:tc>
        <w:tc>
          <w:tcPr>
            <w:tcW w:type="dxa" w:w="3118"/>
          </w:tcPr>
          <w:p>
            <w:pPr>
              <w:spacing w:lineRule="exact" w:line="600"/>
              <w:jc w:val="center"/>
            </w:pPr>
            <w:r/>
            <w:r>
              <w:rPr>
                <w:rFonts w:ascii="仿宋_GB2312" w:hAnsi="仿宋_GB2312" w:eastAsia="仿宋_GB2312"/>
                <w:b w:val="0"/>
                <w:color w:val="000000"/>
                <w:sz w:val="32"/>
              </w:rPr>
              <w:t>2705.3亿元</w:t>
            </w:r>
          </w:p>
        </w:tc>
        <w:tc>
          <w:tcPr>
            <w:tcW w:type="dxa" w:w="3118"/>
          </w:tcPr>
          <w:p>
            <w:pPr>
              <w:spacing w:lineRule="exact" w:line="600"/>
              <w:jc w:val="center"/>
            </w:pPr>
            <w:r/>
            <w:r>
              <w:rPr>
                <w:rFonts w:ascii="仿宋_GB2312" w:hAnsi="仿宋_GB2312" w:eastAsia="仿宋_GB2312"/>
                <w:b w:val="0"/>
                <w:color w:val="000000"/>
                <w:sz w:val="32"/>
              </w:rPr>
              <w:t>山东省发改委2025典型经验</w:t>
            </w:r>
          </w:p>
        </w:tc>
      </w:tr>
      <w:tr>
        <w:tc>
          <w:tcPr>
            <w:tcW w:type="dxa" w:w="2551"/>
          </w:tcPr>
          <w:p>
            <w:pPr>
              <w:spacing w:lineRule="exact" w:line="600"/>
              <w:jc w:val="center"/>
            </w:pPr>
            <w:r/>
            <w:r>
              <w:rPr>
                <w:rFonts w:ascii="仿宋_GB2312" w:hAnsi="仿宋_GB2312" w:eastAsia="仿宋_GB2312"/>
                <w:b w:val="0"/>
                <w:color w:val="000000"/>
                <w:sz w:val="32"/>
              </w:rPr>
              <w:t>进出口总额</w:t>
            </w:r>
          </w:p>
        </w:tc>
        <w:tc>
          <w:tcPr>
            <w:tcW w:type="dxa" w:w="3118"/>
          </w:tcPr>
          <w:p>
            <w:pPr>
              <w:spacing w:lineRule="exact" w:line="600"/>
              <w:jc w:val="center"/>
            </w:pPr>
            <w:r/>
            <w:r>
              <w:rPr>
                <w:rFonts w:ascii="仿宋_GB2312" w:hAnsi="仿宋_GB2312" w:eastAsia="仿宋_GB2312"/>
                <w:b w:val="0"/>
                <w:color w:val="000000"/>
                <w:sz w:val="32"/>
              </w:rPr>
              <w:t>787.4亿元</w:t>
            </w:r>
          </w:p>
        </w:tc>
        <w:tc>
          <w:tcPr>
            <w:tcW w:type="dxa" w:w="3118"/>
          </w:tcPr>
          <w:p>
            <w:pPr>
              <w:spacing w:lineRule="exact" w:line="600"/>
              <w:jc w:val="center"/>
            </w:pPr>
            <w:r/>
            <w:r>
              <w:rPr>
                <w:rFonts w:ascii="仿宋_GB2312" w:hAnsi="仿宋_GB2312" w:eastAsia="仿宋_GB2312"/>
                <w:b w:val="0"/>
                <w:color w:val="000000"/>
                <w:sz w:val="32"/>
              </w:rPr>
              <w:t>广饶县2025政府工作报告</w:t>
            </w:r>
          </w:p>
        </w:tc>
      </w:tr>
      <w:tr>
        <w:tc>
          <w:tcPr>
            <w:tcW w:type="dxa" w:w="2551"/>
          </w:tcPr>
          <w:p>
            <w:pPr>
              <w:spacing w:lineRule="exact" w:line="600"/>
              <w:jc w:val="center"/>
            </w:pPr>
            <w:r/>
            <w:r>
              <w:rPr>
                <w:rFonts w:ascii="仿宋_GB2312" w:hAnsi="仿宋_GB2312" w:eastAsia="仿宋_GB2312"/>
                <w:b w:val="0"/>
                <w:color w:val="000000"/>
                <w:sz w:val="32"/>
              </w:rPr>
              <w:t>中国民营企业500强</w:t>
            </w:r>
          </w:p>
        </w:tc>
        <w:tc>
          <w:tcPr>
            <w:tcW w:type="dxa" w:w="3118"/>
          </w:tcPr>
          <w:p>
            <w:pPr>
              <w:spacing w:lineRule="exact" w:line="600"/>
              <w:jc w:val="center"/>
            </w:pPr>
            <w:r/>
            <w:r>
              <w:rPr>
                <w:rFonts w:ascii="仿宋_GB2312" w:hAnsi="仿宋_GB2312" w:eastAsia="仿宋_GB2312"/>
                <w:b w:val="0"/>
                <w:color w:val="000000"/>
                <w:sz w:val="32"/>
              </w:rPr>
              <w:t>7家（列全省各县区首位）</w:t>
            </w:r>
          </w:p>
        </w:tc>
        <w:tc>
          <w:tcPr>
            <w:tcW w:type="dxa" w:w="3118"/>
          </w:tcPr>
          <w:p>
            <w:pPr>
              <w:spacing w:lineRule="exact" w:line="600"/>
              <w:jc w:val="center"/>
            </w:pPr>
            <w:r/>
            <w:r>
              <w:rPr>
                <w:rFonts w:ascii="仿宋_GB2312" w:hAnsi="仿宋_GB2312" w:eastAsia="仿宋_GB2312"/>
                <w:b w:val="0"/>
                <w:color w:val="000000"/>
                <w:sz w:val="32"/>
              </w:rPr>
              <w:t>山东省发改委2025典型经验</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（一）轮胎装备制造</w:t>
      </w:r>
    </w:p>
    <w:p>
      <w:pPr>
        <w:spacing w:lineRule="exact" w:line="600" w:before="0" w:after="0"/>
        <w:ind w:firstLine="420"/>
        <w:jc w:val="both"/>
      </w:pPr>
      <w:r>
        <w:rPr>
          <w:rFonts w:ascii="仿宋_GB2312" w:hAnsi="仿宋_GB2312" w:eastAsia="仿宋_GB2312"/>
          <w:b w:val="0"/>
          <w:color w:val="000000"/>
          <w:sz w:val="32"/>
        </w:rPr>
        <w:t>轮胎装备制造涵盖密炼机、压延机、裁断机、成型机、硫化机及自动化物流、检测装备。广饶轮胎企业关键设备数控化率超90%，70%以上主装备达国际先进水平；双动力智能硫化机等为本地转化成果。永盛橡胶投资15亿元建设基于物联网的高性能绿色环保子午胎智能工厂，嵌入MES、SCADA、ERP系统，实现全流程智能化。成型、硫化、检测等智能装备与工业机器人广泛应用，构成「智造」底座。</w:t>
      </w:r>
    </w:p>
    <w:p>
      <w:pPr>
        <w:spacing w:lineRule="exact" w:line="600" w:before="120" w:after="120"/>
        <w:ind w:firstLine="420"/>
        <w:jc w:val="left"/>
      </w:pPr>
      <w:r>
        <w:rPr>
          <w:rFonts w:ascii="楷体_GB2312" w:hAnsi="楷体_GB2312" w:eastAsia="楷体_GB2312"/>
          <w:b w:val="0"/>
          <w:color w:val="000000"/>
          <w:sz w:val="32"/>
        </w:rPr>
        <w:t>（二）模具与胶囊配套</w:t>
      </w:r>
    </w:p>
    <w:p>
      <w:pPr>
        <w:spacing w:lineRule="exact" w:line="600" w:before="0" w:after="0"/>
        <w:ind w:firstLine="420"/>
        <w:jc w:val="both"/>
      </w:pPr>
      <w:r>
        <w:rPr>
          <w:rFonts w:ascii="仿宋_GB2312" w:hAnsi="仿宋_GB2312" w:eastAsia="仿宋_GB2312"/>
          <w:b w:val="0"/>
          <w:color w:val="000000"/>
          <w:sz w:val="32"/>
        </w:rPr>
        <w:t>轮胎模具、胶囊是轮胎成型关键工装，广饶已培育相关配套企业，纳入「20公里配套圈」。金泰橡胶等早期即布局硫化胶囊生产线，年处理废旧轮胎、胶囊2万吨，生产轮胎胶粉1.5万吨、还原丁基胶粉3000吨，再深加工年产能轮胎硫化胶囊4500吨，体现装备—工装—循环的内部循环。</w:t>
      </w:r>
    </w:p>
    <w:p>
      <w:pPr>
        <w:spacing w:lineRule="exact" w:line="600" w:before="120" w:after="120"/>
        <w:ind w:firstLine="420"/>
        <w:jc w:val="left"/>
      </w:pPr>
      <w:r>
        <w:rPr>
          <w:rFonts w:ascii="楷体_GB2312" w:hAnsi="楷体_GB2312" w:eastAsia="楷体_GB2312"/>
          <w:b w:val="0"/>
          <w:color w:val="000000"/>
          <w:sz w:val="32"/>
        </w:rPr>
        <w:t>（三）循环利用环节</w:t>
      </w:r>
    </w:p>
    <w:p>
      <w:pPr>
        <w:spacing w:lineRule="exact" w:line="600" w:before="0" w:after="0"/>
        <w:ind w:firstLine="420"/>
        <w:jc w:val="both"/>
      </w:pPr>
      <w:r>
        <w:rPr>
          <w:rFonts w:ascii="仿宋_GB2312" w:hAnsi="仿宋_GB2312" w:eastAsia="仿宋_GB2312"/>
          <w:b w:val="0"/>
          <w:color w:val="000000"/>
          <w:sz w:val="32"/>
        </w:rPr>
        <w:t>循环利用包括破碎、磨粉、钢丝分离、脱硫再生、裂解制油/炭黑等。东营长建再生资源采用常温常压连续脱硫新工艺，四条天然再生橡胶生产线，年产能近10万吨（高端再生胶9.8万吨），产品用于轮胎、再生橡胶制品及建筑工业。广饶规划橡胶轮胎循环产业园集中布局此类项目，推动「吃干榨净」的绿色闭环。</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关键装备/工艺</w:t>
            </w:r>
          </w:p>
        </w:tc>
        <w:tc>
          <w:tcPr>
            <w:tcW w:type="dxa" w:w="3685"/>
          </w:tcPr>
          <w:p>
            <w:pPr>
              <w:spacing w:lineRule="exact" w:line="600"/>
              <w:jc w:val="center"/>
            </w:pPr>
            <w:r/>
            <w:r>
              <w:rPr>
                <w:rFonts w:ascii="黑体" w:hAnsi="黑体" w:eastAsia="黑体"/>
                <w:b/>
                <w:color w:val="000000"/>
                <w:sz w:val="32"/>
              </w:rPr>
              <w:t>代表主体</w:t>
            </w:r>
          </w:p>
        </w:tc>
      </w:tr>
      <w:tr>
        <w:tc>
          <w:tcPr>
            <w:tcW w:type="dxa" w:w="1701"/>
          </w:tcPr>
          <w:p>
            <w:pPr>
              <w:spacing w:lineRule="exact" w:line="600"/>
              <w:jc w:val="center"/>
            </w:pPr>
            <w:r/>
            <w:r>
              <w:rPr>
                <w:rFonts w:ascii="仿宋_GB2312" w:hAnsi="仿宋_GB2312" w:eastAsia="仿宋_GB2312"/>
                <w:b w:val="0"/>
                <w:color w:val="000000"/>
                <w:sz w:val="32"/>
              </w:rPr>
              <w:t>装备制造</w:t>
            </w:r>
          </w:p>
        </w:tc>
        <w:tc>
          <w:tcPr>
            <w:tcW w:type="dxa" w:w="3685"/>
          </w:tcPr>
          <w:p>
            <w:pPr>
              <w:spacing w:lineRule="exact" w:line="600"/>
              <w:jc w:val="center"/>
            </w:pPr>
            <w:r/>
            <w:r>
              <w:rPr>
                <w:rFonts w:ascii="仿宋_GB2312" w:hAnsi="仿宋_GB2312" w:eastAsia="仿宋_GB2312"/>
                <w:b w:val="0"/>
                <w:color w:val="000000"/>
                <w:sz w:val="32"/>
              </w:rPr>
              <w:t>密炼/成型/硫化/检测</w:t>
            </w:r>
          </w:p>
        </w:tc>
        <w:tc>
          <w:tcPr>
            <w:tcW w:type="dxa" w:w="3685"/>
          </w:tcPr>
          <w:p>
            <w:pPr>
              <w:spacing w:lineRule="exact" w:line="600"/>
              <w:jc w:val="center"/>
            </w:pPr>
            <w:r/>
            <w:r>
              <w:rPr>
                <w:rFonts w:ascii="仿宋_GB2312" w:hAnsi="仿宋_GB2312" w:eastAsia="仿宋_GB2312"/>
                <w:b w:val="0"/>
                <w:color w:val="000000"/>
                <w:sz w:val="32"/>
              </w:rPr>
              <w:t>永盛智能工厂、本地装备</w:t>
            </w:r>
          </w:p>
        </w:tc>
      </w:tr>
      <w:tr>
        <w:tc>
          <w:tcPr>
            <w:tcW w:type="dxa" w:w="1701"/>
          </w:tcPr>
          <w:p>
            <w:pPr>
              <w:spacing w:lineRule="exact" w:line="600"/>
              <w:jc w:val="center"/>
            </w:pPr>
            <w:r/>
            <w:r>
              <w:rPr>
                <w:rFonts w:ascii="仿宋_GB2312" w:hAnsi="仿宋_GB2312" w:eastAsia="仿宋_GB2312"/>
                <w:b w:val="0"/>
                <w:color w:val="000000"/>
                <w:sz w:val="32"/>
              </w:rPr>
              <w:t>模具胶囊</w:t>
            </w:r>
          </w:p>
        </w:tc>
        <w:tc>
          <w:tcPr>
            <w:tcW w:type="dxa" w:w="3685"/>
          </w:tcPr>
          <w:p>
            <w:pPr>
              <w:spacing w:lineRule="exact" w:line="600"/>
              <w:jc w:val="center"/>
            </w:pPr>
            <w:r/>
            <w:r>
              <w:rPr>
                <w:rFonts w:ascii="仿宋_GB2312" w:hAnsi="仿宋_GB2312" w:eastAsia="仿宋_GB2312"/>
                <w:b w:val="0"/>
                <w:color w:val="000000"/>
                <w:sz w:val="32"/>
              </w:rPr>
              <w:t>轮胎模具、硫化胶囊</w:t>
            </w:r>
          </w:p>
        </w:tc>
        <w:tc>
          <w:tcPr>
            <w:tcW w:type="dxa" w:w="3685"/>
          </w:tcPr>
          <w:p>
            <w:pPr>
              <w:spacing w:lineRule="exact" w:line="600"/>
              <w:jc w:val="center"/>
            </w:pPr>
            <w:r/>
            <w:r>
              <w:rPr>
                <w:rFonts w:ascii="仿宋_GB2312" w:hAnsi="仿宋_GB2312" w:eastAsia="仿宋_GB2312"/>
                <w:b w:val="0"/>
                <w:color w:val="000000"/>
                <w:sz w:val="32"/>
              </w:rPr>
              <w:t>金泰橡胶等</w:t>
            </w:r>
          </w:p>
        </w:tc>
      </w:tr>
      <w:tr>
        <w:tc>
          <w:tcPr>
            <w:tcW w:type="dxa" w:w="1701"/>
          </w:tcPr>
          <w:p>
            <w:pPr>
              <w:spacing w:lineRule="exact" w:line="600"/>
              <w:jc w:val="center"/>
            </w:pPr>
            <w:r/>
            <w:r>
              <w:rPr>
                <w:rFonts w:ascii="仿宋_GB2312" w:hAnsi="仿宋_GB2312" w:eastAsia="仿宋_GB2312"/>
                <w:b w:val="0"/>
                <w:color w:val="000000"/>
                <w:sz w:val="32"/>
              </w:rPr>
              <w:t>再生橡胶</w:t>
            </w:r>
          </w:p>
        </w:tc>
        <w:tc>
          <w:tcPr>
            <w:tcW w:type="dxa" w:w="3685"/>
          </w:tcPr>
          <w:p>
            <w:pPr>
              <w:spacing w:lineRule="exact" w:line="600"/>
              <w:jc w:val="center"/>
            </w:pPr>
            <w:r/>
            <w:r>
              <w:rPr>
                <w:rFonts w:ascii="仿宋_GB2312" w:hAnsi="仿宋_GB2312" w:eastAsia="仿宋_GB2312"/>
                <w:b w:val="0"/>
                <w:color w:val="000000"/>
                <w:sz w:val="32"/>
              </w:rPr>
              <w:t>常温常压连续脱硫</w:t>
            </w:r>
          </w:p>
        </w:tc>
        <w:tc>
          <w:tcPr>
            <w:tcW w:type="dxa" w:w="3685"/>
          </w:tcPr>
          <w:p>
            <w:pPr>
              <w:spacing w:lineRule="exact" w:line="600"/>
              <w:jc w:val="center"/>
            </w:pPr>
            <w:r/>
            <w:r>
              <w:rPr>
                <w:rFonts w:ascii="仿宋_GB2312" w:hAnsi="仿宋_GB2312" w:eastAsia="仿宋_GB2312"/>
                <w:b w:val="0"/>
                <w:color w:val="000000"/>
                <w:sz w:val="32"/>
              </w:rPr>
              <w:t>长建再生资源</w:t>
            </w:r>
          </w:p>
        </w:tc>
      </w:tr>
      <w:tr>
        <w:tc>
          <w:tcPr>
            <w:tcW w:type="dxa" w:w="1701"/>
          </w:tcPr>
          <w:p>
            <w:pPr>
              <w:spacing w:lineRule="exact" w:line="600"/>
              <w:jc w:val="center"/>
            </w:pPr>
            <w:r/>
            <w:r>
              <w:rPr>
                <w:rFonts w:ascii="仿宋_GB2312" w:hAnsi="仿宋_GB2312" w:eastAsia="仿宋_GB2312"/>
                <w:b w:val="0"/>
                <w:color w:val="000000"/>
                <w:sz w:val="32"/>
              </w:rPr>
              <w:t>胶粉/裂解</w:t>
            </w:r>
          </w:p>
        </w:tc>
        <w:tc>
          <w:tcPr>
            <w:tcW w:type="dxa" w:w="3685"/>
          </w:tcPr>
          <w:p>
            <w:pPr>
              <w:spacing w:lineRule="exact" w:line="600"/>
              <w:jc w:val="center"/>
            </w:pPr>
            <w:r/>
            <w:r>
              <w:rPr>
                <w:rFonts w:ascii="仿宋_GB2312" w:hAnsi="仿宋_GB2312" w:eastAsia="仿宋_GB2312"/>
                <w:b w:val="0"/>
                <w:color w:val="000000"/>
                <w:sz w:val="32"/>
              </w:rPr>
              <w:t>破碎磨粉、钢丝分离</w:t>
            </w:r>
          </w:p>
        </w:tc>
        <w:tc>
          <w:tcPr>
            <w:tcW w:type="dxa" w:w="3685"/>
          </w:tcPr>
          <w:p>
            <w:pPr>
              <w:spacing w:lineRule="exact" w:line="600"/>
              <w:jc w:val="center"/>
            </w:pPr>
            <w:r/>
            <w:r>
              <w:rPr>
                <w:rFonts w:ascii="仿宋_GB2312" w:hAnsi="仿宋_GB2312" w:eastAsia="仿宋_GB2312"/>
                <w:b w:val="0"/>
                <w:color w:val="000000"/>
                <w:sz w:val="32"/>
              </w:rPr>
              <w:t>长建、金泰</w:t>
            </w:r>
          </w:p>
        </w:tc>
      </w:tr>
    </w:tbl>
    <w:p>
      <w:pPr>
        <w:spacing w:lineRule="exact" w:line="600" w:before="120" w:after="120"/>
        <w:ind w:firstLine="420"/>
        <w:jc w:val="left"/>
      </w:pPr>
      <w:r>
        <w:rPr>
          <w:rFonts w:ascii="楷体_GB2312" w:hAnsi="楷体_GB2312" w:eastAsia="楷体_GB2312"/>
          <w:b w:val="0"/>
          <w:color w:val="000000"/>
          <w:sz w:val="32"/>
        </w:rPr>
        <w:t>全产业链配套格局（本批真实数据补充·来源见正文）</w:t>
      </w:r>
    </w:p>
    <w:p>
      <w:pPr>
        <w:spacing w:lineRule="exact" w:line="600" w:before="0" w:after="0"/>
        <w:ind w:firstLine="420"/>
        <w:jc w:val="both"/>
      </w:pPr>
      <w:r>
        <w:rPr>
          <w:rFonts w:ascii="仿宋_GB2312" w:hAnsi="仿宋_GB2312" w:eastAsia="仿宋_GB2312"/>
          <w:b w:val="0"/>
          <w:color w:val="000000"/>
          <w:sz w:val="32"/>
        </w:rPr>
        <w:t>广饶是全国最大的橡胶轮胎产品生产基地，已形成以橡胶轮胎为核心，集合成橡胶、橡胶助剂、骨架材料、炭黑、轮胎模具、轮胎胶囊等为一体的完备产业体系，构建起“20公里配套圈”，本地配套率达75%。东营市橡胶轮胎综合产能达2.67亿条/年（子午线轮胎1.94亿条/年），约占全省1/3、全国1/5；广饶县总产能2.46亿条（子午胎1.76亿条，约占全省1/2、全国1/4）。（来源：东营市工信局2025年“产业链上的山东好品牌”发布会）</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规模/指标</w:t>
            </w:r>
          </w:p>
        </w:tc>
        <w:tc>
          <w:tcPr>
            <w:tcW w:type="dxa" w:w="2551"/>
          </w:tcPr>
          <w:p>
            <w:pPr>
              <w:spacing w:lineRule="exact" w:line="600"/>
              <w:jc w:val="center"/>
            </w:pPr>
            <w:r/>
            <w:r>
              <w:rPr>
                <w:rFonts w:ascii="黑体" w:hAnsi="黑体" w:eastAsia="黑体"/>
                <w:b/>
                <w:color w:val="000000"/>
                <w:sz w:val="32"/>
              </w:rPr>
              <w:t>占比或数量</w:t>
            </w:r>
          </w:p>
        </w:tc>
      </w:tr>
      <w:tr>
        <w:tc>
          <w:tcPr>
            <w:tcW w:type="dxa" w:w="2551"/>
          </w:tcPr>
          <w:p>
            <w:pPr>
              <w:spacing w:lineRule="exact" w:line="600"/>
              <w:jc w:val="center"/>
            </w:pPr>
            <w:r/>
            <w:r>
              <w:rPr>
                <w:rFonts w:ascii="仿宋_GB2312" w:hAnsi="仿宋_GB2312" w:eastAsia="仿宋_GB2312"/>
                <w:b w:val="0"/>
                <w:color w:val="000000"/>
                <w:sz w:val="32"/>
              </w:rPr>
              <w:t>综合产能</w:t>
            </w:r>
          </w:p>
        </w:tc>
        <w:tc>
          <w:tcPr>
            <w:tcW w:type="dxa" w:w="3685"/>
          </w:tcPr>
          <w:p>
            <w:pPr>
              <w:spacing w:lineRule="exact" w:line="600"/>
              <w:jc w:val="center"/>
            </w:pPr>
            <w:r/>
            <w:r>
              <w:rPr>
                <w:rFonts w:ascii="仿宋_GB2312" w:hAnsi="仿宋_GB2312" w:eastAsia="仿宋_GB2312"/>
                <w:b w:val="0"/>
                <w:color w:val="000000"/>
                <w:sz w:val="32"/>
              </w:rPr>
              <w:t>2.67亿条/年（全市）</w:t>
            </w:r>
          </w:p>
        </w:tc>
        <w:tc>
          <w:tcPr>
            <w:tcW w:type="dxa" w:w="2551"/>
          </w:tcPr>
          <w:p>
            <w:pPr>
              <w:spacing w:lineRule="exact" w:line="600"/>
              <w:jc w:val="center"/>
            </w:pPr>
            <w:r/>
            <w:r>
              <w:rPr>
                <w:rFonts w:ascii="仿宋_GB2312" w:hAnsi="仿宋_GB2312" w:eastAsia="仿宋_GB2312"/>
                <w:b w:val="0"/>
                <w:color w:val="000000"/>
                <w:sz w:val="32"/>
              </w:rPr>
              <w:t>约占全省1/3、全国1/5</w:t>
            </w:r>
          </w:p>
        </w:tc>
      </w:tr>
      <w:tr>
        <w:tc>
          <w:tcPr>
            <w:tcW w:type="dxa" w:w="2551"/>
          </w:tcPr>
          <w:p>
            <w:pPr>
              <w:spacing w:lineRule="exact" w:line="600"/>
              <w:jc w:val="center"/>
            </w:pPr>
            <w:r/>
            <w:r>
              <w:rPr>
                <w:rFonts w:ascii="仿宋_GB2312" w:hAnsi="仿宋_GB2312" w:eastAsia="仿宋_GB2312"/>
                <w:b w:val="0"/>
                <w:color w:val="000000"/>
                <w:sz w:val="32"/>
              </w:rPr>
              <w:t>子午胎产能</w:t>
            </w:r>
          </w:p>
        </w:tc>
        <w:tc>
          <w:tcPr>
            <w:tcW w:type="dxa" w:w="3685"/>
          </w:tcPr>
          <w:p>
            <w:pPr>
              <w:spacing w:lineRule="exact" w:line="600"/>
              <w:jc w:val="center"/>
            </w:pPr>
            <w:r/>
            <w:r>
              <w:rPr>
                <w:rFonts w:ascii="仿宋_GB2312" w:hAnsi="仿宋_GB2312" w:eastAsia="仿宋_GB2312"/>
                <w:b w:val="0"/>
                <w:color w:val="000000"/>
                <w:sz w:val="32"/>
              </w:rPr>
              <w:t>1.94亿条/年（全市）</w:t>
            </w:r>
          </w:p>
        </w:tc>
        <w:tc>
          <w:tcPr>
            <w:tcW w:type="dxa" w:w="2551"/>
          </w:tcPr>
          <w:p>
            <w:pPr>
              <w:spacing w:lineRule="exact" w:line="600"/>
              <w:jc w:val="center"/>
            </w:pPr>
            <w:r/>
            <w:r>
              <w:rPr>
                <w:rFonts w:ascii="仿宋_GB2312" w:hAnsi="仿宋_GB2312" w:eastAsia="仿宋_GB2312"/>
                <w:b w:val="0"/>
                <w:color w:val="000000"/>
                <w:sz w:val="32"/>
              </w:rPr>
              <w:t>广饶子午胎1.76亿条</w:t>
            </w:r>
          </w:p>
        </w:tc>
      </w:tr>
      <w:tr>
        <w:tc>
          <w:tcPr>
            <w:tcW w:type="dxa" w:w="2551"/>
          </w:tcPr>
          <w:p>
            <w:pPr>
              <w:spacing w:lineRule="exact" w:line="600"/>
              <w:jc w:val="center"/>
            </w:pPr>
            <w:r/>
            <w:r>
              <w:rPr>
                <w:rFonts w:ascii="仿宋_GB2312" w:hAnsi="仿宋_GB2312" w:eastAsia="仿宋_GB2312"/>
                <w:b w:val="0"/>
                <w:color w:val="000000"/>
                <w:sz w:val="32"/>
              </w:rPr>
              <w:t>本地配套率</w:t>
            </w:r>
          </w:p>
        </w:tc>
        <w:tc>
          <w:tcPr>
            <w:tcW w:type="dxa" w:w="3685"/>
          </w:tcPr>
          <w:p>
            <w:pPr>
              <w:spacing w:lineRule="exact" w:line="600"/>
              <w:jc w:val="center"/>
            </w:pPr>
            <w:r/>
            <w:r>
              <w:rPr>
                <w:rFonts w:ascii="仿宋_GB2312" w:hAnsi="仿宋_GB2312" w:eastAsia="仿宋_GB2312"/>
                <w:b w:val="0"/>
                <w:color w:val="000000"/>
                <w:sz w:val="32"/>
              </w:rPr>
              <w:t>75%</w:t>
            </w:r>
          </w:p>
        </w:tc>
        <w:tc>
          <w:tcPr>
            <w:tcW w:type="dxa" w:w="2551"/>
          </w:tcPr>
          <w:p>
            <w:pPr>
              <w:spacing w:lineRule="exact" w:line="600"/>
              <w:jc w:val="center"/>
            </w:pPr>
            <w:r/>
            <w:r>
              <w:rPr>
                <w:rFonts w:ascii="仿宋_GB2312" w:hAnsi="仿宋_GB2312" w:eastAsia="仿宋_GB2312"/>
                <w:b w:val="0"/>
                <w:color w:val="000000"/>
                <w:sz w:val="32"/>
              </w:rPr>
              <w:t>20公里配套圈</w:t>
            </w:r>
          </w:p>
        </w:tc>
      </w:tr>
      <w:tr>
        <w:tc>
          <w:tcPr>
            <w:tcW w:type="dxa" w:w="2551"/>
          </w:tcPr>
          <w:p>
            <w:pPr>
              <w:spacing w:lineRule="exact" w:line="600"/>
              <w:jc w:val="center"/>
            </w:pPr>
            <w:r/>
            <w:r>
              <w:rPr>
                <w:rFonts w:ascii="仿宋_GB2312" w:hAnsi="仿宋_GB2312" w:eastAsia="仿宋_GB2312"/>
                <w:b w:val="0"/>
                <w:color w:val="000000"/>
                <w:sz w:val="32"/>
              </w:rPr>
              <w:t>入围全球轮胎75强</w:t>
            </w:r>
          </w:p>
        </w:tc>
        <w:tc>
          <w:tcPr>
            <w:tcW w:type="dxa" w:w="3685"/>
          </w:tcPr>
          <w:p>
            <w:pPr>
              <w:spacing w:lineRule="exact" w:line="600"/>
              <w:jc w:val="center"/>
            </w:pPr>
            <w:r/>
            <w:r>
              <w:rPr>
                <w:rFonts w:ascii="仿宋_GB2312" w:hAnsi="仿宋_GB2312" w:eastAsia="仿宋_GB2312"/>
                <w:b w:val="0"/>
                <w:color w:val="000000"/>
                <w:sz w:val="32"/>
              </w:rPr>
              <w:t>9家</w:t>
            </w:r>
          </w:p>
        </w:tc>
        <w:tc>
          <w:tcPr>
            <w:tcW w:type="dxa" w:w="2551"/>
          </w:tcPr>
          <w:p>
            <w:pPr>
              <w:spacing w:lineRule="exact" w:line="600"/>
              <w:jc w:val="center"/>
            </w:pPr>
            <w:r/>
            <w:r>
              <w:rPr>
                <w:rFonts w:ascii="仿宋_GB2312" w:hAnsi="仿宋_GB2312" w:eastAsia="仿宋_GB2312"/>
                <w:b w:val="0"/>
                <w:color w:val="000000"/>
                <w:sz w:val="32"/>
              </w:rPr>
              <w:t>占全省入围数1/4</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（一）装备需求</w:t>
      </w:r>
    </w:p>
    <w:p>
      <w:pPr>
        <w:spacing w:lineRule="exact" w:line="600" w:before="0" w:after="0"/>
        <w:ind w:firstLine="420"/>
        <w:jc w:val="both"/>
      </w:pPr>
      <w:r>
        <w:rPr>
          <w:rFonts w:ascii="仿宋_GB2312" w:hAnsi="仿宋_GB2312" w:eastAsia="仿宋_GB2312"/>
          <w:b w:val="0"/>
          <w:color w:val="000000"/>
          <w:sz w:val="32"/>
        </w:rPr>
        <w:t>轮胎产能扩张与设备更新驱动装备需求。广饶2025年累计实施智能化数字化改造项目75个、投入69.3亿元；单个工业4.0工厂装备投资10亿—15亿元。全国轮胎行业2023年产量9.88亿条、持续增长，叠加新能源汽车胎升级，对高精度、低能耗智能装备需求旺盛。但高端成型、检测装备部分仍依赖进口或省外供应商。</w:t>
      </w:r>
    </w:p>
    <w:p>
      <w:pPr>
        <w:spacing w:lineRule="exact" w:line="600" w:before="120" w:after="120"/>
        <w:ind w:firstLine="420"/>
        <w:jc w:val="left"/>
      </w:pPr>
      <w:r>
        <w:rPr>
          <w:rFonts w:ascii="楷体_GB2312" w:hAnsi="楷体_GB2312" w:eastAsia="楷体_GB2312"/>
          <w:b w:val="0"/>
          <w:color w:val="000000"/>
          <w:sz w:val="32"/>
        </w:rPr>
        <w:t>（二）循环利用市场</w:t>
      </w:r>
    </w:p>
    <w:p>
      <w:pPr>
        <w:spacing w:lineRule="exact" w:line="600" w:before="0" w:after="0"/>
        <w:ind w:firstLine="420"/>
        <w:jc w:val="both"/>
      </w:pPr>
      <w:r>
        <w:rPr>
          <w:rFonts w:ascii="仿宋_GB2312" w:hAnsi="仿宋_GB2312" w:eastAsia="仿宋_GB2312"/>
          <w:b w:val="0"/>
          <w:color w:val="000000"/>
          <w:sz w:val="32"/>
        </w:rPr>
        <w:t>我国每年产生大量废旧轮胎（「黑色污染」），处理技术为世界性难题。广饶作为全国重要轮胎生产基地，既是产生地也是利用地。长建再生资源年产高端再生胶9.8万吨，居国内前列，尽管每吨售价高于市场均价200—300元，仍获玲珑、三角等头部企业长期订单，年产值1.7—2亿元，显示高品质再生胶的市场认可度。</w:t>
      </w:r>
    </w:p>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轮胎装备由轮胎企业自采与专业装备商供给，竞争充分；循环利用端呈现「高品质差异化」特征，长建凭稳定品质与绿色工艺占据高端客户，与传统低价再生胶形成分层。省内及全国裂解、再生企业众多，广饶依托集群就近优势与绿色工艺形成壁垒，但整体循环规模相对近2亿条轮胎产量仍偏小。</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68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智能化改造投入</w:t>
            </w:r>
          </w:p>
        </w:tc>
        <w:tc>
          <w:tcPr>
            <w:tcW w:type="dxa" w:w="3685"/>
          </w:tcPr>
          <w:p>
            <w:pPr>
              <w:spacing w:lineRule="exact" w:line="600"/>
              <w:jc w:val="center"/>
            </w:pPr>
            <w:r/>
            <w:r>
              <w:rPr>
                <w:rFonts w:ascii="仿宋_GB2312" w:hAnsi="仿宋_GB2312" w:eastAsia="仿宋_GB2312"/>
                <w:b w:val="0"/>
                <w:color w:val="000000"/>
                <w:sz w:val="32"/>
              </w:rPr>
              <w:t>69.3亿元/75个项目</w:t>
            </w:r>
          </w:p>
        </w:tc>
        <w:tc>
          <w:tcPr>
            <w:tcW w:type="dxa" w:w="2551"/>
          </w:tcPr>
          <w:p>
            <w:pPr>
              <w:spacing w:lineRule="exact" w:line="600"/>
              <w:jc w:val="center"/>
            </w:pPr>
            <w:r/>
            <w:r>
              <w:rPr>
                <w:rFonts w:ascii="仿宋_GB2312" w:hAnsi="仿宋_GB2312" w:eastAsia="仿宋_GB2312"/>
                <w:b w:val="0"/>
                <w:color w:val="000000"/>
                <w:sz w:val="32"/>
              </w:rPr>
              <w:t>广饶县，2025</w:t>
            </w:r>
          </w:p>
        </w:tc>
      </w:tr>
      <w:tr>
        <w:tc>
          <w:tcPr>
            <w:tcW w:type="dxa" w:w="2268"/>
          </w:tcPr>
          <w:p>
            <w:pPr>
              <w:spacing w:lineRule="exact" w:line="600"/>
              <w:jc w:val="center"/>
            </w:pPr>
            <w:r/>
            <w:r>
              <w:rPr>
                <w:rFonts w:ascii="仿宋_GB2312" w:hAnsi="仿宋_GB2312" w:eastAsia="仿宋_GB2312"/>
                <w:b w:val="0"/>
                <w:color w:val="000000"/>
                <w:sz w:val="32"/>
              </w:rPr>
              <w:t>长建再生胶产能</w:t>
            </w:r>
          </w:p>
        </w:tc>
        <w:tc>
          <w:tcPr>
            <w:tcW w:type="dxa" w:w="3685"/>
          </w:tcPr>
          <w:p>
            <w:pPr>
              <w:spacing w:lineRule="exact" w:line="600"/>
              <w:jc w:val="center"/>
            </w:pPr>
            <w:r/>
            <w:r>
              <w:rPr>
                <w:rFonts w:ascii="仿宋_GB2312" w:hAnsi="仿宋_GB2312" w:eastAsia="仿宋_GB2312"/>
                <w:b w:val="0"/>
                <w:color w:val="000000"/>
                <w:sz w:val="32"/>
              </w:rPr>
              <w:t>9.8万吨/年（近10万）</w:t>
            </w:r>
          </w:p>
        </w:tc>
        <w:tc>
          <w:tcPr>
            <w:tcW w:type="dxa" w:w="2551"/>
          </w:tcPr>
          <w:p>
            <w:pPr>
              <w:spacing w:lineRule="exact" w:line="600"/>
              <w:jc w:val="center"/>
            </w:pPr>
            <w:r/>
            <w:r>
              <w:rPr>
                <w:rFonts w:ascii="仿宋_GB2312" w:hAnsi="仿宋_GB2312" w:eastAsia="仿宋_GB2312"/>
                <w:b w:val="0"/>
                <w:color w:val="000000"/>
                <w:sz w:val="32"/>
              </w:rPr>
              <w:t>长建/CRI，2025</w:t>
            </w:r>
          </w:p>
        </w:tc>
      </w:tr>
      <w:tr>
        <w:tc>
          <w:tcPr>
            <w:tcW w:type="dxa" w:w="2268"/>
          </w:tcPr>
          <w:p>
            <w:pPr>
              <w:spacing w:lineRule="exact" w:line="600"/>
              <w:jc w:val="center"/>
            </w:pPr>
            <w:r/>
            <w:r>
              <w:rPr>
                <w:rFonts w:ascii="仿宋_GB2312" w:hAnsi="仿宋_GB2312" w:eastAsia="仿宋_GB2312"/>
                <w:b w:val="0"/>
                <w:color w:val="000000"/>
                <w:sz w:val="32"/>
              </w:rPr>
              <w:t>长建年产值</w:t>
            </w:r>
          </w:p>
        </w:tc>
        <w:tc>
          <w:tcPr>
            <w:tcW w:type="dxa" w:w="3685"/>
          </w:tcPr>
          <w:p>
            <w:pPr>
              <w:spacing w:lineRule="exact" w:line="600"/>
              <w:jc w:val="center"/>
            </w:pPr>
            <w:r/>
            <w:r>
              <w:rPr>
                <w:rFonts w:ascii="仿宋_GB2312" w:hAnsi="仿宋_GB2312" w:eastAsia="仿宋_GB2312"/>
                <w:b w:val="0"/>
                <w:color w:val="000000"/>
                <w:sz w:val="32"/>
              </w:rPr>
              <w:t>1.7—2亿元</w:t>
            </w:r>
          </w:p>
        </w:tc>
        <w:tc>
          <w:tcPr>
            <w:tcW w:type="dxa" w:w="2551"/>
          </w:tcPr>
          <w:p>
            <w:pPr>
              <w:spacing w:lineRule="exact" w:line="600"/>
              <w:jc w:val="center"/>
            </w:pPr>
            <w:r/>
            <w:r>
              <w:rPr>
                <w:rFonts w:ascii="仿宋_GB2312" w:hAnsi="仿宋_GB2312" w:eastAsia="仿宋_GB2312"/>
                <w:b w:val="0"/>
                <w:color w:val="000000"/>
                <w:sz w:val="32"/>
              </w:rPr>
              <w:t>长建，2024</w:t>
            </w:r>
          </w:p>
        </w:tc>
      </w:tr>
      <w:tr>
        <w:tc>
          <w:tcPr>
            <w:tcW w:type="dxa" w:w="2268"/>
          </w:tcPr>
          <w:p>
            <w:pPr>
              <w:spacing w:lineRule="exact" w:line="600"/>
              <w:jc w:val="center"/>
            </w:pPr>
            <w:r/>
            <w:r>
              <w:rPr>
                <w:rFonts w:ascii="仿宋_GB2312" w:hAnsi="仿宋_GB2312" w:eastAsia="仿宋_GB2312"/>
                <w:b w:val="0"/>
                <w:color w:val="000000"/>
                <w:sz w:val="32"/>
              </w:rPr>
              <w:t>单厂装备投资</w:t>
            </w:r>
          </w:p>
        </w:tc>
        <w:tc>
          <w:tcPr>
            <w:tcW w:type="dxa" w:w="3685"/>
          </w:tcPr>
          <w:p>
            <w:pPr>
              <w:spacing w:lineRule="exact" w:line="600"/>
              <w:jc w:val="center"/>
            </w:pPr>
            <w:r/>
            <w:r>
              <w:rPr>
                <w:rFonts w:ascii="仿宋_GB2312" w:hAnsi="仿宋_GB2312" w:eastAsia="仿宋_GB2312"/>
                <w:b w:val="0"/>
                <w:color w:val="000000"/>
                <w:sz w:val="32"/>
              </w:rPr>
              <w:t>10亿—15亿元</w:t>
            </w:r>
          </w:p>
        </w:tc>
        <w:tc>
          <w:tcPr>
            <w:tcW w:type="dxa" w:w="2551"/>
          </w:tcPr>
          <w:p>
            <w:pPr>
              <w:spacing w:lineRule="exact" w:line="600"/>
              <w:jc w:val="center"/>
            </w:pPr>
            <w:r/>
            <w:r>
              <w:rPr>
                <w:rFonts w:ascii="仿宋_GB2312" w:hAnsi="仿宋_GB2312" w:eastAsia="仿宋_GB2312"/>
                <w:b w:val="0"/>
                <w:color w:val="000000"/>
                <w:sz w:val="32"/>
              </w:rPr>
              <w:t>永盛/华盛，2024</w:t>
            </w:r>
          </w:p>
        </w:tc>
      </w:tr>
      <w:tr>
        <w:tc>
          <w:tcPr>
            <w:tcW w:type="dxa" w:w="2268"/>
          </w:tcPr>
          <w:p>
            <w:pPr>
              <w:spacing w:lineRule="exact" w:line="600"/>
              <w:jc w:val="center"/>
            </w:pPr>
            <w:r/>
            <w:r>
              <w:rPr>
                <w:rFonts w:ascii="仿宋_GB2312" w:hAnsi="仿宋_GB2312" w:eastAsia="仿宋_GB2312"/>
                <w:b w:val="0"/>
                <w:color w:val="000000"/>
                <w:sz w:val="32"/>
              </w:rPr>
              <w:t>重点企业数控化率</w:t>
            </w:r>
          </w:p>
        </w:tc>
        <w:tc>
          <w:tcPr>
            <w:tcW w:type="dxa" w:w="3685"/>
          </w:tcPr>
          <w:p>
            <w:pPr>
              <w:spacing w:lineRule="exact" w:line="600"/>
              <w:jc w:val="center"/>
            </w:pPr>
            <w:r/>
            <w:r>
              <w:rPr>
                <w:rFonts w:ascii="仿宋_GB2312" w:hAnsi="仿宋_GB2312" w:eastAsia="仿宋_GB2312"/>
                <w:b w:val="0"/>
                <w:color w:val="000000"/>
                <w:sz w:val="32"/>
              </w:rPr>
              <w:t>90%以上</w:t>
            </w:r>
          </w:p>
        </w:tc>
        <w:tc>
          <w:tcPr>
            <w:tcW w:type="dxa" w:w="2551"/>
          </w:tcPr>
          <w:p>
            <w:pPr>
              <w:spacing w:lineRule="exact" w:line="600"/>
              <w:jc w:val="center"/>
            </w:pPr>
            <w:r/>
            <w:r>
              <w:rPr>
                <w:rFonts w:ascii="仿宋_GB2312" w:hAnsi="仿宋_GB2312" w:eastAsia="仿宋_GB2312"/>
                <w:b w:val="0"/>
                <w:color w:val="000000"/>
                <w:sz w:val="32"/>
              </w:rPr>
              <w:t>广饶县，2025</w:t>
            </w:r>
          </w:p>
        </w:tc>
      </w:tr>
    </w:tbl>
    <w:p>
      <w:pPr>
        <w:spacing w:lineRule="exact" w:line="600" w:before="120" w:after="120"/>
        <w:ind w:firstLine="420"/>
        <w:jc w:val="left"/>
      </w:pPr>
      <w:r>
        <w:rPr>
          <w:rFonts w:ascii="楷体_GB2312" w:hAnsi="楷体_GB2312" w:eastAsia="楷体_GB2312"/>
          <w:b w:val="0"/>
          <w:color w:val="000000"/>
          <w:sz w:val="32"/>
        </w:rPr>
        <w:t>出口与市场份额（本批真实数据补充·来源见正文）</w:t>
      </w:r>
    </w:p>
    <w:p>
      <w:pPr>
        <w:spacing w:lineRule="exact" w:line="600" w:before="0" w:after="0"/>
        <w:ind w:firstLine="420"/>
        <w:jc w:val="both"/>
      </w:pPr>
      <w:r>
        <w:rPr>
          <w:rFonts w:ascii="仿宋_GB2312" w:hAnsi="仿宋_GB2312" w:eastAsia="仿宋_GB2312"/>
          <w:b w:val="0"/>
          <w:color w:val="000000"/>
          <w:sz w:val="32"/>
        </w:rPr>
        <w:t>广饶轮胎以外向型为主，2024年橡胶轮胎产业实现出口259.5亿元，产品辐射欧盟、东南亚、中东非等国际市场，第十五届中国（广饶）国际橡胶轮胎展吸引50余家全球轮胎75强参展。（来源：山东省网2025年广饶轮胎展会报道）</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r>
      <w:tr>
        <w:tc>
          <w:tcPr>
            <w:tcW w:type="dxa" w:w="2551"/>
          </w:tcPr>
          <w:p>
            <w:pPr>
              <w:spacing w:lineRule="exact" w:line="600"/>
              <w:jc w:val="center"/>
            </w:pPr>
            <w:r/>
            <w:r>
              <w:rPr>
                <w:rFonts w:ascii="仿宋_GB2312" w:hAnsi="仿宋_GB2312" w:eastAsia="仿宋_GB2312"/>
                <w:b w:val="0"/>
                <w:color w:val="000000"/>
                <w:sz w:val="32"/>
              </w:rPr>
              <w:t>橡胶轮胎产业出口额</w:t>
            </w:r>
          </w:p>
        </w:tc>
        <w:tc>
          <w:tcPr>
            <w:tcW w:type="dxa" w:w="3118"/>
          </w:tcPr>
          <w:p>
            <w:pPr>
              <w:spacing w:lineRule="exact" w:line="600"/>
              <w:jc w:val="center"/>
            </w:pPr>
            <w:r/>
            <w:r>
              <w:rPr>
                <w:rFonts w:ascii="仿宋_GB2312" w:hAnsi="仿宋_GB2312" w:eastAsia="仿宋_GB2312"/>
                <w:b w:val="0"/>
                <w:color w:val="000000"/>
                <w:sz w:val="32"/>
              </w:rPr>
              <w:t>259.5亿元（2024）</w:t>
            </w:r>
          </w:p>
        </w:tc>
        <w:tc>
          <w:tcPr>
            <w:tcW w:type="dxa" w:w="3118"/>
          </w:tcPr>
          <w:p>
            <w:pPr>
              <w:spacing w:lineRule="exact" w:line="600"/>
              <w:jc w:val="center"/>
            </w:pPr>
            <w:r/>
            <w:r>
              <w:rPr>
                <w:rFonts w:ascii="仿宋_GB2312" w:hAnsi="仿宋_GB2312" w:eastAsia="仿宋_GB2312"/>
                <w:b w:val="0"/>
                <w:color w:val="000000"/>
                <w:sz w:val="32"/>
              </w:rPr>
              <w:t>广饶县</w:t>
            </w:r>
          </w:p>
        </w:tc>
      </w:tr>
      <w:tr>
        <w:tc>
          <w:tcPr>
            <w:tcW w:type="dxa" w:w="2551"/>
          </w:tcPr>
          <w:p>
            <w:pPr>
              <w:spacing w:lineRule="exact" w:line="600"/>
              <w:jc w:val="center"/>
            </w:pPr>
            <w:r/>
            <w:r>
              <w:rPr>
                <w:rFonts w:ascii="仿宋_GB2312" w:hAnsi="仿宋_GB2312" w:eastAsia="仿宋_GB2312"/>
                <w:b w:val="0"/>
                <w:color w:val="000000"/>
                <w:sz w:val="32"/>
              </w:rPr>
              <w:t>入围全球轮胎75强企业</w:t>
            </w:r>
          </w:p>
        </w:tc>
        <w:tc>
          <w:tcPr>
            <w:tcW w:type="dxa" w:w="3118"/>
          </w:tcPr>
          <w:p>
            <w:pPr>
              <w:spacing w:lineRule="exact" w:line="600"/>
              <w:jc w:val="center"/>
            </w:pPr>
            <w:r/>
            <w:r>
              <w:rPr>
                <w:rFonts w:ascii="仿宋_GB2312" w:hAnsi="仿宋_GB2312" w:eastAsia="仿宋_GB2312"/>
                <w:b w:val="0"/>
                <w:color w:val="000000"/>
                <w:sz w:val="32"/>
              </w:rPr>
              <w:t>8家</w:t>
            </w:r>
          </w:p>
        </w:tc>
        <w:tc>
          <w:tcPr>
            <w:tcW w:type="dxa" w:w="3118"/>
          </w:tcPr>
          <w:p>
            <w:pPr>
              <w:spacing w:lineRule="exact" w:line="600"/>
              <w:jc w:val="center"/>
            </w:pPr>
            <w:r/>
            <w:r>
              <w:rPr>
                <w:rFonts w:ascii="仿宋_GB2312" w:hAnsi="仿宋_GB2312" w:eastAsia="仿宋_GB2312"/>
                <w:b w:val="0"/>
                <w:color w:val="000000"/>
                <w:sz w:val="32"/>
              </w:rPr>
              <w:t>广饶县</w:t>
            </w:r>
          </w:p>
        </w:tc>
      </w:tr>
      <w:tr>
        <w:tc>
          <w:tcPr>
            <w:tcW w:type="dxa" w:w="2551"/>
          </w:tcPr>
          <w:p>
            <w:pPr>
              <w:spacing w:lineRule="exact" w:line="600"/>
              <w:jc w:val="center"/>
            </w:pPr>
            <w:r/>
            <w:r>
              <w:rPr>
                <w:rFonts w:ascii="仿宋_GB2312" w:hAnsi="仿宋_GB2312" w:eastAsia="仿宋_GB2312"/>
                <w:b w:val="0"/>
                <w:color w:val="000000"/>
                <w:sz w:val="32"/>
              </w:rPr>
              <w:t>重点展会参展强企</w:t>
            </w:r>
          </w:p>
        </w:tc>
        <w:tc>
          <w:tcPr>
            <w:tcW w:type="dxa" w:w="3118"/>
          </w:tcPr>
          <w:p>
            <w:pPr>
              <w:spacing w:lineRule="exact" w:line="600"/>
              <w:jc w:val="center"/>
            </w:pPr>
            <w:r/>
            <w:r>
              <w:rPr>
                <w:rFonts w:ascii="仿宋_GB2312" w:hAnsi="仿宋_GB2312" w:eastAsia="仿宋_GB2312"/>
                <w:b w:val="0"/>
                <w:color w:val="000000"/>
                <w:sz w:val="32"/>
              </w:rPr>
              <w:t>50余家全球轮胎75强</w:t>
            </w:r>
          </w:p>
        </w:tc>
        <w:tc>
          <w:tcPr>
            <w:tcW w:type="dxa" w:w="3118"/>
          </w:tcPr>
          <w:p>
            <w:pPr>
              <w:spacing w:lineRule="exact" w:line="600"/>
              <w:jc w:val="center"/>
            </w:pPr>
            <w:r/>
            <w:r>
              <w:rPr>
                <w:rFonts w:ascii="仿宋_GB2312" w:hAnsi="仿宋_GB2312" w:eastAsia="仿宋_GB2312"/>
                <w:b w:val="0"/>
                <w:color w:val="000000"/>
                <w:sz w:val="32"/>
              </w:rPr>
              <w:t>第15届广饶胎展</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（一）集群装备与循环生态</w:t>
      </w:r>
    </w:p>
    <w:p>
      <w:pPr>
        <w:spacing w:lineRule="exact" w:line="600" w:before="0" w:after="0"/>
        <w:ind w:firstLine="420"/>
        <w:jc w:val="both"/>
      </w:pPr>
      <w:r>
        <w:rPr>
          <w:rFonts w:ascii="仿宋_GB2312" w:hAnsi="仿宋_GB2312" w:eastAsia="仿宋_GB2312"/>
          <w:b w:val="0"/>
          <w:color w:val="000000"/>
          <w:sz w:val="32"/>
        </w:rPr>
        <w:t>广饶橡胶轮胎产业已形成从装备、模具、胶囊到循环利用的完整配套，纳入「20公里配套圈」与循环产业园。2025年广饶橡胶轮胎产业集群入选国家级中小企业特色产业集群（全省第一），装备智能化与循环绿色化是重要评价维度。全县建成市级以上智能工厂、数字化车间21个，9家省级「晨星工厂」，产业大脑贯通生产全流程。</w:t>
      </w:r>
    </w:p>
    <w:p>
      <w:pPr>
        <w:spacing w:lineRule="exact" w:line="600" w:before="120" w:after="120"/>
        <w:ind w:firstLine="420"/>
        <w:jc w:val="left"/>
      </w:pPr>
      <w:r>
        <w:rPr>
          <w:rFonts w:ascii="楷体_GB2312" w:hAnsi="楷体_GB2312" w:eastAsia="楷体_GB2312"/>
          <w:b w:val="0"/>
          <w:color w:val="000000"/>
          <w:sz w:val="32"/>
        </w:rPr>
        <w:t>（二）代表企业</w:t>
      </w:r>
    </w:p>
    <w:p>
      <w:pPr>
        <w:spacing w:lineRule="exact" w:line="600" w:before="0" w:after="0"/>
        <w:ind w:firstLine="420"/>
        <w:jc w:val="both"/>
      </w:pPr>
      <w:r>
        <w:rPr>
          <w:rFonts w:ascii="仿宋_GB2312" w:hAnsi="仿宋_GB2312" w:eastAsia="仿宋_GB2312"/>
          <w:b w:val="0"/>
          <w:color w:val="000000"/>
          <w:sz w:val="32"/>
        </w:rPr>
        <w:t>东营长建再生资源有限公司为循环利用龙头，累计投入7000万元（其中2000多万元自动化改造）建设绿色工厂，四条再生胶生产线，年产能近10万吨，产品供应玲珑、三角等。山东永盛橡胶集团以15亿元工业4.0智能工厂树立装备智造标杆。金泰橡胶等企业布局硫化胶囊与胶粉再生，形成内部循环。装备端还有各类密炼、硫化、成型设备供应商服务集群。</w:t>
      </w:r>
    </w:p>
    <w:p>
      <w:pPr>
        <w:spacing w:lineRule="exact" w:line="600" w:before="120" w:after="120"/>
        <w:ind w:firstLine="420"/>
        <w:jc w:val="left"/>
      </w:pPr>
      <w:r>
        <w:rPr>
          <w:rFonts w:ascii="楷体_GB2312" w:hAnsi="楷体_GB2312" w:eastAsia="楷体_GB2312"/>
          <w:b w:val="0"/>
          <w:color w:val="000000"/>
          <w:sz w:val="32"/>
        </w:rPr>
        <w:t>（三）平台与服务</w:t>
      </w:r>
    </w:p>
    <w:p>
      <w:pPr>
        <w:spacing w:lineRule="exact" w:line="600" w:before="0" w:after="0"/>
        <w:ind w:firstLine="420"/>
        <w:jc w:val="both"/>
      </w:pPr>
      <w:r>
        <w:rPr>
          <w:rFonts w:ascii="仿宋_GB2312" w:hAnsi="仿宋_GB2312" w:eastAsia="仿宋_GB2312"/>
          <w:b w:val="0"/>
          <w:color w:val="000000"/>
          <w:sz w:val="32"/>
        </w:rPr>
        <w:t>青岛科技大学广饶橡胶工业研究院提供装备与工艺研发支撑；国家轮胎及橡胶产品质量检验检测中心广饶分中心提供检测服务；「橡胶轮胎（成品）产业大脑」实现装备数据贯通。循环产业园集中布局，便于废胎收集、运输、处理与再销售，降低物流与协同成本。</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685"/>
          </w:tcPr>
          <w:p>
            <w:pPr>
              <w:spacing w:lineRule="exact" w:line="600"/>
              <w:jc w:val="center"/>
            </w:pPr>
            <w:r/>
            <w:r>
              <w:rPr>
                <w:rFonts w:ascii="黑体" w:hAnsi="黑体" w:eastAsia="黑体"/>
                <w:b/>
                <w:color w:val="000000"/>
                <w:sz w:val="32"/>
              </w:rPr>
              <w:t>产品/产能</w:t>
            </w:r>
          </w:p>
        </w:tc>
        <w:tc>
          <w:tcPr>
            <w:tcW w:type="dxa" w:w="3402"/>
          </w:tcPr>
          <w:p>
            <w:pPr>
              <w:spacing w:lineRule="exact" w:line="600"/>
              <w:jc w:val="center"/>
            </w:pPr>
            <w:r/>
            <w:r>
              <w:rPr>
                <w:rFonts w:ascii="黑体" w:hAnsi="黑体" w:eastAsia="黑体"/>
                <w:b/>
                <w:color w:val="000000"/>
                <w:sz w:val="32"/>
              </w:rPr>
              <w:t>角色</w:t>
            </w:r>
          </w:p>
        </w:tc>
      </w:tr>
      <w:tr>
        <w:tc>
          <w:tcPr>
            <w:tcW w:type="dxa" w:w="1984"/>
          </w:tcPr>
          <w:p>
            <w:pPr>
              <w:spacing w:lineRule="exact" w:line="600"/>
              <w:jc w:val="center"/>
            </w:pPr>
            <w:r/>
            <w:r>
              <w:rPr>
                <w:rFonts w:ascii="仿宋_GB2312" w:hAnsi="仿宋_GB2312" w:eastAsia="仿宋_GB2312"/>
                <w:b w:val="0"/>
                <w:color w:val="000000"/>
                <w:sz w:val="32"/>
              </w:rPr>
              <w:t>东营长建再生资源</w:t>
            </w:r>
          </w:p>
        </w:tc>
        <w:tc>
          <w:tcPr>
            <w:tcW w:type="dxa" w:w="3685"/>
          </w:tcPr>
          <w:p>
            <w:pPr>
              <w:spacing w:lineRule="exact" w:line="600"/>
              <w:jc w:val="center"/>
            </w:pPr>
            <w:r/>
            <w:r>
              <w:rPr>
                <w:rFonts w:ascii="仿宋_GB2312" w:hAnsi="仿宋_GB2312" w:eastAsia="仿宋_GB2312"/>
                <w:b w:val="0"/>
                <w:color w:val="000000"/>
                <w:sz w:val="32"/>
              </w:rPr>
              <w:t>再生胶9.8万吨/年</w:t>
            </w:r>
          </w:p>
        </w:tc>
        <w:tc>
          <w:tcPr>
            <w:tcW w:type="dxa" w:w="3402"/>
          </w:tcPr>
          <w:p>
            <w:pPr>
              <w:spacing w:lineRule="exact" w:line="600"/>
              <w:jc w:val="center"/>
            </w:pPr>
            <w:r/>
            <w:r>
              <w:rPr>
                <w:rFonts w:ascii="仿宋_GB2312" w:hAnsi="仿宋_GB2312" w:eastAsia="仿宋_GB2312"/>
                <w:b w:val="0"/>
                <w:color w:val="000000"/>
                <w:sz w:val="32"/>
              </w:rPr>
              <w:t>循环龙头</w:t>
            </w:r>
          </w:p>
        </w:tc>
      </w:tr>
      <w:tr>
        <w:tc>
          <w:tcPr>
            <w:tcW w:type="dxa" w:w="1984"/>
          </w:tcPr>
          <w:p>
            <w:pPr>
              <w:spacing w:lineRule="exact" w:line="600"/>
              <w:jc w:val="center"/>
            </w:pPr>
            <w:r/>
            <w:r>
              <w:rPr>
                <w:rFonts w:ascii="仿宋_GB2312" w:hAnsi="仿宋_GB2312" w:eastAsia="仿宋_GB2312"/>
                <w:b w:val="0"/>
                <w:color w:val="000000"/>
                <w:sz w:val="32"/>
              </w:rPr>
              <w:t>山东永盛橡胶</w:t>
            </w:r>
          </w:p>
        </w:tc>
        <w:tc>
          <w:tcPr>
            <w:tcW w:type="dxa" w:w="3685"/>
          </w:tcPr>
          <w:p>
            <w:pPr>
              <w:spacing w:lineRule="exact" w:line="600"/>
              <w:jc w:val="center"/>
            </w:pPr>
            <w:r/>
            <w:r>
              <w:rPr>
                <w:rFonts w:ascii="仿宋_GB2312" w:hAnsi="仿宋_GB2312" w:eastAsia="仿宋_GB2312"/>
                <w:b w:val="0"/>
                <w:color w:val="000000"/>
                <w:sz w:val="32"/>
              </w:rPr>
              <w:t>15亿工业4.0工厂</w:t>
            </w:r>
          </w:p>
        </w:tc>
        <w:tc>
          <w:tcPr>
            <w:tcW w:type="dxa" w:w="3402"/>
          </w:tcPr>
          <w:p>
            <w:pPr>
              <w:spacing w:lineRule="exact" w:line="600"/>
              <w:jc w:val="center"/>
            </w:pPr>
            <w:r/>
            <w:r>
              <w:rPr>
                <w:rFonts w:ascii="仿宋_GB2312" w:hAnsi="仿宋_GB2312" w:eastAsia="仿宋_GB2312"/>
                <w:b w:val="0"/>
                <w:color w:val="000000"/>
                <w:sz w:val="32"/>
              </w:rPr>
              <w:t>装备智造标杆</w:t>
            </w:r>
          </w:p>
        </w:tc>
      </w:tr>
      <w:tr>
        <w:tc>
          <w:tcPr>
            <w:tcW w:type="dxa" w:w="1984"/>
          </w:tcPr>
          <w:p>
            <w:pPr>
              <w:spacing w:lineRule="exact" w:line="600"/>
              <w:jc w:val="center"/>
            </w:pPr>
            <w:r/>
            <w:r>
              <w:rPr>
                <w:rFonts w:ascii="仿宋_GB2312" w:hAnsi="仿宋_GB2312" w:eastAsia="仿宋_GB2312"/>
                <w:b w:val="0"/>
                <w:color w:val="000000"/>
                <w:sz w:val="32"/>
              </w:rPr>
              <w:t>金泰橡胶</w:t>
            </w:r>
          </w:p>
        </w:tc>
        <w:tc>
          <w:tcPr>
            <w:tcW w:type="dxa" w:w="3685"/>
          </w:tcPr>
          <w:p>
            <w:pPr>
              <w:spacing w:lineRule="exact" w:line="600"/>
              <w:jc w:val="center"/>
            </w:pPr>
            <w:r/>
            <w:r>
              <w:rPr>
                <w:rFonts w:ascii="仿宋_GB2312" w:hAnsi="仿宋_GB2312" w:eastAsia="仿宋_GB2312"/>
                <w:b w:val="0"/>
                <w:color w:val="000000"/>
                <w:sz w:val="32"/>
              </w:rPr>
              <w:t>胶囊/胶粉再生</w:t>
            </w:r>
          </w:p>
        </w:tc>
        <w:tc>
          <w:tcPr>
            <w:tcW w:type="dxa" w:w="3402"/>
          </w:tcPr>
          <w:p>
            <w:pPr>
              <w:spacing w:lineRule="exact" w:line="600"/>
              <w:jc w:val="center"/>
            </w:pPr>
            <w:r/>
            <w:r>
              <w:rPr>
                <w:rFonts w:ascii="仿宋_GB2312" w:hAnsi="仿宋_GB2312" w:eastAsia="仿宋_GB2312"/>
                <w:b w:val="0"/>
                <w:color w:val="000000"/>
                <w:sz w:val="32"/>
              </w:rPr>
              <w:t>工装循环</w:t>
            </w:r>
          </w:p>
        </w:tc>
      </w:tr>
      <w:tr>
        <w:tc>
          <w:tcPr>
            <w:tcW w:type="dxa" w:w="1984"/>
          </w:tcPr>
          <w:p>
            <w:pPr>
              <w:spacing w:lineRule="exact" w:line="600"/>
              <w:jc w:val="center"/>
            </w:pPr>
            <w:r/>
            <w:r>
              <w:rPr>
                <w:rFonts w:ascii="仿宋_GB2312" w:hAnsi="仿宋_GB2312" w:eastAsia="仿宋_GB2312"/>
                <w:b w:val="0"/>
                <w:color w:val="000000"/>
                <w:sz w:val="32"/>
              </w:rPr>
              <w:t>研究院/质检中心</w:t>
            </w:r>
          </w:p>
        </w:tc>
        <w:tc>
          <w:tcPr>
            <w:tcW w:type="dxa" w:w="3685"/>
          </w:tcPr>
          <w:p>
            <w:pPr>
              <w:spacing w:lineRule="exact" w:line="600"/>
              <w:jc w:val="center"/>
            </w:pPr>
            <w:r/>
            <w:r>
              <w:rPr>
                <w:rFonts w:ascii="仿宋_GB2312" w:hAnsi="仿宋_GB2312" w:eastAsia="仿宋_GB2312"/>
                <w:b w:val="0"/>
                <w:color w:val="000000"/>
                <w:sz w:val="32"/>
              </w:rPr>
              <w:t>研发与检测</w:t>
            </w:r>
          </w:p>
        </w:tc>
        <w:tc>
          <w:tcPr>
            <w:tcW w:type="dxa" w:w="3402"/>
          </w:tcPr>
          <w:p>
            <w:pPr>
              <w:spacing w:lineRule="exact" w:line="600"/>
              <w:jc w:val="center"/>
            </w:pPr>
            <w:r/>
            <w:r>
              <w:rPr>
                <w:rFonts w:ascii="仿宋_GB2312" w:hAnsi="仿宋_GB2312" w:eastAsia="仿宋_GB2312"/>
                <w:b w:val="0"/>
                <w:color w:val="000000"/>
                <w:sz w:val="32"/>
              </w:rPr>
              <w:t>公共服务</w:t>
            </w:r>
          </w:p>
        </w:tc>
      </w:tr>
    </w:tbl>
    <w:p>
      <w:pPr>
        <w:spacing w:lineRule="exact" w:line="600" w:before="120" w:after="120"/>
        <w:ind w:firstLine="420"/>
        <w:jc w:val="left"/>
      </w:pPr>
      <w:r>
        <w:rPr>
          <w:rFonts w:ascii="楷体_GB2312" w:hAnsi="楷体_GB2312" w:eastAsia="楷体_GB2312"/>
          <w:b w:val="0"/>
          <w:color w:val="000000"/>
          <w:sz w:val="32"/>
        </w:rPr>
        <w:t>集群规模与龙头企业（本批真实数据补充·来源见正文）</w:t>
      </w:r>
    </w:p>
    <w:p>
      <w:pPr>
        <w:spacing w:lineRule="exact" w:line="600" w:before="0" w:after="0"/>
        <w:ind w:firstLine="420"/>
        <w:jc w:val="both"/>
      </w:pPr>
      <w:r>
        <w:rPr>
          <w:rFonts w:ascii="仿宋_GB2312" w:hAnsi="仿宋_GB2312" w:eastAsia="仿宋_GB2312"/>
          <w:b w:val="0"/>
          <w:color w:val="000000"/>
          <w:sz w:val="32"/>
        </w:rPr>
        <w:t>2024年广饶县橡胶轮胎产业实现工业总产值466.7亿元、同比增长13.1%；全市现有规上橡胶轮胎产业链企业65家，产值过50亿元企业5家、过10亿元企业17家。赛轮轮胎2024年营业收入318.02亿元。橡胶轮胎产业集群入选全省“雁阵形”产业集群及先进制造业集群转型升级示范。（来源：东营市工信局2025发布会、赛轮轮胎2024年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w:t>
            </w:r>
          </w:p>
        </w:tc>
      </w:tr>
      <w:tr>
        <w:tc>
          <w:tcPr>
            <w:tcW w:type="dxa" w:w="3118"/>
          </w:tcPr>
          <w:p>
            <w:pPr>
              <w:spacing w:lineRule="exact" w:line="600"/>
              <w:jc w:val="center"/>
            </w:pPr>
            <w:r/>
            <w:r>
              <w:rPr>
                <w:rFonts w:ascii="仿宋_GB2312" w:hAnsi="仿宋_GB2312" w:eastAsia="仿宋_GB2312"/>
                <w:b w:val="0"/>
                <w:color w:val="000000"/>
                <w:sz w:val="32"/>
              </w:rPr>
              <w:t>橡胶轮胎工业总产值</w:t>
            </w:r>
          </w:p>
        </w:tc>
        <w:tc>
          <w:tcPr>
            <w:tcW w:type="dxa" w:w="2835"/>
          </w:tcPr>
          <w:p>
            <w:pPr>
              <w:spacing w:lineRule="exact" w:line="600"/>
              <w:jc w:val="center"/>
            </w:pPr>
            <w:r/>
            <w:r>
              <w:rPr>
                <w:rFonts w:ascii="仿宋_GB2312" w:hAnsi="仿宋_GB2312" w:eastAsia="仿宋_GB2312"/>
                <w:b w:val="0"/>
                <w:color w:val="000000"/>
                <w:sz w:val="32"/>
              </w:rPr>
              <w:t>466.7亿元（同比+13.1%）</w:t>
            </w:r>
          </w:p>
        </w:tc>
        <w:tc>
          <w:tcPr>
            <w:tcW w:type="dxa" w:w="2835"/>
          </w:tcPr>
          <w:p>
            <w:pPr>
              <w:spacing w:lineRule="exact" w:line="600"/>
              <w:jc w:val="center"/>
            </w:pPr>
            <w:r/>
            <w:r>
              <w:rPr>
                <w:rFonts w:ascii="仿宋_GB2312" w:hAnsi="仿宋_GB2312" w:eastAsia="仿宋_GB2312"/>
                <w:b w:val="0"/>
                <w:color w:val="000000"/>
                <w:sz w:val="32"/>
              </w:rPr>
              <w:t>广饶县2024</w:t>
            </w:r>
          </w:p>
        </w:tc>
      </w:tr>
      <w:tr>
        <w:tc>
          <w:tcPr>
            <w:tcW w:type="dxa" w:w="3118"/>
          </w:tcPr>
          <w:p>
            <w:pPr>
              <w:spacing w:lineRule="exact" w:line="600"/>
              <w:jc w:val="center"/>
            </w:pPr>
            <w:r/>
            <w:r>
              <w:rPr>
                <w:rFonts w:ascii="仿宋_GB2312" w:hAnsi="仿宋_GB2312" w:eastAsia="仿宋_GB2312"/>
                <w:b w:val="0"/>
                <w:color w:val="000000"/>
                <w:sz w:val="32"/>
              </w:rPr>
              <w:t>规上产业链企业</w:t>
            </w:r>
          </w:p>
        </w:tc>
        <w:tc>
          <w:tcPr>
            <w:tcW w:type="dxa" w:w="2835"/>
          </w:tcPr>
          <w:p>
            <w:pPr>
              <w:spacing w:lineRule="exact" w:line="600"/>
              <w:jc w:val="center"/>
            </w:pPr>
            <w:r/>
            <w:r>
              <w:rPr>
                <w:rFonts w:ascii="仿宋_GB2312" w:hAnsi="仿宋_GB2312" w:eastAsia="仿宋_GB2312"/>
                <w:b w:val="0"/>
                <w:color w:val="000000"/>
                <w:sz w:val="32"/>
              </w:rPr>
              <w:t>65家（全市）</w:t>
            </w:r>
          </w:p>
        </w:tc>
        <w:tc>
          <w:tcPr>
            <w:tcW w:type="dxa" w:w="2835"/>
          </w:tcPr>
          <w:p>
            <w:pPr>
              <w:spacing w:lineRule="exact" w:line="600"/>
              <w:jc w:val="center"/>
            </w:pPr>
            <w:r/>
            <w:r>
              <w:rPr>
                <w:rFonts w:ascii="仿宋_GB2312" w:hAnsi="仿宋_GB2312" w:eastAsia="仿宋_GB2312"/>
                <w:b w:val="0"/>
                <w:color w:val="000000"/>
                <w:sz w:val="32"/>
              </w:rPr>
              <w:t>东营市工信局</w:t>
            </w:r>
          </w:p>
        </w:tc>
      </w:tr>
      <w:tr>
        <w:tc>
          <w:tcPr>
            <w:tcW w:type="dxa" w:w="3118"/>
          </w:tcPr>
          <w:p>
            <w:pPr>
              <w:spacing w:lineRule="exact" w:line="600"/>
              <w:jc w:val="center"/>
            </w:pPr>
            <w:r/>
            <w:r>
              <w:rPr>
                <w:rFonts w:ascii="仿宋_GB2312" w:hAnsi="仿宋_GB2312" w:eastAsia="仿宋_GB2312"/>
                <w:b w:val="0"/>
                <w:color w:val="000000"/>
                <w:sz w:val="32"/>
              </w:rPr>
              <w:t>产值过50亿元企业</w:t>
            </w:r>
          </w:p>
        </w:tc>
        <w:tc>
          <w:tcPr>
            <w:tcW w:type="dxa" w:w="2835"/>
          </w:tcPr>
          <w:p>
            <w:pPr>
              <w:spacing w:lineRule="exact" w:line="600"/>
              <w:jc w:val="center"/>
            </w:pPr>
            <w:r/>
            <w:r>
              <w:rPr>
                <w:rFonts w:ascii="仿宋_GB2312" w:hAnsi="仿宋_GB2312" w:eastAsia="仿宋_GB2312"/>
                <w:b w:val="0"/>
                <w:color w:val="000000"/>
                <w:sz w:val="32"/>
              </w:rPr>
              <w:t>5家</w:t>
            </w:r>
          </w:p>
        </w:tc>
        <w:tc>
          <w:tcPr>
            <w:tcW w:type="dxa" w:w="2835"/>
          </w:tcPr>
          <w:p>
            <w:pPr>
              <w:spacing w:lineRule="exact" w:line="600"/>
              <w:jc w:val="center"/>
            </w:pPr>
            <w:r/>
            <w:r>
              <w:rPr>
                <w:rFonts w:ascii="仿宋_GB2312" w:hAnsi="仿宋_GB2312" w:eastAsia="仿宋_GB2312"/>
                <w:b w:val="0"/>
                <w:color w:val="000000"/>
                <w:sz w:val="32"/>
              </w:rPr>
              <w:t>东营市工信局</w:t>
            </w:r>
          </w:p>
        </w:tc>
      </w:tr>
      <w:tr>
        <w:tc>
          <w:tcPr>
            <w:tcW w:type="dxa" w:w="3118"/>
          </w:tcPr>
          <w:p>
            <w:pPr>
              <w:spacing w:lineRule="exact" w:line="600"/>
              <w:jc w:val="center"/>
            </w:pPr>
            <w:r/>
            <w:r>
              <w:rPr>
                <w:rFonts w:ascii="仿宋_GB2312" w:hAnsi="仿宋_GB2312" w:eastAsia="仿宋_GB2312"/>
                <w:b w:val="0"/>
                <w:color w:val="000000"/>
                <w:sz w:val="32"/>
              </w:rPr>
              <w:t>赛轮轮胎营业收入</w:t>
            </w:r>
          </w:p>
        </w:tc>
        <w:tc>
          <w:tcPr>
            <w:tcW w:type="dxa" w:w="2835"/>
          </w:tcPr>
          <w:p>
            <w:pPr>
              <w:spacing w:lineRule="exact" w:line="600"/>
              <w:jc w:val="center"/>
            </w:pPr>
            <w:r/>
            <w:r>
              <w:rPr>
                <w:rFonts w:ascii="仿宋_GB2312" w:hAnsi="仿宋_GB2312" w:eastAsia="仿宋_GB2312"/>
                <w:b w:val="0"/>
                <w:color w:val="000000"/>
                <w:sz w:val="32"/>
              </w:rPr>
              <w:t>318.02亿元（2024）</w:t>
            </w:r>
          </w:p>
        </w:tc>
        <w:tc>
          <w:tcPr>
            <w:tcW w:type="dxa" w:w="2835"/>
          </w:tcPr>
          <w:p>
            <w:pPr>
              <w:spacing w:lineRule="exact" w:line="600"/>
              <w:jc w:val="center"/>
            </w:pPr>
            <w:r/>
            <w:r>
              <w:rPr>
                <w:rFonts w:ascii="仿宋_GB2312" w:hAnsi="仿宋_GB2312" w:eastAsia="仿宋_GB2312"/>
                <w:b w:val="0"/>
                <w:color w:val="000000"/>
                <w:sz w:val="32"/>
              </w:rPr>
              <w:t>上市公司年报</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（一）智能装备技术</w:t>
      </w:r>
    </w:p>
    <w:p>
      <w:pPr>
        <w:spacing w:lineRule="exact" w:line="600" w:before="0" w:after="0"/>
        <w:ind w:firstLine="420"/>
        <w:jc w:val="both"/>
      </w:pPr>
      <w:r>
        <w:rPr>
          <w:rFonts w:ascii="仿宋_GB2312" w:hAnsi="仿宋_GB2312" w:eastAsia="仿宋_GB2312"/>
          <w:b w:val="0"/>
          <w:color w:val="000000"/>
          <w:sz w:val="32"/>
        </w:rPr>
        <w:t>广饶重点企业设备数控化率超90%，永盛工业4.0工厂实现密炼、裁断、成型、硫化、检测全流程由智能装备与系统控制，生产效率提升30%、能耗降低10%、日产能1.6万条。华盛引入AI视觉检测，单胎检测由8分钟降至4分钟、合格率由99.3%升至99.8%。双动力智能硫化机等25项科研项目落地转化，体现装备自主创新。</w:t>
      </w:r>
    </w:p>
    <w:p>
      <w:pPr>
        <w:spacing w:lineRule="exact" w:line="600" w:before="120" w:after="120"/>
        <w:ind w:firstLine="420"/>
        <w:jc w:val="left"/>
      </w:pPr>
      <w:r>
        <w:rPr>
          <w:rFonts w:ascii="楷体_GB2312" w:hAnsi="楷体_GB2312" w:eastAsia="楷体_GB2312"/>
          <w:b w:val="0"/>
          <w:color w:val="000000"/>
          <w:sz w:val="32"/>
        </w:rPr>
        <w:t>（二）循环利用工艺创新</w:t>
      </w:r>
    </w:p>
    <w:p>
      <w:pPr>
        <w:spacing w:lineRule="exact" w:line="600" w:before="0" w:after="0"/>
        <w:ind w:firstLine="420"/>
        <w:jc w:val="both"/>
      </w:pPr>
      <w:r>
        <w:rPr>
          <w:rFonts w:ascii="仿宋_GB2312" w:hAnsi="仿宋_GB2312" w:eastAsia="仿宋_GB2312"/>
          <w:b w:val="0"/>
          <w:color w:val="000000"/>
          <w:sz w:val="32"/>
        </w:rPr>
        <w:t>长建再生资源引进国际领先的常温常压连续脱硫新工艺，彻底取代传统高温高压脱硫设备，每吨再生胶能耗下降30%；全程采用MES系统实现生产数据可追溯，产品稳定性大幅提升。废旧轮胎经破碎、磨粉、磁选分离钢丝（做成钢球）、胶粉脱硫再生，「吃干榨净」零剩余，获三角、玲珑长期订单。</w:t>
      </w:r>
    </w:p>
    <w:p>
      <w:pPr>
        <w:spacing w:lineRule="exact" w:line="600" w:before="120" w:after="120"/>
        <w:ind w:firstLine="420"/>
        <w:jc w:val="left"/>
      </w:pPr>
      <w:r>
        <w:rPr>
          <w:rFonts w:ascii="楷体_GB2312" w:hAnsi="楷体_GB2312" w:eastAsia="楷体_GB2312"/>
          <w:b w:val="0"/>
          <w:color w:val="000000"/>
          <w:sz w:val="32"/>
        </w:rPr>
        <w:t>（三）绿色与数字化融合</w:t>
      </w:r>
    </w:p>
    <w:p>
      <w:pPr>
        <w:spacing w:lineRule="exact" w:line="600" w:before="0" w:after="0"/>
        <w:ind w:firstLine="420"/>
        <w:jc w:val="both"/>
      </w:pPr>
      <w:r>
        <w:rPr>
          <w:rFonts w:ascii="仿宋_GB2312" w:hAnsi="仿宋_GB2312" w:eastAsia="仿宋_GB2312"/>
          <w:b w:val="0"/>
          <w:color w:val="000000"/>
          <w:sz w:val="32"/>
        </w:rPr>
        <w:t>光伏补充绿电、密炼高温废气余热回收、AGV无人搬运、机械手码垛等应用，使循环与制造环节均实现清洁生产。产业大脑将装备运行数据贯通，支撑 predictive maintenance 与能效优化，形成「数据驱动+绿色工艺」的创新范式。</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402"/>
          </w:tcPr>
          <w:p>
            <w:pPr>
              <w:spacing w:lineRule="exact" w:line="600"/>
              <w:jc w:val="center"/>
            </w:pPr>
            <w:r/>
            <w:r>
              <w:rPr>
                <w:rFonts w:ascii="黑体" w:hAnsi="黑体" w:eastAsia="黑体"/>
                <w:b/>
                <w:color w:val="000000"/>
                <w:sz w:val="32"/>
              </w:rPr>
              <w:t>数值/水平</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设备数控化率</w:t>
            </w:r>
          </w:p>
        </w:tc>
        <w:tc>
          <w:tcPr>
            <w:tcW w:type="dxa" w:w="3402"/>
          </w:tcPr>
          <w:p>
            <w:pPr>
              <w:spacing w:lineRule="exact" w:line="600"/>
              <w:jc w:val="center"/>
            </w:pPr>
            <w:r/>
            <w:r>
              <w:rPr>
                <w:rFonts w:ascii="仿宋_GB2312" w:hAnsi="仿宋_GB2312" w:eastAsia="仿宋_GB2312"/>
                <w:b w:val="0"/>
                <w:color w:val="000000"/>
                <w:sz w:val="32"/>
              </w:rPr>
              <w:t>90%以上</w:t>
            </w:r>
          </w:p>
        </w:tc>
        <w:tc>
          <w:tcPr>
            <w:tcW w:type="dxa" w:w="2835"/>
          </w:tcPr>
          <w:p>
            <w:pPr>
              <w:spacing w:lineRule="exact" w:line="600"/>
              <w:jc w:val="center"/>
            </w:pPr>
            <w:r/>
            <w:r>
              <w:rPr>
                <w:rFonts w:ascii="仿宋_GB2312" w:hAnsi="仿宋_GB2312" w:eastAsia="仿宋_GB2312"/>
                <w:b w:val="0"/>
                <w:color w:val="000000"/>
                <w:sz w:val="32"/>
              </w:rPr>
              <w:t>广饶县，2025</w:t>
            </w:r>
          </w:p>
        </w:tc>
      </w:tr>
      <w:tr>
        <w:tc>
          <w:tcPr>
            <w:tcW w:type="dxa" w:w="2268"/>
          </w:tcPr>
          <w:p>
            <w:pPr>
              <w:spacing w:lineRule="exact" w:line="600"/>
              <w:jc w:val="center"/>
            </w:pPr>
            <w:r/>
            <w:r>
              <w:rPr>
                <w:rFonts w:ascii="仿宋_GB2312" w:hAnsi="仿宋_GB2312" w:eastAsia="仿宋_GB2312"/>
                <w:b w:val="0"/>
                <w:color w:val="000000"/>
                <w:sz w:val="32"/>
              </w:rPr>
              <w:t>AI检测效率</w:t>
            </w:r>
          </w:p>
        </w:tc>
        <w:tc>
          <w:tcPr>
            <w:tcW w:type="dxa" w:w="3402"/>
          </w:tcPr>
          <w:p>
            <w:pPr>
              <w:spacing w:lineRule="exact" w:line="600"/>
              <w:jc w:val="center"/>
            </w:pPr>
            <w:r/>
            <w:r>
              <w:rPr>
                <w:rFonts w:ascii="仿宋_GB2312" w:hAnsi="仿宋_GB2312" w:eastAsia="仿宋_GB2312"/>
                <w:b w:val="0"/>
                <w:color w:val="000000"/>
                <w:sz w:val="32"/>
              </w:rPr>
              <w:t>8→4分钟/合格率99.8%</w:t>
            </w:r>
          </w:p>
        </w:tc>
        <w:tc>
          <w:tcPr>
            <w:tcW w:type="dxa" w:w="2835"/>
          </w:tcPr>
          <w:p>
            <w:pPr>
              <w:spacing w:lineRule="exact" w:line="600"/>
              <w:jc w:val="center"/>
            </w:pPr>
            <w:r/>
            <w:r>
              <w:rPr>
                <w:rFonts w:ascii="仿宋_GB2312" w:hAnsi="仿宋_GB2312" w:eastAsia="仿宋_GB2312"/>
                <w:b w:val="0"/>
                <w:color w:val="000000"/>
                <w:sz w:val="32"/>
              </w:rPr>
              <w:t>华盛，2024</w:t>
            </w:r>
          </w:p>
        </w:tc>
      </w:tr>
      <w:tr>
        <w:tc>
          <w:tcPr>
            <w:tcW w:type="dxa" w:w="2268"/>
          </w:tcPr>
          <w:p>
            <w:pPr>
              <w:spacing w:lineRule="exact" w:line="600"/>
              <w:jc w:val="center"/>
            </w:pPr>
            <w:r/>
            <w:r>
              <w:rPr>
                <w:rFonts w:ascii="仿宋_GB2312" w:hAnsi="仿宋_GB2312" w:eastAsia="仿宋_GB2312"/>
                <w:b w:val="0"/>
                <w:color w:val="000000"/>
                <w:sz w:val="32"/>
              </w:rPr>
              <w:t>再生胶能耗</w:t>
            </w:r>
          </w:p>
        </w:tc>
        <w:tc>
          <w:tcPr>
            <w:tcW w:type="dxa" w:w="3402"/>
          </w:tcPr>
          <w:p>
            <w:pPr>
              <w:spacing w:lineRule="exact" w:line="600"/>
              <w:jc w:val="center"/>
            </w:pPr>
            <w:r/>
            <w:r>
              <w:rPr>
                <w:rFonts w:ascii="仿宋_GB2312" w:hAnsi="仿宋_GB2312" w:eastAsia="仿宋_GB2312"/>
                <w:b w:val="0"/>
                <w:color w:val="000000"/>
                <w:sz w:val="32"/>
              </w:rPr>
              <w:t>吨降30%</w:t>
            </w:r>
          </w:p>
        </w:tc>
        <w:tc>
          <w:tcPr>
            <w:tcW w:type="dxa" w:w="2835"/>
          </w:tcPr>
          <w:p>
            <w:pPr>
              <w:spacing w:lineRule="exact" w:line="600"/>
              <w:jc w:val="center"/>
            </w:pPr>
            <w:r/>
            <w:r>
              <w:rPr>
                <w:rFonts w:ascii="仿宋_GB2312" w:hAnsi="仿宋_GB2312" w:eastAsia="仿宋_GB2312"/>
                <w:b w:val="0"/>
                <w:color w:val="000000"/>
                <w:sz w:val="32"/>
              </w:rPr>
              <w:t>长建，2025</w:t>
            </w:r>
          </w:p>
        </w:tc>
      </w:tr>
      <w:tr>
        <w:tc>
          <w:tcPr>
            <w:tcW w:type="dxa" w:w="2268"/>
          </w:tcPr>
          <w:p>
            <w:pPr>
              <w:spacing w:lineRule="exact" w:line="600"/>
              <w:jc w:val="center"/>
            </w:pPr>
            <w:r/>
            <w:r>
              <w:rPr>
                <w:rFonts w:ascii="仿宋_GB2312" w:hAnsi="仿宋_GB2312" w:eastAsia="仿宋_GB2312"/>
                <w:b w:val="0"/>
                <w:color w:val="000000"/>
                <w:sz w:val="32"/>
              </w:rPr>
              <w:t>智能工厂效率</w:t>
            </w:r>
          </w:p>
        </w:tc>
        <w:tc>
          <w:tcPr>
            <w:tcW w:type="dxa" w:w="3402"/>
          </w:tcPr>
          <w:p>
            <w:pPr>
              <w:spacing w:lineRule="exact" w:line="600"/>
              <w:jc w:val="center"/>
            </w:pPr>
            <w:r/>
            <w:r>
              <w:rPr>
                <w:rFonts w:ascii="仿宋_GB2312" w:hAnsi="仿宋_GB2312" w:eastAsia="仿宋_GB2312"/>
                <w:b w:val="0"/>
                <w:color w:val="000000"/>
                <w:sz w:val="32"/>
              </w:rPr>
              <w:t>效率+30%/能耗-10%</w:t>
            </w:r>
          </w:p>
        </w:tc>
        <w:tc>
          <w:tcPr>
            <w:tcW w:type="dxa" w:w="2835"/>
          </w:tcPr>
          <w:p>
            <w:pPr>
              <w:spacing w:lineRule="exact" w:line="600"/>
              <w:jc w:val="center"/>
            </w:pPr>
            <w:r/>
            <w:r>
              <w:rPr>
                <w:rFonts w:ascii="仿宋_GB2312" w:hAnsi="仿宋_GB2312" w:eastAsia="仿宋_GB2312"/>
                <w:b w:val="0"/>
                <w:color w:val="000000"/>
                <w:sz w:val="32"/>
              </w:rPr>
              <w:t>永盛，2024</w:t>
            </w:r>
          </w:p>
        </w:tc>
      </w:tr>
      <w:tr>
        <w:tc>
          <w:tcPr>
            <w:tcW w:type="dxa" w:w="2268"/>
          </w:tcPr>
          <w:p>
            <w:pPr>
              <w:spacing w:lineRule="exact" w:line="600"/>
              <w:jc w:val="center"/>
            </w:pPr>
            <w:r/>
            <w:r>
              <w:rPr>
                <w:rFonts w:ascii="仿宋_GB2312" w:hAnsi="仿宋_GB2312" w:eastAsia="仿宋_GB2312"/>
                <w:b w:val="0"/>
                <w:color w:val="000000"/>
                <w:sz w:val="32"/>
              </w:rPr>
              <w:t>落地科研项目</w:t>
            </w:r>
          </w:p>
        </w:tc>
        <w:tc>
          <w:tcPr>
            <w:tcW w:type="dxa" w:w="3402"/>
          </w:tcPr>
          <w:p>
            <w:pPr>
              <w:spacing w:lineRule="exact" w:line="600"/>
              <w:jc w:val="center"/>
            </w:pPr>
            <w:r/>
            <w:r>
              <w:rPr>
                <w:rFonts w:ascii="仿宋_GB2312" w:hAnsi="仿宋_GB2312" w:eastAsia="仿宋_GB2312"/>
                <w:b w:val="0"/>
                <w:color w:val="000000"/>
                <w:sz w:val="32"/>
              </w:rPr>
              <w:t>25项（双动力硫化机等）</w:t>
            </w:r>
          </w:p>
        </w:tc>
        <w:tc>
          <w:tcPr>
            <w:tcW w:type="dxa" w:w="2835"/>
          </w:tcPr>
          <w:p>
            <w:pPr>
              <w:spacing w:lineRule="exact" w:line="600"/>
              <w:jc w:val="center"/>
            </w:pPr>
            <w:r/>
            <w:r>
              <w:rPr>
                <w:rFonts w:ascii="仿宋_GB2312" w:hAnsi="仿宋_GB2312" w:eastAsia="仿宋_GB2312"/>
                <w:b w:val="0"/>
                <w:color w:val="000000"/>
                <w:sz w:val="32"/>
              </w:rPr>
              <w:t>东营市，2023</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（一）装备投资与回收</w:t>
      </w:r>
    </w:p>
    <w:p>
      <w:pPr>
        <w:spacing w:lineRule="exact" w:line="600" w:before="0" w:after="0"/>
        <w:ind w:firstLine="420"/>
        <w:jc w:val="both"/>
      </w:pPr>
      <w:r>
        <w:rPr>
          <w:rFonts w:ascii="仿宋_GB2312" w:hAnsi="仿宋_GB2312" w:eastAsia="仿宋_GB2312"/>
          <w:b w:val="0"/>
          <w:color w:val="000000"/>
          <w:sz w:val="32"/>
        </w:rPr>
        <w:t>智能装备投资强度高，单厂10亿—15亿元，回收周期依赖产能利用率与产品溢价。广饶通过设备更新补贴、智能化改造诊断平台（联合青岛科技大学）降低改造成本与风险。装备国产化与集群就近配套摊薄采购与运维成本。</w:t>
      </w:r>
    </w:p>
    <w:p>
      <w:pPr>
        <w:spacing w:lineRule="exact" w:line="600" w:before="120" w:after="120"/>
        <w:ind w:firstLine="420"/>
        <w:jc w:val="left"/>
      </w:pPr>
      <w:r>
        <w:rPr>
          <w:rFonts w:ascii="楷体_GB2312" w:hAnsi="楷体_GB2312" w:eastAsia="楷体_GB2312"/>
          <w:b w:val="0"/>
          <w:color w:val="000000"/>
          <w:sz w:val="32"/>
        </w:rPr>
        <w:t>（二）循环环节成本与收益</w:t>
      </w:r>
    </w:p>
    <w:p>
      <w:pPr>
        <w:spacing w:lineRule="exact" w:line="600" w:before="0" w:after="0"/>
        <w:ind w:firstLine="420"/>
        <w:jc w:val="both"/>
      </w:pPr>
      <w:r>
        <w:rPr>
          <w:rFonts w:ascii="仿宋_GB2312" w:hAnsi="仿宋_GB2312" w:eastAsia="仿宋_GB2312"/>
          <w:b w:val="0"/>
          <w:color w:val="000000"/>
          <w:sz w:val="32"/>
        </w:rPr>
        <w:t>长建累计投入7000万元（自动化改造2000多万元），年产能近10万吨、年产值1.7—2亿元，按再生胶吨价高于市场200—300元测算，高品质溢价覆盖绿色工艺增量成本。常温常压工艺能耗下降30%进一步节约电费，形成「高品质—高溢价—低能耗」正向循环。</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循环产业园集中供地、统一环保与能耗指标，便于废胎收集与处置合规；装备与循环企业享受技改贴息、绿色信贷。但废旧轮胎原料收集体系、跨区域运输与环保监管仍是要素保障重点，需完善回收网络与资质管理。</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685"/>
          </w:tcPr>
          <w:p>
            <w:pPr>
              <w:spacing w:lineRule="exact" w:line="600"/>
              <w:jc w:val="center"/>
            </w:pPr>
            <w:r/>
            <w:r>
              <w:rPr>
                <w:rFonts w:ascii="黑体" w:hAnsi="黑体" w:eastAsia="黑体"/>
                <w:b/>
                <w:color w:val="000000"/>
                <w:sz w:val="32"/>
              </w:rPr>
              <w:t>数值/特征</w:t>
            </w:r>
          </w:p>
        </w:tc>
        <w:tc>
          <w:tcPr>
            <w:tcW w:type="dxa" w:w="2551"/>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长建总投资</w:t>
            </w:r>
          </w:p>
        </w:tc>
        <w:tc>
          <w:tcPr>
            <w:tcW w:type="dxa" w:w="3685"/>
          </w:tcPr>
          <w:p>
            <w:pPr>
              <w:spacing w:lineRule="exact" w:line="600"/>
              <w:jc w:val="center"/>
            </w:pPr>
            <w:r/>
            <w:r>
              <w:rPr>
                <w:rFonts w:ascii="仿宋_GB2312" w:hAnsi="仿宋_GB2312" w:eastAsia="仿宋_GB2312"/>
                <w:b w:val="0"/>
                <w:color w:val="000000"/>
                <w:sz w:val="32"/>
              </w:rPr>
              <w:t>7000万元（自动化2000万+）</w:t>
            </w:r>
          </w:p>
        </w:tc>
        <w:tc>
          <w:tcPr>
            <w:tcW w:type="dxa" w:w="2551"/>
          </w:tcPr>
          <w:p>
            <w:pPr>
              <w:spacing w:lineRule="exact" w:line="600"/>
              <w:jc w:val="center"/>
            </w:pPr>
            <w:r/>
            <w:r>
              <w:rPr>
                <w:rFonts w:ascii="仿宋_GB2312" w:hAnsi="仿宋_GB2312" w:eastAsia="仿宋_GB2312"/>
                <w:b w:val="0"/>
                <w:color w:val="000000"/>
                <w:sz w:val="32"/>
              </w:rPr>
              <w:t>长建，2024</w:t>
            </w:r>
          </w:p>
        </w:tc>
      </w:tr>
      <w:tr>
        <w:tc>
          <w:tcPr>
            <w:tcW w:type="dxa" w:w="2268"/>
          </w:tcPr>
          <w:p>
            <w:pPr>
              <w:spacing w:lineRule="exact" w:line="600"/>
              <w:jc w:val="center"/>
            </w:pPr>
            <w:r/>
            <w:r>
              <w:rPr>
                <w:rFonts w:ascii="仿宋_GB2312" w:hAnsi="仿宋_GB2312" w:eastAsia="仿宋_GB2312"/>
                <w:b w:val="0"/>
                <w:color w:val="000000"/>
                <w:sz w:val="32"/>
              </w:rPr>
              <w:t>长建年产值</w:t>
            </w:r>
          </w:p>
        </w:tc>
        <w:tc>
          <w:tcPr>
            <w:tcW w:type="dxa" w:w="3685"/>
          </w:tcPr>
          <w:p>
            <w:pPr>
              <w:spacing w:lineRule="exact" w:line="600"/>
              <w:jc w:val="center"/>
            </w:pPr>
            <w:r/>
            <w:r>
              <w:rPr>
                <w:rFonts w:ascii="仿宋_GB2312" w:hAnsi="仿宋_GB2312" w:eastAsia="仿宋_GB2312"/>
                <w:b w:val="0"/>
                <w:color w:val="000000"/>
                <w:sz w:val="32"/>
              </w:rPr>
              <w:t>1.7—2亿元</w:t>
            </w:r>
          </w:p>
        </w:tc>
        <w:tc>
          <w:tcPr>
            <w:tcW w:type="dxa" w:w="2551"/>
          </w:tcPr>
          <w:p>
            <w:pPr>
              <w:spacing w:lineRule="exact" w:line="600"/>
              <w:jc w:val="center"/>
            </w:pPr>
            <w:r/>
            <w:r>
              <w:rPr>
                <w:rFonts w:ascii="仿宋_GB2312" w:hAnsi="仿宋_GB2312" w:eastAsia="仿宋_GB2312"/>
                <w:b w:val="0"/>
                <w:color w:val="000000"/>
                <w:sz w:val="32"/>
              </w:rPr>
              <w:t>长建，2024</w:t>
            </w:r>
          </w:p>
        </w:tc>
      </w:tr>
      <w:tr>
        <w:tc>
          <w:tcPr>
            <w:tcW w:type="dxa" w:w="2268"/>
          </w:tcPr>
          <w:p>
            <w:pPr>
              <w:spacing w:lineRule="exact" w:line="600"/>
              <w:jc w:val="center"/>
            </w:pPr>
            <w:r/>
            <w:r>
              <w:rPr>
                <w:rFonts w:ascii="仿宋_GB2312" w:hAnsi="仿宋_GB2312" w:eastAsia="仿宋_GB2312"/>
                <w:b w:val="0"/>
                <w:color w:val="000000"/>
                <w:sz w:val="32"/>
              </w:rPr>
              <w:t>再生胶溢价</w:t>
            </w:r>
          </w:p>
        </w:tc>
        <w:tc>
          <w:tcPr>
            <w:tcW w:type="dxa" w:w="3685"/>
          </w:tcPr>
          <w:p>
            <w:pPr>
              <w:spacing w:lineRule="exact" w:line="600"/>
              <w:jc w:val="center"/>
            </w:pPr>
            <w:r/>
            <w:r>
              <w:rPr>
                <w:rFonts w:ascii="仿宋_GB2312" w:hAnsi="仿宋_GB2312" w:eastAsia="仿宋_GB2312"/>
                <w:b w:val="0"/>
                <w:color w:val="000000"/>
                <w:sz w:val="32"/>
              </w:rPr>
              <w:t>+200—300元/吨</w:t>
            </w:r>
          </w:p>
        </w:tc>
        <w:tc>
          <w:tcPr>
            <w:tcW w:type="dxa" w:w="2551"/>
          </w:tcPr>
          <w:p>
            <w:pPr>
              <w:spacing w:lineRule="exact" w:line="600"/>
              <w:jc w:val="center"/>
            </w:pPr>
            <w:r/>
            <w:r>
              <w:rPr>
                <w:rFonts w:ascii="仿宋_GB2312" w:hAnsi="仿宋_GB2312" w:eastAsia="仿宋_GB2312"/>
                <w:b w:val="0"/>
                <w:color w:val="000000"/>
                <w:sz w:val="32"/>
              </w:rPr>
              <w:t>长建，2024</w:t>
            </w:r>
          </w:p>
        </w:tc>
      </w:tr>
      <w:tr>
        <w:tc>
          <w:tcPr>
            <w:tcW w:type="dxa" w:w="2268"/>
          </w:tcPr>
          <w:p>
            <w:pPr>
              <w:spacing w:lineRule="exact" w:line="600"/>
              <w:jc w:val="center"/>
            </w:pPr>
            <w:r/>
            <w:r>
              <w:rPr>
                <w:rFonts w:ascii="仿宋_GB2312" w:hAnsi="仿宋_GB2312" w:eastAsia="仿宋_GB2312"/>
                <w:b w:val="0"/>
                <w:color w:val="000000"/>
                <w:sz w:val="32"/>
              </w:rPr>
              <w:t>智能工厂投资</w:t>
            </w:r>
          </w:p>
        </w:tc>
        <w:tc>
          <w:tcPr>
            <w:tcW w:type="dxa" w:w="3685"/>
          </w:tcPr>
          <w:p>
            <w:pPr>
              <w:spacing w:lineRule="exact" w:line="600"/>
              <w:jc w:val="center"/>
            </w:pPr>
            <w:r/>
            <w:r>
              <w:rPr>
                <w:rFonts w:ascii="仿宋_GB2312" w:hAnsi="仿宋_GB2312" w:eastAsia="仿宋_GB2312"/>
                <w:b w:val="0"/>
                <w:color w:val="000000"/>
                <w:sz w:val="32"/>
              </w:rPr>
              <w:t>10亿—15亿元/厂</w:t>
            </w:r>
          </w:p>
        </w:tc>
        <w:tc>
          <w:tcPr>
            <w:tcW w:type="dxa" w:w="2551"/>
          </w:tcPr>
          <w:p>
            <w:pPr>
              <w:spacing w:lineRule="exact" w:line="600"/>
              <w:jc w:val="center"/>
            </w:pPr>
            <w:r/>
            <w:r>
              <w:rPr>
                <w:rFonts w:ascii="仿宋_GB2312" w:hAnsi="仿宋_GB2312" w:eastAsia="仿宋_GB2312"/>
                <w:b w:val="0"/>
                <w:color w:val="000000"/>
                <w:sz w:val="32"/>
              </w:rPr>
              <w:t>永盛/华盛</w:t>
            </w:r>
          </w:p>
        </w:tc>
      </w:tr>
      <w:tr>
        <w:tc>
          <w:tcPr>
            <w:tcW w:type="dxa" w:w="2268"/>
          </w:tcPr>
          <w:p>
            <w:pPr>
              <w:spacing w:lineRule="exact" w:line="600"/>
              <w:jc w:val="center"/>
            </w:pPr>
            <w:r/>
            <w:r>
              <w:rPr>
                <w:rFonts w:ascii="仿宋_GB2312" w:hAnsi="仿宋_GB2312" w:eastAsia="仿宋_GB2312"/>
                <w:b w:val="0"/>
                <w:color w:val="000000"/>
                <w:sz w:val="32"/>
              </w:rPr>
              <w:t>改造补贴</w:t>
            </w:r>
          </w:p>
        </w:tc>
        <w:tc>
          <w:tcPr>
            <w:tcW w:type="dxa" w:w="3685"/>
          </w:tcPr>
          <w:p>
            <w:pPr>
              <w:spacing w:lineRule="exact" w:line="600"/>
              <w:jc w:val="center"/>
            </w:pPr>
            <w:r/>
            <w:r>
              <w:rPr>
                <w:rFonts w:ascii="仿宋_GB2312" w:hAnsi="仿宋_GB2312" w:eastAsia="仿宋_GB2312"/>
                <w:b w:val="0"/>
                <w:color w:val="000000"/>
                <w:sz w:val="32"/>
              </w:rPr>
              <w:t>设备更新贴息</w:t>
            </w:r>
          </w:p>
        </w:tc>
        <w:tc>
          <w:tcPr>
            <w:tcW w:type="dxa" w:w="2551"/>
          </w:tcPr>
          <w:p>
            <w:pPr>
              <w:spacing w:lineRule="exact" w:line="600"/>
              <w:jc w:val="center"/>
            </w:pPr>
            <w:r/>
            <w:r>
              <w:rPr>
                <w:rFonts w:ascii="仿宋_GB2312" w:hAnsi="仿宋_GB2312" w:eastAsia="仿宋_GB2312"/>
                <w:b w:val="0"/>
                <w:color w:val="000000"/>
                <w:sz w:val="32"/>
              </w:rPr>
              <w:t>广饶县</w:t>
            </w:r>
          </w:p>
        </w:tc>
      </w:tr>
    </w:tbl>
    <w:p>
      <w:pPr>
        <w:spacing w:lineRule="exact" w:line="600" w:before="120" w:after="120"/>
        <w:ind w:firstLine="420"/>
        <w:jc w:val="left"/>
      </w:pPr>
      <w:r>
        <w:rPr>
          <w:rFonts w:ascii="楷体_GB2312" w:hAnsi="楷体_GB2312" w:eastAsia="楷体_GB2312"/>
          <w:b w:val="0"/>
          <w:color w:val="000000"/>
          <w:sz w:val="32"/>
        </w:rPr>
        <w:t>能耗与智能制造水平（本批真实数据补充·来源见正文）</w:t>
      </w:r>
    </w:p>
    <w:p>
      <w:pPr>
        <w:spacing w:lineRule="exact" w:line="600" w:before="0" w:after="0"/>
        <w:ind w:firstLine="420"/>
        <w:jc w:val="both"/>
      </w:pPr>
      <w:r>
        <w:rPr>
          <w:rFonts w:ascii="仿宋_GB2312" w:hAnsi="仿宋_GB2312" w:eastAsia="仿宋_GB2312"/>
          <w:b w:val="0"/>
          <w:color w:val="000000"/>
          <w:sz w:val="32"/>
        </w:rPr>
        <w:t>广饶重点轮胎企业设备数控化率达90%；骨干轮胎企业全钢胎、半钢胎平均能耗分别为253千克标煤/吨、313千克标煤/吨，均优于全省标杆值；建成省级以上绿色工厂12个。当地规划多片橡胶产业园区用地，并与金融机构合作推出“轮胎贸易贷”缓解融资难。（来源：山东省网、经济日报2025年广饶轮胎报道）</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对标</w:t>
            </w:r>
          </w:p>
        </w:tc>
      </w:tr>
      <w:tr>
        <w:tc>
          <w:tcPr>
            <w:tcW w:type="dxa" w:w="2835"/>
          </w:tcPr>
          <w:p>
            <w:pPr>
              <w:spacing w:lineRule="exact" w:line="600"/>
              <w:jc w:val="center"/>
            </w:pPr>
            <w:r/>
            <w:r>
              <w:rPr>
                <w:rFonts w:ascii="仿宋_GB2312" w:hAnsi="仿宋_GB2312" w:eastAsia="仿宋_GB2312"/>
                <w:b w:val="0"/>
                <w:color w:val="000000"/>
                <w:sz w:val="32"/>
              </w:rPr>
              <w:t>重点企业设备数控化率</w:t>
            </w:r>
          </w:p>
        </w:tc>
        <w:tc>
          <w:tcPr>
            <w:tcW w:type="dxa" w:w="3118"/>
          </w:tcPr>
          <w:p>
            <w:pPr>
              <w:spacing w:lineRule="exact" w:line="600"/>
              <w:jc w:val="center"/>
            </w:pPr>
            <w:r/>
            <w:r>
              <w:rPr>
                <w:rFonts w:ascii="仿宋_GB2312" w:hAnsi="仿宋_GB2312" w:eastAsia="仿宋_GB2312"/>
                <w:b w:val="0"/>
                <w:color w:val="000000"/>
                <w:sz w:val="32"/>
              </w:rPr>
              <w:t>90%</w:t>
            </w:r>
          </w:p>
        </w:tc>
        <w:tc>
          <w:tcPr>
            <w:tcW w:type="dxa" w:w="2835"/>
          </w:tcPr>
          <w:p>
            <w:pPr>
              <w:spacing w:lineRule="exact" w:line="600"/>
              <w:jc w:val="center"/>
            </w:pPr>
            <w:r/>
            <w:r>
              <w:rPr>
                <w:rFonts w:ascii="仿宋_GB2312" w:hAnsi="仿宋_GB2312" w:eastAsia="仿宋_GB2312"/>
                <w:b w:val="0"/>
                <w:color w:val="000000"/>
                <w:sz w:val="32"/>
              </w:rPr>
              <w:t>国内先进</w:t>
            </w:r>
          </w:p>
        </w:tc>
      </w:tr>
      <w:tr>
        <w:tc>
          <w:tcPr>
            <w:tcW w:type="dxa" w:w="2835"/>
          </w:tcPr>
          <w:p>
            <w:pPr>
              <w:spacing w:lineRule="exact" w:line="600"/>
              <w:jc w:val="center"/>
            </w:pPr>
            <w:r/>
            <w:r>
              <w:rPr>
                <w:rFonts w:ascii="仿宋_GB2312" w:hAnsi="仿宋_GB2312" w:eastAsia="仿宋_GB2312"/>
                <w:b w:val="0"/>
                <w:color w:val="000000"/>
                <w:sz w:val="32"/>
              </w:rPr>
              <w:t>全钢胎平均能耗</w:t>
            </w:r>
          </w:p>
        </w:tc>
        <w:tc>
          <w:tcPr>
            <w:tcW w:type="dxa" w:w="3118"/>
          </w:tcPr>
          <w:p>
            <w:pPr>
              <w:spacing w:lineRule="exact" w:line="600"/>
              <w:jc w:val="center"/>
            </w:pPr>
            <w:r/>
            <w:r>
              <w:rPr>
                <w:rFonts w:ascii="仿宋_GB2312" w:hAnsi="仿宋_GB2312" w:eastAsia="仿宋_GB2312"/>
                <w:b w:val="0"/>
                <w:color w:val="000000"/>
                <w:sz w:val="32"/>
              </w:rPr>
              <w:t>253千克标煤/吨</w:t>
            </w:r>
          </w:p>
        </w:tc>
        <w:tc>
          <w:tcPr>
            <w:tcW w:type="dxa" w:w="2835"/>
          </w:tcPr>
          <w:p>
            <w:pPr>
              <w:spacing w:lineRule="exact" w:line="600"/>
              <w:jc w:val="center"/>
            </w:pPr>
            <w:r/>
            <w:r>
              <w:rPr>
                <w:rFonts w:ascii="仿宋_GB2312" w:hAnsi="仿宋_GB2312" w:eastAsia="仿宋_GB2312"/>
                <w:b w:val="0"/>
                <w:color w:val="000000"/>
                <w:sz w:val="32"/>
              </w:rPr>
              <w:t>优于全省标杆值</w:t>
            </w:r>
          </w:p>
        </w:tc>
      </w:tr>
      <w:tr>
        <w:tc>
          <w:tcPr>
            <w:tcW w:type="dxa" w:w="2835"/>
          </w:tcPr>
          <w:p>
            <w:pPr>
              <w:spacing w:lineRule="exact" w:line="600"/>
              <w:jc w:val="center"/>
            </w:pPr>
            <w:r/>
            <w:r>
              <w:rPr>
                <w:rFonts w:ascii="仿宋_GB2312" w:hAnsi="仿宋_GB2312" w:eastAsia="仿宋_GB2312"/>
                <w:b w:val="0"/>
                <w:color w:val="000000"/>
                <w:sz w:val="32"/>
              </w:rPr>
              <w:t>半钢胎平均能耗</w:t>
            </w:r>
          </w:p>
        </w:tc>
        <w:tc>
          <w:tcPr>
            <w:tcW w:type="dxa" w:w="3118"/>
          </w:tcPr>
          <w:p>
            <w:pPr>
              <w:spacing w:lineRule="exact" w:line="600"/>
              <w:jc w:val="center"/>
            </w:pPr>
            <w:r/>
            <w:r>
              <w:rPr>
                <w:rFonts w:ascii="仿宋_GB2312" w:hAnsi="仿宋_GB2312" w:eastAsia="仿宋_GB2312"/>
                <w:b w:val="0"/>
                <w:color w:val="000000"/>
                <w:sz w:val="32"/>
              </w:rPr>
              <w:t>313千克标煤/吨</w:t>
            </w:r>
          </w:p>
        </w:tc>
        <w:tc>
          <w:tcPr>
            <w:tcW w:type="dxa" w:w="2835"/>
          </w:tcPr>
          <w:p>
            <w:pPr>
              <w:spacing w:lineRule="exact" w:line="600"/>
              <w:jc w:val="center"/>
            </w:pPr>
            <w:r/>
            <w:r>
              <w:rPr>
                <w:rFonts w:ascii="仿宋_GB2312" w:hAnsi="仿宋_GB2312" w:eastAsia="仿宋_GB2312"/>
                <w:b w:val="0"/>
                <w:color w:val="000000"/>
                <w:sz w:val="32"/>
              </w:rPr>
              <w:t>优于全省标杆值</w:t>
            </w:r>
          </w:p>
        </w:tc>
      </w:tr>
      <w:tr>
        <w:tc>
          <w:tcPr>
            <w:tcW w:type="dxa" w:w="2835"/>
          </w:tcPr>
          <w:p>
            <w:pPr>
              <w:spacing w:lineRule="exact" w:line="600"/>
              <w:jc w:val="center"/>
            </w:pPr>
            <w:r/>
            <w:r>
              <w:rPr>
                <w:rFonts w:ascii="仿宋_GB2312" w:hAnsi="仿宋_GB2312" w:eastAsia="仿宋_GB2312"/>
                <w:b w:val="0"/>
                <w:color w:val="000000"/>
                <w:sz w:val="32"/>
              </w:rPr>
              <w:t>省级以上绿色工厂</w:t>
            </w:r>
          </w:p>
        </w:tc>
        <w:tc>
          <w:tcPr>
            <w:tcW w:type="dxa" w:w="3118"/>
          </w:tcPr>
          <w:p>
            <w:pPr>
              <w:spacing w:lineRule="exact" w:line="600"/>
              <w:jc w:val="center"/>
            </w:pPr>
            <w:r/>
            <w:r>
              <w:rPr>
                <w:rFonts w:ascii="仿宋_GB2312" w:hAnsi="仿宋_GB2312" w:eastAsia="仿宋_GB2312"/>
                <w:b w:val="0"/>
                <w:color w:val="000000"/>
                <w:sz w:val="32"/>
              </w:rPr>
              <w:t>12个</w:t>
            </w:r>
          </w:p>
        </w:tc>
        <w:tc>
          <w:tcPr>
            <w:tcW w:type="dxa" w:w="2835"/>
          </w:tcPr>
          <w:p>
            <w:pPr>
              <w:spacing w:lineRule="exact" w:line="600"/>
              <w:jc w:val="center"/>
            </w:pPr>
            <w:r/>
            <w:r>
              <w:rPr>
                <w:rFonts w:ascii="仿宋_GB2312" w:hAnsi="仿宋_GB2312" w:eastAsia="仿宋_GB2312"/>
                <w:b w:val="0"/>
                <w:color w:val="000000"/>
                <w:sz w:val="32"/>
              </w:rPr>
              <w:t>骨干轮胎企业</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设备更新与新能源胎升级带来智能装备新增需求；循环经济受「双碳」与政策鼓励，再生胶、裂解高值化空间大；集群就近优势与绿色工艺形成差异化壁垒；产业大脑与数据贯通提升装备效率与循环协同。</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高端成型、检测装备仍部分依赖省外/进口；循环规模相对近2亿条轮胎产量偏小，原料收集体系待完善；再生胶标准化与高值化不足，部分仍处低端；装备与循环企业研发投入强度偏低。</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若轮胎行业周期下行，装备订单与废胎产生同步波动；环保监管趋严对裂解、再生提出更高要求，落后工艺面临退出；欧盟CBAM、零毁林等绿色壁垒间接传导至循环材料合规；原料（废胎）跨区域回收物流与资质风险。</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25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周期波动</w:t>
            </w:r>
          </w:p>
        </w:tc>
        <w:tc>
          <w:tcPr>
            <w:tcW w:type="dxa" w:w="4252"/>
          </w:tcPr>
          <w:p>
            <w:pPr>
              <w:spacing w:lineRule="exact" w:line="600"/>
              <w:jc w:val="center"/>
            </w:pPr>
            <w:r/>
            <w:r>
              <w:rPr>
                <w:rFonts w:ascii="仿宋_GB2312" w:hAnsi="仿宋_GB2312" w:eastAsia="仿宋_GB2312"/>
                <w:b w:val="0"/>
                <w:color w:val="000000"/>
                <w:sz w:val="32"/>
              </w:rPr>
              <w:t>轮胎下行传导装备/循环</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环保监管</w:t>
            </w:r>
          </w:p>
        </w:tc>
        <w:tc>
          <w:tcPr>
            <w:tcW w:type="dxa" w:w="4252"/>
          </w:tcPr>
          <w:p>
            <w:pPr>
              <w:spacing w:lineRule="exact" w:line="600"/>
              <w:jc w:val="center"/>
            </w:pPr>
            <w:r/>
            <w:r>
              <w:rPr>
                <w:rFonts w:ascii="仿宋_GB2312" w:hAnsi="仿宋_GB2312" w:eastAsia="仿宋_GB2312"/>
                <w:b w:val="0"/>
                <w:color w:val="000000"/>
                <w:sz w:val="32"/>
              </w:rPr>
              <w:t>裂解/再生更高要求</w:t>
            </w:r>
          </w:p>
        </w:tc>
        <w:tc>
          <w:tcPr>
            <w:tcW w:type="dxa" w:w="2551"/>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装备依赖</w:t>
            </w:r>
          </w:p>
        </w:tc>
        <w:tc>
          <w:tcPr>
            <w:tcW w:type="dxa" w:w="4252"/>
          </w:tcPr>
          <w:p>
            <w:pPr>
              <w:spacing w:lineRule="exact" w:line="600"/>
              <w:jc w:val="center"/>
            </w:pPr>
            <w:r/>
            <w:r>
              <w:rPr>
                <w:rFonts w:ascii="仿宋_GB2312" w:hAnsi="仿宋_GB2312" w:eastAsia="仿宋_GB2312"/>
                <w:b w:val="0"/>
                <w:color w:val="000000"/>
                <w:sz w:val="32"/>
              </w:rPr>
              <w:t>高端依赖省外进口</w:t>
            </w:r>
          </w:p>
        </w:tc>
        <w:tc>
          <w:tcPr>
            <w:tcW w:type="dxa" w:w="2551"/>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原料回收</w:t>
            </w:r>
          </w:p>
        </w:tc>
        <w:tc>
          <w:tcPr>
            <w:tcW w:type="dxa" w:w="4252"/>
          </w:tcPr>
          <w:p>
            <w:pPr>
              <w:spacing w:lineRule="exact" w:line="600"/>
              <w:jc w:val="center"/>
            </w:pPr>
            <w:r/>
            <w:r>
              <w:rPr>
                <w:rFonts w:ascii="仿宋_GB2312" w:hAnsi="仿宋_GB2312" w:eastAsia="仿宋_GB2312"/>
                <w:b w:val="0"/>
                <w:color w:val="000000"/>
                <w:sz w:val="32"/>
              </w:rPr>
              <w:t>废胎收集网络待完善</w:t>
            </w:r>
          </w:p>
        </w:tc>
        <w:tc>
          <w:tcPr>
            <w:tcW w:type="dxa" w:w="2551"/>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绿色壁垒</w:t>
            </w:r>
          </w:p>
        </w:tc>
        <w:tc>
          <w:tcPr>
            <w:tcW w:type="dxa" w:w="4252"/>
          </w:tcPr>
          <w:p>
            <w:pPr>
              <w:spacing w:lineRule="exact" w:line="600"/>
              <w:jc w:val="center"/>
            </w:pPr>
            <w:r/>
            <w:r>
              <w:rPr>
                <w:rFonts w:ascii="仿宋_GB2312" w:hAnsi="仿宋_GB2312" w:eastAsia="仿宋_GB2312"/>
                <w:b w:val="0"/>
                <w:color w:val="000000"/>
                <w:sz w:val="32"/>
              </w:rPr>
              <w:t>CBAM传导</w:t>
            </w:r>
          </w:p>
        </w:tc>
        <w:tc>
          <w:tcPr>
            <w:tcW w:type="dxa" w:w="2551"/>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（一）装备高端化与国产化</w:t>
      </w:r>
    </w:p>
    <w:p>
      <w:pPr>
        <w:spacing w:lineRule="exact" w:line="600" w:before="0" w:after="0"/>
        <w:ind w:firstLine="420"/>
        <w:jc w:val="both"/>
      </w:pPr>
      <w:r>
        <w:rPr>
          <w:rFonts w:ascii="仿宋_GB2312" w:hAnsi="仿宋_GB2312" w:eastAsia="仿宋_GB2312"/>
          <w:b w:val="0"/>
          <w:color w:val="000000"/>
          <w:sz w:val="32"/>
        </w:rPr>
        <w:t>推动成型、硫化、检测等关键装备高端化与国产化替代，深化工业机器人、AI视觉、数字孪生应用；依托永盛工业4.0、雄鹰数字孪生工厂样板，到2028年关键工序数控化率达95%以上、智能工厂示范20家以上。鼓励装备企业与轮胎企业联合攻关，提升装备自主可控。</w:t>
      </w:r>
    </w:p>
    <w:p>
      <w:pPr>
        <w:spacing w:lineRule="exact" w:line="600" w:before="120" w:after="120"/>
        <w:ind w:firstLine="420"/>
        <w:jc w:val="left"/>
      </w:pPr>
      <w:r>
        <w:rPr>
          <w:rFonts w:ascii="楷体_GB2312" w:hAnsi="楷体_GB2312" w:eastAsia="楷体_GB2312"/>
          <w:b w:val="0"/>
          <w:color w:val="000000"/>
          <w:sz w:val="32"/>
        </w:rPr>
        <w:t>（二）循环利用高值化</w:t>
      </w:r>
    </w:p>
    <w:p>
      <w:pPr>
        <w:spacing w:lineRule="exact" w:line="600" w:before="0" w:after="0"/>
        <w:ind w:firstLine="420"/>
        <w:jc w:val="both"/>
      </w:pPr>
      <w:r>
        <w:rPr>
          <w:rFonts w:ascii="仿宋_GB2312" w:hAnsi="仿宋_GB2312" w:eastAsia="仿宋_GB2312"/>
          <w:b w:val="0"/>
          <w:color w:val="000000"/>
          <w:sz w:val="32"/>
        </w:rPr>
        <w:t>推广常温常压连续脱硫等绿色工艺，扩大高端再生胶、精细胶粉规模；探索裂解制油、裂解炭黑等高值化路径；构建「生产—废弃—再生—再生产」闭环，目标将更多废胎在园区内资源化，提升循环规模占比与附加值。</w:t>
      </w:r>
    </w:p>
    <w:p>
      <w:pPr>
        <w:spacing w:lineRule="exact" w:line="600" w:before="120" w:after="120"/>
        <w:ind w:firstLine="420"/>
        <w:jc w:val="left"/>
      </w:pPr>
      <w:r>
        <w:rPr>
          <w:rFonts w:ascii="楷体_GB2312" w:hAnsi="楷体_GB2312" w:eastAsia="楷体_GB2312"/>
          <w:b w:val="0"/>
          <w:color w:val="000000"/>
          <w:sz w:val="32"/>
        </w:rPr>
        <w:t>（三）绿色与数字融合</w:t>
      </w:r>
    </w:p>
    <w:p>
      <w:pPr>
        <w:spacing w:lineRule="exact" w:line="600" w:before="0" w:after="0"/>
        <w:ind w:firstLine="420"/>
        <w:jc w:val="both"/>
      </w:pPr>
      <w:r>
        <w:rPr>
          <w:rFonts w:ascii="仿宋_GB2312" w:hAnsi="仿宋_GB2312" w:eastAsia="仿宋_GB2312"/>
          <w:b w:val="0"/>
          <w:color w:val="000000"/>
          <w:sz w:val="32"/>
        </w:rPr>
        <w:t>依托产业大脑贯通装备与循环数据，实现能效优化与predictive maintenance；扩大光伏绿电、余热回收；创建省级以上绿色工厂、绿色供应链企业5家，巩固全国首个工业类生态原产地保护区优势，打造可复制的轮胎绿色循环范式。</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252"/>
          </w:tcPr>
          <w:p>
            <w:pPr>
              <w:spacing w:lineRule="exact" w:line="600"/>
              <w:jc w:val="center"/>
            </w:pPr>
            <w:r/>
            <w:r>
              <w:rPr>
                <w:rFonts w:ascii="黑体" w:hAnsi="黑体" w:eastAsia="黑体"/>
                <w:b/>
                <w:color w:val="000000"/>
                <w:sz w:val="32"/>
              </w:rPr>
              <w:t>目标</w:t>
            </w:r>
          </w:p>
        </w:tc>
        <w:tc>
          <w:tcPr>
            <w:tcW w:type="dxa" w:w="2551"/>
          </w:tcPr>
          <w:p>
            <w:pPr>
              <w:spacing w:lineRule="exact" w:line="600"/>
              <w:jc w:val="center"/>
            </w:pPr>
            <w:r/>
            <w:r>
              <w:rPr>
                <w:rFonts w:ascii="黑体" w:hAnsi="黑体" w:eastAsia="黑体"/>
                <w:b/>
                <w:color w:val="000000"/>
                <w:sz w:val="32"/>
              </w:rPr>
              <w:t>节点</w:t>
            </w:r>
          </w:p>
        </w:tc>
      </w:tr>
      <w:tr>
        <w:tc>
          <w:tcPr>
            <w:tcW w:type="dxa" w:w="1701"/>
          </w:tcPr>
          <w:p>
            <w:pPr>
              <w:spacing w:lineRule="exact" w:line="600"/>
              <w:jc w:val="center"/>
            </w:pPr>
            <w:r/>
            <w:r>
              <w:rPr>
                <w:rFonts w:ascii="仿宋_GB2312" w:hAnsi="仿宋_GB2312" w:eastAsia="仿宋_GB2312"/>
                <w:b w:val="0"/>
                <w:color w:val="000000"/>
                <w:sz w:val="32"/>
              </w:rPr>
              <w:t>装备高端化</w:t>
            </w:r>
          </w:p>
        </w:tc>
        <w:tc>
          <w:tcPr>
            <w:tcW w:type="dxa" w:w="4252"/>
          </w:tcPr>
          <w:p>
            <w:pPr>
              <w:spacing w:lineRule="exact" w:line="600"/>
              <w:jc w:val="center"/>
            </w:pPr>
            <w:r/>
            <w:r>
              <w:rPr>
                <w:rFonts w:ascii="仿宋_GB2312" w:hAnsi="仿宋_GB2312" w:eastAsia="仿宋_GB2312"/>
                <w:b w:val="0"/>
                <w:color w:val="000000"/>
                <w:sz w:val="32"/>
              </w:rPr>
              <w:t>数控化率95%+、示范20家</w:t>
            </w:r>
          </w:p>
        </w:tc>
        <w:tc>
          <w:tcPr>
            <w:tcW w:type="dxa" w:w="2551"/>
          </w:tcPr>
          <w:p>
            <w:pPr>
              <w:spacing w:lineRule="exact" w:line="600"/>
              <w:jc w:val="center"/>
            </w:pPr>
            <w:r/>
            <w:r>
              <w:rPr>
                <w:rFonts w:ascii="仿宋_GB2312" w:hAnsi="仿宋_GB2312" w:eastAsia="仿宋_GB2312"/>
                <w:b w:val="0"/>
                <w:color w:val="000000"/>
                <w:sz w:val="32"/>
              </w:rPr>
              <w:t>2028</w:t>
            </w:r>
          </w:p>
        </w:tc>
      </w:tr>
      <w:tr>
        <w:tc>
          <w:tcPr>
            <w:tcW w:type="dxa" w:w="1701"/>
          </w:tcPr>
          <w:p>
            <w:pPr>
              <w:spacing w:lineRule="exact" w:line="600"/>
              <w:jc w:val="center"/>
            </w:pPr>
            <w:r/>
            <w:r>
              <w:rPr>
                <w:rFonts w:ascii="仿宋_GB2312" w:hAnsi="仿宋_GB2312" w:eastAsia="仿宋_GB2312"/>
                <w:b w:val="0"/>
                <w:color w:val="000000"/>
                <w:sz w:val="32"/>
              </w:rPr>
              <w:t>循环高值化</w:t>
            </w:r>
          </w:p>
        </w:tc>
        <w:tc>
          <w:tcPr>
            <w:tcW w:type="dxa" w:w="4252"/>
          </w:tcPr>
          <w:p>
            <w:pPr>
              <w:spacing w:lineRule="exact" w:line="600"/>
              <w:jc w:val="center"/>
            </w:pPr>
            <w:r/>
            <w:r>
              <w:rPr>
                <w:rFonts w:ascii="仿宋_GB2312" w:hAnsi="仿宋_GB2312" w:eastAsia="仿宋_GB2312"/>
                <w:b w:val="0"/>
                <w:color w:val="000000"/>
                <w:sz w:val="32"/>
              </w:rPr>
              <w:t>扩大再生胶/裂解</w:t>
            </w:r>
          </w:p>
        </w:tc>
        <w:tc>
          <w:tcPr>
            <w:tcW w:type="dxa" w:w="2551"/>
          </w:tcPr>
          <w:p>
            <w:pPr>
              <w:spacing w:lineRule="exact" w:line="600"/>
              <w:jc w:val="center"/>
            </w:pPr>
            <w:r/>
            <w:r>
              <w:rPr>
                <w:rFonts w:ascii="仿宋_GB2312" w:hAnsi="仿宋_GB2312" w:eastAsia="仿宋_GB2312"/>
                <w:b w:val="0"/>
                <w:color w:val="000000"/>
                <w:sz w:val="32"/>
              </w:rPr>
              <w:t>持续</w:t>
            </w:r>
          </w:p>
        </w:tc>
      </w:tr>
      <w:tr>
        <w:tc>
          <w:tcPr>
            <w:tcW w:type="dxa" w:w="1701"/>
          </w:tcPr>
          <w:p>
            <w:pPr>
              <w:spacing w:lineRule="exact" w:line="600"/>
              <w:jc w:val="center"/>
            </w:pPr>
            <w:r/>
            <w:r>
              <w:rPr>
                <w:rFonts w:ascii="仿宋_GB2312" w:hAnsi="仿宋_GB2312" w:eastAsia="仿宋_GB2312"/>
                <w:b w:val="0"/>
                <w:color w:val="000000"/>
                <w:sz w:val="32"/>
              </w:rPr>
              <w:t>绿色数字</w:t>
            </w:r>
          </w:p>
        </w:tc>
        <w:tc>
          <w:tcPr>
            <w:tcW w:type="dxa" w:w="4252"/>
          </w:tcPr>
          <w:p>
            <w:pPr>
              <w:spacing w:lineRule="exact" w:line="600"/>
              <w:jc w:val="center"/>
            </w:pPr>
            <w:r/>
            <w:r>
              <w:rPr>
                <w:rFonts w:ascii="仿宋_GB2312" w:hAnsi="仿宋_GB2312" w:eastAsia="仿宋_GB2312"/>
                <w:b w:val="0"/>
                <w:color w:val="000000"/>
                <w:sz w:val="32"/>
              </w:rPr>
              <w:t>绿色工厂5家+</w:t>
            </w:r>
          </w:p>
        </w:tc>
        <w:tc>
          <w:tcPr>
            <w:tcW w:type="dxa" w:w="2551"/>
          </w:tcPr>
          <w:p>
            <w:pPr>
              <w:spacing w:lineRule="exact" w:line="600"/>
              <w:jc w:val="center"/>
            </w:pPr>
            <w:r/>
            <w:r>
              <w:rPr>
                <w:rFonts w:ascii="仿宋_GB2312" w:hAnsi="仿宋_GB2312" w:eastAsia="仿宋_GB2312"/>
                <w:b w:val="0"/>
                <w:color w:val="000000"/>
                <w:sz w:val="32"/>
              </w:rPr>
              <w:t>2028</w:t>
            </w:r>
          </w:p>
        </w:tc>
      </w:tr>
      <w:tr>
        <w:tc>
          <w:tcPr>
            <w:tcW w:type="dxa" w:w="1701"/>
          </w:tcPr>
          <w:p>
            <w:pPr>
              <w:spacing w:lineRule="exact" w:line="600"/>
              <w:jc w:val="center"/>
            </w:pPr>
            <w:r/>
            <w:r>
              <w:rPr>
                <w:rFonts w:ascii="仿宋_GB2312" w:hAnsi="仿宋_GB2312" w:eastAsia="仿宋_GB2312"/>
                <w:b w:val="0"/>
                <w:color w:val="000000"/>
                <w:sz w:val="32"/>
              </w:rPr>
              <w:t>闭环</w:t>
            </w:r>
          </w:p>
        </w:tc>
        <w:tc>
          <w:tcPr>
            <w:tcW w:type="dxa" w:w="4252"/>
          </w:tcPr>
          <w:p>
            <w:pPr>
              <w:spacing w:lineRule="exact" w:line="600"/>
              <w:jc w:val="center"/>
            </w:pPr>
            <w:r/>
            <w:r>
              <w:rPr>
                <w:rFonts w:ascii="仿宋_GB2312" w:hAnsi="仿宋_GB2312" w:eastAsia="仿宋_GB2312"/>
                <w:b w:val="0"/>
                <w:color w:val="000000"/>
                <w:sz w:val="32"/>
              </w:rPr>
              <w:t>废胎园区内资源化</w:t>
            </w:r>
          </w:p>
        </w:tc>
        <w:tc>
          <w:tcPr>
            <w:tcW w:type="dxa" w:w="2551"/>
          </w:tcPr>
          <w:p>
            <w:pPr>
              <w:spacing w:lineRule="exact" w:line="600"/>
              <w:jc w:val="center"/>
            </w:pPr>
            <w:r/>
            <w:r>
              <w:rPr>
                <w:rFonts w:ascii="仿宋_GB2312" w:hAnsi="仿宋_GB2312" w:eastAsia="仿宋_GB2312"/>
                <w:b w:val="0"/>
                <w:color w:val="000000"/>
                <w:sz w:val="32"/>
              </w:rPr>
              <w:t>持续</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（一）智能装备升级融资</w:t>
      </w:r>
    </w:p>
    <w:p>
      <w:pPr>
        <w:spacing w:lineRule="exact" w:line="600" w:before="0" w:after="0"/>
        <w:ind w:firstLine="420"/>
        <w:jc w:val="both"/>
      </w:pPr>
      <w:r>
        <w:rPr>
          <w:rFonts w:ascii="仿宋_GB2312" w:hAnsi="仿宋_GB2312" w:eastAsia="仿宋_GB2312"/>
          <w:b w:val="0"/>
          <w:color w:val="000000"/>
          <w:sz w:val="32"/>
        </w:rPr>
        <w:t>单厂10亿—15亿元工业4.0投资需项目贷、设备融资租赁；全县75个智能化改造项目（累计69.3亿元）需技改贴息与中长期贷款。高端装备国产化攻关可借助科创再贷款与首台套保险补偿。</w:t>
      </w:r>
    </w:p>
    <w:p>
      <w:pPr>
        <w:spacing w:lineRule="exact" w:line="600" w:before="120" w:after="120"/>
        <w:ind w:firstLine="420"/>
        <w:jc w:val="left"/>
      </w:pPr>
      <w:r>
        <w:rPr>
          <w:rFonts w:ascii="楷体_GB2312" w:hAnsi="楷体_GB2312" w:eastAsia="楷体_GB2312"/>
          <w:b w:val="0"/>
          <w:color w:val="000000"/>
          <w:sz w:val="32"/>
        </w:rPr>
        <w:t>（二）循环利用扩能与绿色改造</w:t>
      </w:r>
    </w:p>
    <w:p>
      <w:pPr>
        <w:spacing w:lineRule="exact" w:line="600" w:before="0" w:after="0"/>
        <w:ind w:firstLine="420"/>
        <w:jc w:val="both"/>
      </w:pPr>
      <w:r>
        <w:rPr>
          <w:rFonts w:ascii="仿宋_GB2312" w:hAnsi="仿宋_GB2312" w:eastAsia="仿宋_GB2312"/>
          <w:b w:val="0"/>
          <w:color w:val="000000"/>
          <w:sz w:val="32"/>
        </w:rPr>
        <w:t>长建等再生胶企业扩能与工艺升级需绿色信贷、碳减排支持工具；裂解高值化示范项目需项目贷与产业基金。建议设立轮胎循环经济专项，支持「吃干榨净」绿色工厂建设。</w:t>
      </w:r>
    </w:p>
    <w:p>
      <w:pPr>
        <w:spacing w:lineRule="exact" w:line="600" w:before="120" w:after="120"/>
        <w:ind w:firstLine="420"/>
        <w:jc w:val="left"/>
      </w:pPr>
      <w:r>
        <w:rPr>
          <w:rFonts w:ascii="楷体_GB2312" w:hAnsi="楷体_GB2312" w:eastAsia="楷体_GB2312"/>
          <w:b w:val="0"/>
          <w:color w:val="000000"/>
          <w:sz w:val="32"/>
        </w:rPr>
        <w:t>（三）产业大脑与服务平台融资</w:t>
      </w:r>
    </w:p>
    <w:p>
      <w:pPr>
        <w:spacing w:lineRule="exact" w:line="600" w:before="0" w:after="0"/>
        <w:ind w:firstLine="420"/>
        <w:jc w:val="both"/>
      </w:pPr>
      <w:r>
        <w:rPr>
          <w:rFonts w:ascii="仿宋_GB2312" w:hAnsi="仿宋_GB2312" w:eastAsia="仿宋_GB2312"/>
          <w:b w:val="0"/>
          <w:color w:val="000000"/>
          <w:sz w:val="32"/>
        </w:rPr>
        <w:t>产业大脑、质检中心、研究院等公共服务平台需建设资金与运营补贴；可通过政府引导基金、专项债支持循环产业园基础设施，配套供应链金融缓解中小企业流动资金压力。</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685"/>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智能装备</w:t>
            </w:r>
          </w:p>
        </w:tc>
        <w:tc>
          <w:tcPr>
            <w:tcW w:type="dxa" w:w="3685"/>
          </w:tcPr>
          <w:p>
            <w:pPr>
              <w:spacing w:lineRule="exact" w:line="600"/>
              <w:jc w:val="center"/>
            </w:pPr>
            <w:r/>
            <w:r>
              <w:rPr>
                <w:rFonts w:ascii="仿宋_GB2312" w:hAnsi="仿宋_GB2312" w:eastAsia="仿宋_GB2312"/>
                <w:b w:val="0"/>
                <w:color w:val="000000"/>
                <w:sz w:val="32"/>
              </w:rPr>
              <w:t>10亿—15亿/厂</w:t>
            </w:r>
          </w:p>
        </w:tc>
        <w:tc>
          <w:tcPr>
            <w:tcW w:type="dxa" w:w="3118"/>
          </w:tcPr>
          <w:p>
            <w:pPr>
              <w:spacing w:lineRule="exact" w:line="600"/>
              <w:jc w:val="center"/>
            </w:pPr>
            <w:r/>
            <w:r>
              <w:rPr>
                <w:rFonts w:ascii="仿宋_GB2312" w:hAnsi="仿宋_GB2312" w:eastAsia="仿宋_GB2312"/>
                <w:b w:val="0"/>
                <w:color w:val="000000"/>
                <w:sz w:val="32"/>
              </w:rPr>
              <w:t>项目贷、设备租赁</w:t>
            </w:r>
          </w:p>
        </w:tc>
      </w:tr>
      <w:tr>
        <w:tc>
          <w:tcPr>
            <w:tcW w:type="dxa" w:w="1984"/>
          </w:tcPr>
          <w:p>
            <w:pPr>
              <w:spacing w:lineRule="exact" w:line="600"/>
              <w:jc w:val="center"/>
            </w:pPr>
            <w:r/>
            <w:r>
              <w:rPr>
                <w:rFonts w:ascii="仿宋_GB2312" w:hAnsi="仿宋_GB2312" w:eastAsia="仿宋_GB2312"/>
                <w:b w:val="0"/>
                <w:color w:val="000000"/>
                <w:sz w:val="32"/>
              </w:rPr>
              <w:t>绿色改造</w:t>
            </w:r>
          </w:p>
        </w:tc>
        <w:tc>
          <w:tcPr>
            <w:tcW w:type="dxa" w:w="3685"/>
          </w:tcPr>
          <w:p>
            <w:pPr>
              <w:spacing w:lineRule="exact" w:line="600"/>
              <w:jc w:val="center"/>
            </w:pPr>
            <w:r/>
            <w:r>
              <w:rPr>
                <w:rFonts w:ascii="仿宋_GB2312" w:hAnsi="仿宋_GB2312" w:eastAsia="仿宋_GB2312"/>
                <w:b w:val="0"/>
                <w:color w:val="000000"/>
                <w:sz w:val="32"/>
              </w:rPr>
              <w:t>长建7000万级</w:t>
            </w:r>
          </w:p>
        </w:tc>
        <w:tc>
          <w:tcPr>
            <w:tcW w:type="dxa" w:w="3118"/>
          </w:tcPr>
          <w:p>
            <w:pPr>
              <w:spacing w:lineRule="exact" w:line="600"/>
              <w:jc w:val="center"/>
            </w:pPr>
            <w:r/>
            <w:r>
              <w:rPr>
                <w:rFonts w:ascii="仿宋_GB2312" w:hAnsi="仿宋_GB2312" w:eastAsia="仿宋_GB2312"/>
                <w:b w:val="0"/>
                <w:color w:val="000000"/>
                <w:sz w:val="32"/>
              </w:rPr>
              <w:t>绿色信贷、碳工具</w:t>
            </w:r>
          </w:p>
        </w:tc>
      </w:tr>
      <w:tr>
        <w:tc>
          <w:tcPr>
            <w:tcW w:type="dxa" w:w="1984"/>
          </w:tcPr>
          <w:p>
            <w:pPr>
              <w:spacing w:lineRule="exact" w:line="600"/>
              <w:jc w:val="center"/>
            </w:pPr>
            <w:r/>
            <w:r>
              <w:rPr>
                <w:rFonts w:ascii="仿宋_GB2312" w:hAnsi="仿宋_GB2312" w:eastAsia="仿宋_GB2312"/>
                <w:b w:val="0"/>
                <w:color w:val="000000"/>
                <w:sz w:val="32"/>
              </w:rPr>
              <w:t>循环扩能</w:t>
            </w:r>
          </w:p>
        </w:tc>
        <w:tc>
          <w:tcPr>
            <w:tcW w:type="dxa" w:w="3685"/>
          </w:tcPr>
          <w:p>
            <w:pPr>
              <w:spacing w:lineRule="exact" w:line="600"/>
              <w:jc w:val="center"/>
            </w:pPr>
            <w:r/>
            <w:r>
              <w:rPr>
                <w:rFonts w:ascii="仿宋_GB2312" w:hAnsi="仿宋_GB2312" w:eastAsia="仿宋_GB2312"/>
                <w:b w:val="0"/>
                <w:color w:val="000000"/>
                <w:sz w:val="32"/>
              </w:rPr>
              <w:t>裂解示范项目</w:t>
            </w:r>
          </w:p>
        </w:tc>
        <w:tc>
          <w:tcPr>
            <w:tcW w:type="dxa" w:w="3118"/>
          </w:tcPr>
          <w:p>
            <w:pPr>
              <w:spacing w:lineRule="exact" w:line="600"/>
              <w:jc w:val="center"/>
            </w:pPr>
            <w:r/>
            <w:r>
              <w:rPr>
                <w:rFonts w:ascii="仿宋_GB2312" w:hAnsi="仿宋_GB2312" w:eastAsia="仿宋_GB2312"/>
                <w:b w:val="0"/>
                <w:color w:val="000000"/>
                <w:sz w:val="32"/>
              </w:rPr>
              <w:t>产业基金</w:t>
            </w:r>
          </w:p>
        </w:tc>
      </w:tr>
      <w:tr>
        <w:tc>
          <w:tcPr>
            <w:tcW w:type="dxa" w:w="1984"/>
          </w:tcPr>
          <w:p>
            <w:pPr>
              <w:spacing w:lineRule="exact" w:line="600"/>
              <w:jc w:val="center"/>
            </w:pPr>
            <w:r/>
            <w:r>
              <w:rPr>
                <w:rFonts w:ascii="仿宋_GB2312" w:hAnsi="仿宋_GB2312" w:eastAsia="仿宋_GB2312"/>
                <w:b w:val="0"/>
                <w:color w:val="000000"/>
                <w:sz w:val="32"/>
              </w:rPr>
              <w:t>平台</w:t>
            </w:r>
          </w:p>
        </w:tc>
        <w:tc>
          <w:tcPr>
            <w:tcW w:type="dxa" w:w="3685"/>
          </w:tcPr>
          <w:p>
            <w:pPr>
              <w:spacing w:lineRule="exact" w:line="600"/>
              <w:jc w:val="center"/>
            </w:pPr>
            <w:r/>
            <w:r>
              <w:rPr>
                <w:rFonts w:ascii="仿宋_GB2312" w:hAnsi="仿宋_GB2312" w:eastAsia="仿宋_GB2312"/>
                <w:b w:val="0"/>
                <w:color w:val="000000"/>
                <w:sz w:val="32"/>
              </w:rPr>
              <w:t>产业大脑/园区</w:t>
            </w:r>
          </w:p>
        </w:tc>
        <w:tc>
          <w:tcPr>
            <w:tcW w:type="dxa" w:w="3118"/>
          </w:tcPr>
          <w:p>
            <w:pPr>
              <w:spacing w:lineRule="exact" w:line="600"/>
              <w:jc w:val="center"/>
            </w:pPr>
            <w:r/>
            <w:r>
              <w:rPr>
                <w:rFonts w:ascii="仿宋_GB2312" w:hAnsi="仿宋_GB2312" w:eastAsia="仿宋_GB2312"/>
                <w:b w:val="0"/>
                <w:color w:val="000000"/>
                <w:sz w:val="32"/>
              </w:rPr>
              <w:t>专项债、引导基金</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东营长建再生资源有限公司：广饶循环利用龙头，累计投入7000万元（自动化改造2000多万元）建设绿色工厂，引进国际领先的常温常压连续脱硫新工艺，四条再生胶生产线，年产能近10万吨（高端再生胶9.8万吨），每吨能耗降30%，产品获玲珑、三角等头部企业长期订单，年产值1.7—2亿元。来源：齐鲁网闪电新闻、国际在线（CRI）。</w:t>
      </w:r>
    </w:p>
    <w:p>
      <w:pPr>
        <w:spacing w:lineRule="exact" w:line="600" w:before="0" w:after="0"/>
        <w:ind w:firstLine="420"/>
        <w:jc w:val="both"/>
      </w:pPr>
      <w:r>
        <w:rPr>
          <w:rFonts w:ascii="仿宋_GB2312" w:hAnsi="仿宋_GB2312" w:eastAsia="仿宋_GB2312"/>
          <w:b w:val="0"/>
          <w:color w:val="000000"/>
          <w:sz w:val="32"/>
        </w:rPr>
        <w:t>山东永盛橡胶集团有限公司：成立于1986年，员工6000人，全钢600万、半钢1500万条年产能；投资15亿元建设基于物联网的工业4.0智能工厂，嵌入MES/SCADA/ERP，效率提升30%、能耗降10%、日产能1.6万条，为装备智造标杆。来源：广饶县报道、同花顺。</w:t>
      </w:r>
    </w:p>
    <w:p>
      <w:pPr>
        <w:spacing w:lineRule="exact" w:line="600" w:before="0" w:after="0"/>
        <w:ind w:firstLine="420"/>
        <w:jc w:val="both"/>
      </w:pPr>
      <w:r>
        <w:rPr>
          <w:rFonts w:ascii="仿宋_GB2312" w:hAnsi="仿宋_GB2312" w:eastAsia="仿宋_GB2312"/>
          <w:b w:val="0"/>
          <w:color w:val="000000"/>
          <w:sz w:val="32"/>
        </w:rPr>
        <w:t>山东金泰橡胶有限公司（及同类工装配套企业）：布局硫化胶囊与废旧轮胎/胶囊处理，年处理废旧轮胎、胶囊2万吨，产轮胎胶粉1.5万吨、还原丁基胶粉3000吨，再深加工年产能轮胎硫化胶囊4500吨，体现装备—工装—循环内部循环。来源：经济日报、广饶循环链条报道。</w:t>
      </w:r>
    </w:p>
    <w:p>
      <w:pPr>
        <w:spacing w:lineRule="exact" w:line="600" w:before="0" w:after="0"/>
        <w:jc w:val="left"/>
      </w:pPr>
      <w:r>
        <w:rPr>
          <w:rFonts w:ascii="仿宋_GB2312" w:hAnsi="仿宋_GB2312" w:eastAsia="仿宋_GB2312"/>
          <w:b w:val="0"/>
          <w:color w:val="000000"/>
          <w:sz w:val="28"/>
        </w:rPr>
        <w:t>主要数据来源：广饶县人民政府官网《小轮胎转出百亿级「智造」新赛道》（2026年6月）；齐鲁网闪电新闻《广饶县：废旧轮胎「变身记」》（2024年12月）；国际在线（CRI）《山东广饶：「黑色污染」变「再生产品」》（2025年3月）；今日头条《解码广饶轮胎「新质生产力」系列报道之五：废旧轮胎的「重生之旅」》（2025年）；东营日报《「轮胎之都」塑强新质生产力》（2024年5月）；经济日报《山东广饶县着力打造高效生态产业集群》（2009年，循环链条背景）；《东营市橡胶轮胎产业发展规划（2024—2028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