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山东烟台经开区（化工新材料）特色产业集群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化工新材料合成行业深度分析报告</w:t>
      </w:r>
    </w:p>
    <w:p>
      <w:pPr>
        <w:spacing w:lineRule="exact" w:line="600" w:before="0" w:after="0"/>
        <w:jc w:val="left"/>
      </w:pPr>
      <w:r>
        <w:rPr>
          <w:rFonts w:ascii="仿宋_GB2312" w:hAnsi="仿宋_GB2312" w:eastAsia="仿宋_GB2312"/>
          <w:b w:val="0"/>
          <w:color w:val="000000"/>
          <w:sz w:val="28"/>
        </w:rPr>
        <w:t>本报告聚焦烟台经开区化工新材料集群的合成环节（以万华化学聚氨酯/石化合成、万润功能性材料合成为核心）。数据来源于万华化学2024年年报、烟台黄渤海新区/烟台化工产业园公开报道、山东省工信厅、中国化工经济技术发展中心《「十四五」中国化工园区竞争力研究报告》、企业公告等。数据截至2024—2025年。</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化工新材料合成是烟台经开区（黄渤海新区）化工新材料集群的源头环节。烟台化工产业园2018年经省政府批准设立，集聚超50家高端化工及新材料企业，形成聚氨酯烯烃、高性能纤维、高端显示材料、特种胶粘剂四大主导产业集群，2025年园区总营收达1633亿元，跻身全国竞争力化工园区十强。万华化学为全球化工50强（2024年C&amp;EN第16名），2024年营收1820.69亿元、归母净利润130.33亿元，拥有MDI产能380万吨/年、TDI 111万吨/年、聚醚159万吨/年，均为全球最大供应商；2025年营收突破2032亿元。中节能万润（万润股份）为功能性材料合成平台型企业，2024年营收36.93亿元，液晶单体与沸石环保材料全球领先，研发投入占比11.46%。该环节技术壁垒高、规模效应强，但面临大宗商品原料价格波动、行业周期下行与国际贸易摩擦风险。</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园区总营收</w:t>
            </w:r>
          </w:p>
        </w:tc>
        <w:tc>
          <w:tcPr>
            <w:tcW w:type="dxa" w:w="2835"/>
          </w:tcPr>
          <w:p>
            <w:pPr>
              <w:spacing w:lineRule="exact" w:line="600"/>
              <w:jc w:val="center"/>
            </w:pPr>
            <w:r/>
            <w:r>
              <w:rPr>
                <w:rFonts w:ascii="仿宋_GB2312" w:hAnsi="仿宋_GB2312" w:eastAsia="仿宋_GB2312"/>
                <w:b w:val="0"/>
                <w:color w:val="000000"/>
                <w:sz w:val="32"/>
              </w:rPr>
              <w:t>1633亿元</w:t>
            </w:r>
          </w:p>
        </w:tc>
        <w:tc>
          <w:tcPr>
            <w:tcW w:type="dxa" w:w="3118"/>
          </w:tcPr>
          <w:p>
            <w:pPr>
              <w:spacing w:lineRule="exact" w:line="600"/>
              <w:jc w:val="center"/>
            </w:pPr>
            <w:r/>
            <w:r>
              <w:rPr>
                <w:rFonts w:ascii="仿宋_GB2312" w:hAnsi="仿宋_GB2312" w:eastAsia="仿宋_GB2312"/>
                <w:b w:val="0"/>
                <w:color w:val="000000"/>
                <w:sz w:val="32"/>
              </w:rPr>
              <w:t>烟台化工园，2025</w:t>
            </w:r>
          </w:p>
        </w:tc>
      </w:tr>
      <w:tr>
        <w:tc>
          <w:tcPr>
            <w:tcW w:type="dxa" w:w="2835"/>
          </w:tcPr>
          <w:p>
            <w:pPr>
              <w:spacing w:lineRule="exact" w:line="600"/>
              <w:jc w:val="center"/>
            </w:pPr>
            <w:r/>
            <w:r>
              <w:rPr>
                <w:rFonts w:ascii="仿宋_GB2312" w:hAnsi="仿宋_GB2312" w:eastAsia="仿宋_GB2312"/>
                <w:b w:val="0"/>
                <w:color w:val="000000"/>
                <w:sz w:val="32"/>
              </w:rPr>
              <w:t>万华2024营收</w:t>
            </w:r>
          </w:p>
        </w:tc>
        <w:tc>
          <w:tcPr>
            <w:tcW w:type="dxa" w:w="2835"/>
          </w:tcPr>
          <w:p>
            <w:pPr>
              <w:spacing w:lineRule="exact" w:line="600"/>
              <w:jc w:val="center"/>
            </w:pPr>
            <w:r/>
            <w:r>
              <w:rPr>
                <w:rFonts w:ascii="仿宋_GB2312" w:hAnsi="仿宋_GB2312" w:eastAsia="仿宋_GB2312"/>
                <w:b w:val="0"/>
                <w:color w:val="000000"/>
                <w:sz w:val="32"/>
              </w:rPr>
              <w:t>1820.69亿元</w:t>
            </w:r>
          </w:p>
        </w:tc>
        <w:tc>
          <w:tcPr>
            <w:tcW w:type="dxa" w:w="3118"/>
          </w:tcPr>
          <w:p>
            <w:pPr>
              <w:spacing w:lineRule="exact" w:line="600"/>
              <w:jc w:val="center"/>
            </w:pPr>
            <w:r/>
            <w:r>
              <w:rPr>
                <w:rFonts w:ascii="仿宋_GB2312" w:hAnsi="仿宋_GB2312" w:eastAsia="仿宋_GB2312"/>
                <w:b w:val="0"/>
                <w:color w:val="000000"/>
                <w:sz w:val="32"/>
              </w:rPr>
              <w:t>万华年报，2024</w:t>
            </w:r>
          </w:p>
        </w:tc>
      </w:tr>
      <w:tr>
        <w:tc>
          <w:tcPr>
            <w:tcW w:type="dxa" w:w="2835"/>
          </w:tcPr>
          <w:p>
            <w:pPr>
              <w:spacing w:lineRule="exact" w:line="600"/>
              <w:jc w:val="center"/>
            </w:pPr>
            <w:r/>
            <w:r>
              <w:rPr>
                <w:rFonts w:ascii="仿宋_GB2312" w:hAnsi="仿宋_GB2312" w:eastAsia="仿宋_GB2312"/>
                <w:b w:val="0"/>
                <w:color w:val="000000"/>
                <w:sz w:val="32"/>
              </w:rPr>
              <w:t>万华MDI产能</w:t>
            </w:r>
          </w:p>
        </w:tc>
        <w:tc>
          <w:tcPr>
            <w:tcW w:type="dxa" w:w="2835"/>
          </w:tcPr>
          <w:p>
            <w:pPr>
              <w:spacing w:lineRule="exact" w:line="600"/>
              <w:jc w:val="center"/>
            </w:pPr>
            <w:r/>
            <w:r>
              <w:rPr>
                <w:rFonts w:ascii="仿宋_GB2312" w:hAnsi="仿宋_GB2312" w:eastAsia="仿宋_GB2312"/>
                <w:b w:val="0"/>
                <w:color w:val="000000"/>
                <w:sz w:val="32"/>
              </w:rPr>
              <w:t>380万吨/年（全球最大）</w:t>
            </w:r>
          </w:p>
        </w:tc>
        <w:tc>
          <w:tcPr>
            <w:tcW w:type="dxa" w:w="3118"/>
          </w:tcPr>
          <w:p>
            <w:pPr>
              <w:spacing w:lineRule="exact" w:line="600"/>
              <w:jc w:val="center"/>
            </w:pPr>
            <w:r/>
            <w:r>
              <w:rPr>
                <w:rFonts w:ascii="仿宋_GB2312" w:hAnsi="仿宋_GB2312" w:eastAsia="仿宋_GB2312"/>
                <w:b w:val="0"/>
                <w:color w:val="000000"/>
                <w:sz w:val="32"/>
              </w:rPr>
              <w:t>万华年报，2024</w:t>
            </w:r>
          </w:p>
        </w:tc>
      </w:tr>
      <w:tr>
        <w:tc>
          <w:tcPr>
            <w:tcW w:type="dxa" w:w="2835"/>
          </w:tcPr>
          <w:p>
            <w:pPr>
              <w:spacing w:lineRule="exact" w:line="600"/>
              <w:jc w:val="center"/>
            </w:pPr>
            <w:r/>
            <w:r>
              <w:rPr>
                <w:rFonts w:ascii="仿宋_GB2312" w:hAnsi="仿宋_GB2312" w:eastAsia="仿宋_GB2312"/>
                <w:b w:val="0"/>
                <w:color w:val="000000"/>
                <w:sz w:val="32"/>
              </w:rPr>
              <w:t>万华2025营收</w:t>
            </w:r>
          </w:p>
        </w:tc>
        <w:tc>
          <w:tcPr>
            <w:tcW w:type="dxa" w:w="2835"/>
          </w:tcPr>
          <w:p>
            <w:pPr>
              <w:spacing w:lineRule="exact" w:line="600"/>
              <w:jc w:val="center"/>
            </w:pPr>
            <w:r/>
            <w:r>
              <w:rPr>
                <w:rFonts w:ascii="仿宋_GB2312" w:hAnsi="仿宋_GB2312" w:eastAsia="仿宋_GB2312"/>
                <w:b w:val="0"/>
                <w:color w:val="000000"/>
                <w:sz w:val="32"/>
              </w:rPr>
              <w:t>2032.35亿元</w:t>
            </w:r>
          </w:p>
        </w:tc>
        <w:tc>
          <w:tcPr>
            <w:tcW w:type="dxa" w:w="3118"/>
          </w:tcPr>
          <w:p>
            <w:pPr>
              <w:spacing w:lineRule="exact" w:line="600"/>
              <w:jc w:val="center"/>
            </w:pPr>
            <w:r/>
            <w:r>
              <w:rPr>
                <w:rFonts w:ascii="仿宋_GB2312" w:hAnsi="仿宋_GB2312" w:eastAsia="仿宋_GB2312"/>
                <w:b w:val="0"/>
                <w:color w:val="000000"/>
                <w:sz w:val="32"/>
              </w:rPr>
              <w:t>烟台化工园，2025</w:t>
            </w:r>
          </w:p>
        </w:tc>
      </w:tr>
      <w:tr>
        <w:tc>
          <w:tcPr>
            <w:tcW w:type="dxa" w:w="2835"/>
          </w:tcPr>
          <w:p>
            <w:pPr>
              <w:spacing w:lineRule="exact" w:line="600"/>
              <w:jc w:val="center"/>
            </w:pPr>
            <w:r/>
            <w:r>
              <w:rPr>
                <w:rFonts w:ascii="仿宋_GB2312" w:hAnsi="仿宋_GB2312" w:eastAsia="仿宋_GB2312"/>
                <w:b w:val="0"/>
                <w:color w:val="000000"/>
                <w:sz w:val="32"/>
              </w:rPr>
              <w:t>万润2024营收</w:t>
            </w:r>
          </w:p>
        </w:tc>
        <w:tc>
          <w:tcPr>
            <w:tcW w:type="dxa" w:w="2835"/>
          </w:tcPr>
          <w:p>
            <w:pPr>
              <w:spacing w:lineRule="exact" w:line="600"/>
              <w:jc w:val="center"/>
            </w:pPr>
            <w:r/>
            <w:r>
              <w:rPr>
                <w:rFonts w:ascii="仿宋_GB2312" w:hAnsi="仿宋_GB2312" w:eastAsia="仿宋_GB2312"/>
                <w:b w:val="0"/>
                <w:color w:val="000000"/>
                <w:sz w:val="32"/>
              </w:rPr>
              <w:t>36.93亿元</w:t>
            </w:r>
          </w:p>
        </w:tc>
        <w:tc>
          <w:tcPr>
            <w:tcW w:type="dxa" w:w="3118"/>
          </w:tcPr>
          <w:p>
            <w:pPr>
              <w:spacing w:lineRule="exact" w:line="600"/>
              <w:jc w:val="center"/>
            </w:pPr>
            <w:r/>
            <w:r>
              <w:rPr>
                <w:rFonts w:ascii="仿宋_GB2312" w:hAnsi="仿宋_GB2312" w:eastAsia="仿宋_GB2312"/>
                <w:b w:val="0"/>
                <w:color w:val="000000"/>
                <w:sz w:val="32"/>
              </w:rPr>
              <w:t>万润年报，2024</w:t>
            </w:r>
          </w:p>
        </w:tc>
      </w:tr>
      <w:tr>
        <w:tc>
          <w:tcPr>
            <w:tcW w:type="dxa" w:w="2835"/>
          </w:tcPr>
          <w:p>
            <w:pPr>
              <w:spacing w:lineRule="exact" w:line="600"/>
              <w:jc w:val="center"/>
            </w:pPr>
            <w:r/>
            <w:r>
              <w:rPr>
                <w:rFonts w:ascii="仿宋_GB2312" w:hAnsi="仿宋_GB2312" w:eastAsia="仿宋_GB2312"/>
                <w:b w:val="0"/>
                <w:color w:val="000000"/>
                <w:sz w:val="32"/>
              </w:rPr>
              <w:t>万润研发占比</w:t>
            </w:r>
          </w:p>
        </w:tc>
        <w:tc>
          <w:tcPr>
            <w:tcW w:type="dxa" w:w="2835"/>
          </w:tcPr>
          <w:p>
            <w:pPr>
              <w:spacing w:lineRule="exact" w:line="600"/>
              <w:jc w:val="center"/>
            </w:pPr>
            <w:r/>
            <w:r>
              <w:rPr>
                <w:rFonts w:ascii="仿宋_GB2312" w:hAnsi="仿宋_GB2312" w:eastAsia="仿宋_GB2312"/>
                <w:b w:val="0"/>
                <w:color w:val="000000"/>
                <w:sz w:val="32"/>
              </w:rPr>
              <w:t>11.46%</w:t>
            </w:r>
          </w:p>
        </w:tc>
        <w:tc>
          <w:tcPr>
            <w:tcW w:type="dxa" w:w="3118"/>
          </w:tcPr>
          <w:p>
            <w:pPr>
              <w:spacing w:lineRule="exact" w:line="600"/>
              <w:jc w:val="center"/>
            </w:pPr>
            <w:r/>
            <w:r>
              <w:rPr>
                <w:rFonts w:ascii="仿宋_GB2312" w:hAnsi="仿宋_GB2312" w:eastAsia="仿宋_GB2312"/>
                <w:b w:val="0"/>
                <w:color w:val="000000"/>
                <w:sz w:val="32"/>
              </w:rPr>
              <w:t>万润年报，2024</w:t>
            </w:r>
          </w:p>
        </w:tc>
      </w:tr>
      <w:tr>
        <w:tc>
          <w:tcPr>
            <w:tcW w:type="dxa" w:w="2835"/>
          </w:tcPr>
          <w:p>
            <w:pPr>
              <w:spacing w:lineRule="exact" w:line="600"/>
              <w:jc w:val="center"/>
            </w:pPr>
            <w:r/>
            <w:r>
              <w:rPr>
                <w:rFonts w:ascii="仿宋_GB2312" w:hAnsi="仿宋_GB2312" w:eastAsia="仿宋_GB2312"/>
                <w:b w:val="0"/>
                <w:color w:val="000000"/>
                <w:sz w:val="32"/>
              </w:rPr>
              <w:t>园区企业数</w:t>
            </w:r>
          </w:p>
        </w:tc>
        <w:tc>
          <w:tcPr>
            <w:tcW w:type="dxa" w:w="2835"/>
          </w:tcPr>
          <w:p>
            <w:pPr>
              <w:spacing w:lineRule="exact" w:line="600"/>
              <w:jc w:val="center"/>
            </w:pPr>
            <w:r/>
            <w:r>
              <w:rPr>
                <w:rFonts w:ascii="仿宋_GB2312" w:hAnsi="仿宋_GB2312" w:eastAsia="仿宋_GB2312"/>
                <w:b w:val="0"/>
                <w:color w:val="000000"/>
                <w:sz w:val="32"/>
              </w:rPr>
              <w:t>超50家</w:t>
            </w:r>
          </w:p>
        </w:tc>
        <w:tc>
          <w:tcPr>
            <w:tcW w:type="dxa" w:w="3118"/>
          </w:tcPr>
          <w:p>
            <w:pPr>
              <w:spacing w:lineRule="exact" w:line="600"/>
              <w:jc w:val="center"/>
            </w:pPr>
            <w:r/>
            <w:r>
              <w:rPr>
                <w:rFonts w:ascii="仿宋_GB2312" w:hAnsi="仿宋_GB2312" w:eastAsia="仿宋_GB2312"/>
                <w:b w:val="0"/>
                <w:color w:val="000000"/>
                <w:sz w:val="32"/>
              </w:rPr>
              <w:t>烟台化工园，2025</w:t>
            </w:r>
          </w:p>
        </w:tc>
      </w:tr>
      <w:tr>
        <w:tc>
          <w:tcPr>
            <w:tcW w:type="dxa" w:w="2835"/>
          </w:tcPr>
          <w:p>
            <w:pPr>
              <w:spacing w:lineRule="exact" w:line="600"/>
              <w:jc w:val="center"/>
            </w:pPr>
            <w:r/>
            <w:r>
              <w:rPr>
                <w:rFonts w:ascii="仿宋_GB2312" w:hAnsi="仿宋_GB2312" w:eastAsia="仿宋_GB2312"/>
                <w:b w:val="0"/>
                <w:color w:val="000000"/>
                <w:sz w:val="32"/>
              </w:rPr>
              <w:t>全球化工50强</w:t>
            </w:r>
          </w:p>
        </w:tc>
        <w:tc>
          <w:tcPr>
            <w:tcW w:type="dxa" w:w="2835"/>
          </w:tcPr>
          <w:p>
            <w:pPr>
              <w:spacing w:lineRule="exact" w:line="600"/>
              <w:jc w:val="center"/>
            </w:pPr>
            <w:r/>
            <w:r>
              <w:rPr>
                <w:rFonts w:ascii="仿宋_GB2312" w:hAnsi="仿宋_GB2312" w:eastAsia="仿宋_GB2312"/>
                <w:b w:val="0"/>
                <w:color w:val="000000"/>
                <w:sz w:val="32"/>
              </w:rPr>
              <w:t>万华第16</w:t>
            </w:r>
          </w:p>
        </w:tc>
        <w:tc>
          <w:tcPr>
            <w:tcW w:type="dxa" w:w="3118"/>
          </w:tcPr>
          <w:p>
            <w:pPr>
              <w:spacing w:lineRule="exact" w:line="600"/>
              <w:jc w:val="center"/>
            </w:pPr>
            <w:r/>
            <w:r>
              <w:rPr>
                <w:rFonts w:ascii="仿宋_GB2312" w:hAnsi="仿宋_GB2312" w:eastAsia="仿宋_GB2312"/>
                <w:b w:val="0"/>
                <w:color w:val="000000"/>
                <w:sz w:val="32"/>
              </w:rPr>
              <w:t>C&amp;EN，2024</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（一）国家战略与政策导向</w:t>
      </w:r>
    </w:p>
    <w:p>
      <w:pPr>
        <w:spacing w:lineRule="exact" w:line="600" w:before="0" w:after="0"/>
        <w:ind w:firstLine="420"/>
        <w:jc w:val="both"/>
      </w:pPr>
      <w:r>
        <w:rPr>
          <w:rFonts w:ascii="仿宋_GB2312" w:hAnsi="仿宋_GB2312" w:eastAsia="仿宋_GB2312"/>
          <w:b w:val="0"/>
          <w:color w:val="000000"/>
          <w:sz w:val="32"/>
        </w:rPr>
        <w:t>石化化工列入国家战略性新兴产业与「两高」优化管理重点。山东省将高端化工列为「十强」产业，烟台规划建世界级绿色石化城，计划产业产值突破2000亿元。国家发改委《产业结构调整指导目录（2024年本）》将液晶材料、OLED材料、车用尾气净化沸石等列为鼓励类。万华化学依托技改扩能豁免部分「两高」约束，福建MDI技改扩能70万吨/年、TDI扩能33万吨/年稳步推进，体现高端新材料项目政策友好。</w:t>
      </w:r>
    </w:p>
    <w:p>
      <w:pPr>
        <w:spacing w:lineRule="exact" w:line="600" w:before="120" w:after="120"/>
        <w:ind w:firstLine="420"/>
        <w:jc w:val="left"/>
      </w:pPr>
      <w:r>
        <w:rPr>
          <w:rFonts w:ascii="楷体_GB2312" w:hAnsi="楷体_GB2312" w:eastAsia="楷体_GB2312"/>
          <w:b w:val="0"/>
          <w:color w:val="000000"/>
          <w:sz w:val="32"/>
        </w:rPr>
        <w:t>（二）区域产业定位</w:t>
      </w:r>
    </w:p>
    <w:p>
      <w:pPr>
        <w:spacing w:lineRule="exact" w:line="600" w:before="0" w:after="0"/>
        <w:ind w:firstLine="420"/>
        <w:jc w:val="both"/>
      </w:pPr>
      <w:r>
        <w:rPr>
          <w:rFonts w:ascii="仿宋_GB2312" w:hAnsi="仿宋_GB2312" w:eastAsia="仿宋_GB2312"/>
          <w:b w:val="0"/>
          <w:color w:val="000000"/>
          <w:sz w:val="32"/>
        </w:rPr>
        <w:t>烟台化工产业园是黄渤海南岸高端低碳石化产业基地核心板块，纳入国家高端石化产业发展战略。园区聚焦高端化、绿色化、国际化，以万华化学为龙头打造一体化聚氨酯、烯烃产业链，以万润、显华科技为核心打通液晶/OLED全产业链，以泰和、汉高乐泰为核心拓展精细化工材料，目标建成世界级化工新材料产业集群。烟台先进结构材料集群入选国家战略性新兴产业集群（首批66个），研发强度达3.5%以上。</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政策/规划要点</w:t>
            </w:r>
          </w:p>
        </w:tc>
        <w:tc>
          <w:tcPr>
            <w:tcW w:type="dxa" w:w="3685"/>
          </w:tcPr>
          <w:p>
            <w:pPr>
              <w:spacing w:lineRule="exact" w:line="600"/>
              <w:jc w:val="center"/>
            </w:pPr>
            <w:r/>
            <w:r>
              <w:rPr>
                <w:rFonts w:ascii="黑体" w:hAnsi="黑体" w:eastAsia="黑体"/>
                <w:b/>
                <w:color w:val="000000"/>
                <w:sz w:val="32"/>
              </w:rPr>
              <w:t>核心内容</w:t>
            </w:r>
          </w:p>
        </w:tc>
        <w:tc>
          <w:tcPr>
            <w:tcW w:type="dxa" w:w="2551"/>
          </w:tcPr>
          <w:p>
            <w:pPr>
              <w:spacing w:lineRule="exact" w:line="600"/>
              <w:jc w:val="center"/>
            </w:pPr>
            <w:r/>
            <w:r>
              <w:rPr>
                <w:rFonts w:ascii="黑体" w:hAnsi="黑体" w:eastAsia="黑体"/>
                <w:b/>
                <w:color w:val="000000"/>
                <w:sz w:val="32"/>
              </w:rPr>
              <w:t>来源/年份</w:t>
            </w:r>
          </w:p>
        </w:tc>
      </w:tr>
      <w:tr>
        <w:tc>
          <w:tcPr>
            <w:tcW w:type="dxa" w:w="2551"/>
          </w:tcPr>
          <w:p>
            <w:pPr>
              <w:spacing w:lineRule="exact" w:line="600"/>
              <w:jc w:val="center"/>
            </w:pPr>
            <w:r/>
            <w:r>
              <w:rPr>
                <w:rFonts w:ascii="仿宋_GB2312" w:hAnsi="仿宋_GB2312" w:eastAsia="仿宋_GB2312"/>
                <w:b w:val="0"/>
                <w:color w:val="000000"/>
                <w:sz w:val="32"/>
              </w:rPr>
              <w:t>烟台世界级绿色石化城</w:t>
            </w:r>
          </w:p>
        </w:tc>
        <w:tc>
          <w:tcPr>
            <w:tcW w:type="dxa" w:w="3685"/>
          </w:tcPr>
          <w:p>
            <w:pPr>
              <w:spacing w:lineRule="exact" w:line="600"/>
              <w:jc w:val="center"/>
            </w:pPr>
            <w:r/>
            <w:r>
              <w:rPr>
                <w:rFonts w:ascii="仿宋_GB2312" w:hAnsi="仿宋_GB2312" w:eastAsia="仿宋_GB2312"/>
                <w:b w:val="0"/>
                <w:color w:val="000000"/>
                <w:sz w:val="32"/>
              </w:rPr>
              <w:t>产值突破2000亿元</w:t>
            </w:r>
          </w:p>
        </w:tc>
        <w:tc>
          <w:tcPr>
            <w:tcW w:type="dxa" w:w="2551"/>
          </w:tcPr>
          <w:p>
            <w:pPr>
              <w:spacing w:lineRule="exact" w:line="600"/>
              <w:jc w:val="center"/>
            </w:pPr>
            <w:r/>
            <w:r>
              <w:rPr>
                <w:rFonts w:ascii="仿宋_GB2312" w:hAnsi="仿宋_GB2312" w:eastAsia="仿宋_GB2312"/>
                <w:b w:val="0"/>
                <w:color w:val="000000"/>
                <w:sz w:val="32"/>
              </w:rPr>
              <w:t>烟台市发改委，2023</w:t>
            </w:r>
          </w:p>
        </w:tc>
      </w:tr>
      <w:tr>
        <w:tc>
          <w:tcPr>
            <w:tcW w:type="dxa" w:w="2551"/>
          </w:tcPr>
          <w:p>
            <w:pPr>
              <w:spacing w:lineRule="exact" w:line="600"/>
              <w:jc w:val="center"/>
            </w:pPr>
            <w:r/>
            <w:r>
              <w:rPr>
                <w:rFonts w:ascii="仿宋_GB2312" w:hAnsi="仿宋_GB2312" w:eastAsia="仿宋_GB2312"/>
                <w:b w:val="0"/>
                <w:color w:val="000000"/>
                <w:sz w:val="32"/>
              </w:rPr>
              <w:t>产业结构调整目录</w:t>
            </w:r>
          </w:p>
        </w:tc>
        <w:tc>
          <w:tcPr>
            <w:tcW w:type="dxa" w:w="3685"/>
          </w:tcPr>
          <w:p>
            <w:pPr>
              <w:spacing w:lineRule="exact" w:line="600"/>
              <w:jc w:val="center"/>
            </w:pPr>
            <w:r/>
            <w:r>
              <w:rPr>
                <w:rFonts w:ascii="仿宋_GB2312" w:hAnsi="仿宋_GB2312" w:eastAsia="仿宋_GB2312"/>
                <w:b w:val="0"/>
                <w:color w:val="000000"/>
                <w:sz w:val="32"/>
              </w:rPr>
              <w:t>液晶/OLED/沸石鼓励类</w:t>
            </w:r>
          </w:p>
        </w:tc>
        <w:tc>
          <w:tcPr>
            <w:tcW w:type="dxa" w:w="2551"/>
          </w:tcPr>
          <w:p>
            <w:pPr>
              <w:spacing w:lineRule="exact" w:line="600"/>
              <w:jc w:val="center"/>
            </w:pPr>
            <w:r/>
            <w:r>
              <w:rPr>
                <w:rFonts w:ascii="仿宋_GB2312" w:hAnsi="仿宋_GB2312" w:eastAsia="仿宋_GB2312"/>
                <w:b w:val="0"/>
                <w:color w:val="000000"/>
                <w:sz w:val="32"/>
              </w:rPr>
              <w:t>国家发改委，2024</w:t>
            </w:r>
          </w:p>
        </w:tc>
      </w:tr>
      <w:tr>
        <w:tc>
          <w:tcPr>
            <w:tcW w:type="dxa" w:w="2551"/>
          </w:tcPr>
          <w:p>
            <w:pPr>
              <w:spacing w:lineRule="exact" w:line="600"/>
              <w:jc w:val="center"/>
            </w:pPr>
            <w:r/>
            <w:r>
              <w:rPr>
                <w:rFonts w:ascii="仿宋_GB2312" w:hAnsi="仿宋_GB2312" w:eastAsia="仿宋_GB2312"/>
                <w:b w:val="0"/>
                <w:color w:val="000000"/>
                <w:sz w:val="32"/>
              </w:rPr>
              <w:t>化工园区十强</w:t>
            </w:r>
          </w:p>
        </w:tc>
        <w:tc>
          <w:tcPr>
            <w:tcW w:type="dxa" w:w="3685"/>
          </w:tcPr>
          <w:p>
            <w:pPr>
              <w:spacing w:lineRule="exact" w:line="600"/>
              <w:jc w:val="center"/>
            </w:pPr>
            <w:r/>
            <w:r>
              <w:rPr>
                <w:rFonts w:ascii="仿宋_GB2312" w:hAnsi="仿宋_GB2312" w:eastAsia="仿宋_GB2312"/>
                <w:b w:val="0"/>
                <w:color w:val="000000"/>
                <w:sz w:val="32"/>
              </w:rPr>
              <w:t>全国竞争力十强</w:t>
            </w:r>
          </w:p>
        </w:tc>
        <w:tc>
          <w:tcPr>
            <w:tcW w:type="dxa" w:w="2551"/>
          </w:tcPr>
          <w:p>
            <w:pPr>
              <w:spacing w:lineRule="exact" w:line="600"/>
              <w:jc w:val="center"/>
            </w:pPr>
            <w:r/>
            <w:r>
              <w:rPr>
                <w:rFonts w:ascii="仿宋_GB2312" w:hAnsi="仿宋_GB2312" w:eastAsia="仿宋_GB2312"/>
                <w:b w:val="0"/>
                <w:color w:val="000000"/>
                <w:sz w:val="32"/>
              </w:rPr>
              <w:t>中国化工经技中心，2025</w:t>
            </w:r>
          </w:p>
        </w:tc>
      </w:tr>
      <w:tr>
        <w:tc>
          <w:tcPr>
            <w:tcW w:type="dxa" w:w="2551"/>
          </w:tcPr>
          <w:p>
            <w:pPr>
              <w:spacing w:lineRule="exact" w:line="600"/>
              <w:jc w:val="center"/>
            </w:pPr>
            <w:r/>
            <w:r>
              <w:rPr>
                <w:rFonts w:ascii="仿宋_GB2312" w:hAnsi="仿宋_GB2312" w:eastAsia="仿宋_GB2312"/>
                <w:b w:val="0"/>
                <w:color w:val="000000"/>
                <w:sz w:val="32"/>
              </w:rPr>
              <w:t>战略性新兴产业集群</w:t>
            </w:r>
          </w:p>
        </w:tc>
        <w:tc>
          <w:tcPr>
            <w:tcW w:type="dxa" w:w="3685"/>
          </w:tcPr>
          <w:p>
            <w:pPr>
              <w:spacing w:lineRule="exact" w:line="600"/>
              <w:jc w:val="center"/>
            </w:pPr>
            <w:r/>
            <w:r>
              <w:rPr>
                <w:rFonts w:ascii="仿宋_GB2312" w:hAnsi="仿宋_GB2312" w:eastAsia="仿宋_GB2312"/>
                <w:b w:val="0"/>
                <w:color w:val="000000"/>
                <w:sz w:val="32"/>
              </w:rPr>
              <w:t>先进结构材料首批66个</w:t>
            </w:r>
          </w:p>
        </w:tc>
        <w:tc>
          <w:tcPr>
            <w:tcW w:type="dxa" w:w="2551"/>
          </w:tcPr>
          <w:p>
            <w:pPr>
              <w:spacing w:lineRule="exact" w:line="600"/>
              <w:jc w:val="center"/>
            </w:pPr>
            <w:r/>
            <w:r>
              <w:rPr>
                <w:rFonts w:ascii="仿宋_GB2312" w:hAnsi="仿宋_GB2312" w:eastAsia="仿宋_GB2312"/>
                <w:b w:val="0"/>
                <w:color w:val="000000"/>
                <w:sz w:val="32"/>
              </w:rPr>
              <w:t>国家发改委，2020</w:t>
            </w:r>
          </w:p>
        </w:tc>
      </w:tr>
      <w:tr>
        <w:tc>
          <w:tcPr>
            <w:tcW w:type="dxa" w:w="2551"/>
          </w:tcPr>
          <w:p>
            <w:pPr>
              <w:spacing w:lineRule="exact" w:line="600"/>
              <w:jc w:val="center"/>
            </w:pPr>
            <w:r/>
            <w:r>
              <w:rPr>
                <w:rFonts w:ascii="仿宋_GB2312" w:hAnsi="仿宋_GB2312" w:eastAsia="仿宋_GB2312"/>
                <w:b w:val="0"/>
                <w:color w:val="000000"/>
                <w:sz w:val="32"/>
              </w:rPr>
              <w:t>研发强度</w:t>
            </w:r>
          </w:p>
        </w:tc>
        <w:tc>
          <w:tcPr>
            <w:tcW w:type="dxa" w:w="3685"/>
          </w:tcPr>
          <w:p>
            <w:pPr>
              <w:spacing w:lineRule="exact" w:line="600"/>
              <w:jc w:val="center"/>
            </w:pPr>
            <w:r/>
            <w:r>
              <w:rPr>
                <w:rFonts w:ascii="仿宋_GB2312" w:hAnsi="仿宋_GB2312" w:eastAsia="仿宋_GB2312"/>
                <w:b w:val="0"/>
                <w:color w:val="000000"/>
                <w:sz w:val="32"/>
              </w:rPr>
              <w:t>3.5%以上</w:t>
            </w:r>
          </w:p>
        </w:tc>
        <w:tc>
          <w:tcPr>
            <w:tcW w:type="dxa" w:w="2551"/>
          </w:tcPr>
          <w:p>
            <w:pPr>
              <w:spacing w:lineRule="exact" w:line="600"/>
              <w:jc w:val="center"/>
            </w:pPr>
            <w:r/>
            <w:r>
              <w:rPr>
                <w:rFonts w:ascii="仿宋_GB2312" w:hAnsi="仿宋_GB2312" w:eastAsia="仿宋_GB2312"/>
                <w:b w:val="0"/>
                <w:color w:val="000000"/>
                <w:sz w:val="32"/>
              </w:rPr>
              <w:t>烟台开发区，2021</w:t>
            </w:r>
          </w:p>
        </w:tc>
      </w:tr>
    </w:tbl>
    <w:p>
      <w:pPr>
        <w:spacing w:lineRule="exact" w:line="600" w:before="120" w:after="120"/>
        <w:ind w:firstLine="420"/>
        <w:jc w:val="left"/>
      </w:pPr>
      <w:r>
        <w:rPr>
          <w:rFonts w:ascii="楷体_GB2312" w:hAnsi="楷体_GB2312" w:eastAsia="楷体_GB2312"/>
          <w:b w:val="0"/>
          <w:color w:val="000000"/>
          <w:sz w:val="32"/>
        </w:rPr>
        <w:t>全市工业与绿色石化支柱（本批真实数据补充·来源见正文）</w:t>
      </w:r>
    </w:p>
    <w:p>
      <w:pPr>
        <w:spacing w:lineRule="exact" w:line="600" w:before="0" w:after="0"/>
        <w:ind w:firstLine="420"/>
        <w:jc w:val="both"/>
      </w:pPr>
      <w:r>
        <w:rPr>
          <w:rFonts w:ascii="仿宋_GB2312" w:hAnsi="仿宋_GB2312" w:eastAsia="仿宋_GB2312"/>
          <w:b w:val="0"/>
          <w:color w:val="000000"/>
          <w:sz w:val="32"/>
        </w:rPr>
        <w:t>2024年烟台规上工业增加值增长9%，规上工业营业收入同比增长12.5%，利润总额673.1亿元、居全省首位；制造业企业2900多家，高新技术产业产值占比超60%。石化行业是支撑烟台经济的“台柱子”，绿色石化产业占全市规上工业比重约16.7%。（来源：经济日报2025年烟台头版、烟台市统计局口径）</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规上工业增加值增速</w:t>
            </w:r>
          </w:p>
        </w:tc>
        <w:tc>
          <w:tcPr>
            <w:tcW w:type="dxa" w:w="3118"/>
          </w:tcPr>
          <w:p>
            <w:pPr>
              <w:spacing w:lineRule="exact" w:line="600"/>
              <w:jc w:val="center"/>
            </w:pPr>
            <w:r/>
            <w:r>
              <w:rPr>
                <w:rFonts w:ascii="仿宋_GB2312" w:hAnsi="仿宋_GB2312" w:eastAsia="仿宋_GB2312"/>
                <w:b w:val="0"/>
                <w:color w:val="000000"/>
                <w:sz w:val="32"/>
              </w:rPr>
              <w:t>9%（2024）</w:t>
            </w:r>
          </w:p>
        </w:tc>
        <w:tc>
          <w:tcPr>
            <w:tcW w:type="dxa" w:w="2551"/>
          </w:tcPr>
          <w:p>
            <w:pPr>
              <w:spacing w:lineRule="exact" w:line="600"/>
              <w:jc w:val="center"/>
            </w:pPr>
            <w:r/>
            <w:r>
              <w:rPr>
                <w:rFonts w:ascii="仿宋_GB2312" w:hAnsi="仿宋_GB2312" w:eastAsia="仿宋_GB2312"/>
                <w:b w:val="0"/>
                <w:color w:val="000000"/>
                <w:sz w:val="32"/>
              </w:rPr>
              <w:t>高于全省0.7个百分点</w:t>
            </w:r>
          </w:p>
        </w:tc>
      </w:tr>
      <w:tr>
        <w:tc>
          <w:tcPr>
            <w:tcW w:type="dxa" w:w="2835"/>
          </w:tcPr>
          <w:p>
            <w:pPr>
              <w:spacing w:lineRule="exact" w:line="600"/>
              <w:jc w:val="center"/>
            </w:pPr>
            <w:r/>
            <w:r>
              <w:rPr>
                <w:rFonts w:ascii="仿宋_GB2312" w:hAnsi="仿宋_GB2312" w:eastAsia="仿宋_GB2312"/>
                <w:b w:val="0"/>
                <w:color w:val="000000"/>
                <w:sz w:val="32"/>
              </w:rPr>
              <w:t>规上工业利润总额</w:t>
            </w:r>
          </w:p>
        </w:tc>
        <w:tc>
          <w:tcPr>
            <w:tcW w:type="dxa" w:w="3118"/>
          </w:tcPr>
          <w:p>
            <w:pPr>
              <w:spacing w:lineRule="exact" w:line="600"/>
              <w:jc w:val="center"/>
            </w:pPr>
            <w:r/>
            <w:r>
              <w:rPr>
                <w:rFonts w:ascii="仿宋_GB2312" w:hAnsi="仿宋_GB2312" w:eastAsia="仿宋_GB2312"/>
                <w:b w:val="0"/>
                <w:color w:val="000000"/>
                <w:sz w:val="32"/>
              </w:rPr>
              <w:t>673.1亿元</w:t>
            </w:r>
          </w:p>
        </w:tc>
        <w:tc>
          <w:tcPr>
            <w:tcW w:type="dxa" w:w="2551"/>
          </w:tcPr>
          <w:p>
            <w:pPr>
              <w:spacing w:lineRule="exact" w:line="600"/>
              <w:jc w:val="center"/>
            </w:pPr>
            <w:r/>
            <w:r>
              <w:rPr>
                <w:rFonts w:ascii="仿宋_GB2312" w:hAnsi="仿宋_GB2312" w:eastAsia="仿宋_GB2312"/>
                <w:b w:val="0"/>
                <w:color w:val="000000"/>
                <w:sz w:val="32"/>
              </w:rPr>
              <w:t>居全省首位</w:t>
            </w:r>
          </w:p>
        </w:tc>
      </w:tr>
      <w:tr>
        <w:tc>
          <w:tcPr>
            <w:tcW w:type="dxa" w:w="2835"/>
          </w:tcPr>
          <w:p>
            <w:pPr>
              <w:spacing w:lineRule="exact" w:line="600"/>
              <w:jc w:val="center"/>
            </w:pPr>
            <w:r/>
            <w:r>
              <w:rPr>
                <w:rFonts w:ascii="仿宋_GB2312" w:hAnsi="仿宋_GB2312" w:eastAsia="仿宋_GB2312"/>
                <w:b w:val="0"/>
                <w:color w:val="000000"/>
                <w:sz w:val="32"/>
              </w:rPr>
              <w:t>制造业企业数量</w:t>
            </w:r>
          </w:p>
        </w:tc>
        <w:tc>
          <w:tcPr>
            <w:tcW w:type="dxa" w:w="3118"/>
          </w:tcPr>
          <w:p>
            <w:pPr>
              <w:spacing w:lineRule="exact" w:line="600"/>
              <w:jc w:val="center"/>
            </w:pPr>
            <w:r/>
            <w:r>
              <w:rPr>
                <w:rFonts w:ascii="仿宋_GB2312" w:hAnsi="仿宋_GB2312" w:eastAsia="仿宋_GB2312"/>
                <w:b w:val="0"/>
                <w:color w:val="000000"/>
                <w:sz w:val="32"/>
              </w:rPr>
              <w:t>2900多家</w:t>
            </w:r>
          </w:p>
        </w:tc>
        <w:tc>
          <w:tcPr>
            <w:tcW w:type="dxa" w:w="2551"/>
          </w:tcPr>
          <w:p>
            <w:pPr>
              <w:spacing w:lineRule="exact" w:line="600"/>
              <w:jc w:val="center"/>
            </w:pPr>
            <w:r/>
            <w:r>
              <w:rPr>
                <w:rFonts w:ascii="仿宋_GB2312" w:hAnsi="仿宋_GB2312" w:eastAsia="仿宋_GB2312"/>
                <w:b w:val="0"/>
                <w:color w:val="000000"/>
                <w:sz w:val="32"/>
              </w:rPr>
              <w:t>立市之本</w:t>
            </w:r>
          </w:p>
        </w:tc>
      </w:tr>
      <w:tr>
        <w:tc>
          <w:tcPr>
            <w:tcW w:type="dxa" w:w="2835"/>
          </w:tcPr>
          <w:p>
            <w:pPr>
              <w:spacing w:lineRule="exact" w:line="600"/>
              <w:jc w:val="center"/>
            </w:pPr>
            <w:r/>
            <w:r>
              <w:rPr>
                <w:rFonts w:ascii="仿宋_GB2312" w:hAnsi="仿宋_GB2312" w:eastAsia="仿宋_GB2312"/>
                <w:b w:val="0"/>
                <w:color w:val="000000"/>
                <w:sz w:val="32"/>
              </w:rPr>
              <w:t>高新技术产业产值占比</w:t>
            </w:r>
          </w:p>
        </w:tc>
        <w:tc>
          <w:tcPr>
            <w:tcW w:type="dxa" w:w="3118"/>
          </w:tcPr>
          <w:p>
            <w:pPr>
              <w:spacing w:lineRule="exact" w:line="600"/>
              <w:jc w:val="center"/>
            </w:pPr>
            <w:r/>
            <w:r>
              <w:rPr>
                <w:rFonts w:ascii="仿宋_GB2312" w:hAnsi="仿宋_GB2312" w:eastAsia="仿宋_GB2312"/>
                <w:b w:val="0"/>
                <w:color w:val="000000"/>
                <w:sz w:val="32"/>
              </w:rPr>
              <w:t>超60%</w:t>
            </w:r>
          </w:p>
        </w:tc>
        <w:tc>
          <w:tcPr>
            <w:tcW w:type="dxa" w:w="2551"/>
          </w:tcPr>
          <w:p>
            <w:pPr>
              <w:spacing w:lineRule="exact" w:line="600"/>
              <w:jc w:val="center"/>
            </w:pPr>
            <w:r/>
            <w:r>
              <w:rPr>
                <w:rFonts w:ascii="仿宋_GB2312" w:hAnsi="仿宋_GB2312" w:eastAsia="仿宋_GB2312"/>
                <w:b w:val="0"/>
                <w:color w:val="000000"/>
                <w:sz w:val="32"/>
              </w:rPr>
              <w:t>新动能主导</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（一）上游原料</w:t>
      </w:r>
    </w:p>
    <w:p>
      <w:pPr>
        <w:spacing w:lineRule="exact" w:line="600" w:before="0" w:after="0"/>
        <w:ind w:firstLine="420"/>
        <w:jc w:val="both"/>
      </w:pPr>
      <w:r>
        <w:rPr>
          <w:rFonts w:ascii="仿宋_GB2312" w:hAnsi="仿宋_GB2312" w:eastAsia="仿宋_GB2312"/>
          <w:b w:val="0"/>
          <w:color w:val="000000"/>
          <w:sz w:val="32"/>
        </w:rPr>
        <w:t>化工新材料合成上游为纯苯、LPG、丙烷、电石、煤炭等大宗原料。万华化学石化业务以C2/C3/C4烯烃衍生物为主，依托PO/AE一体化与大乙烯装置，2024年蓬莱一期PDH项目一次性开车成功，并引进境外LPG战略投资者保障原料；2025年初烟台25万吨/年LDPE装置开车成功，迈入高端聚烯烃领域。万润上游为一般化学品，沸石分子筛用于车用尾气净化催化剂。</w:t>
      </w:r>
    </w:p>
    <w:p>
      <w:pPr>
        <w:spacing w:lineRule="exact" w:line="600" w:before="120" w:after="120"/>
        <w:ind w:firstLine="420"/>
        <w:jc w:val="left"/>
      </w:pPr>
      <w:r>
        <w:rPr>
          <w:rFonts w:ascii="楷体_GB2312" w:hAnsi="楷体_GB2312" w:eastAsia="楷体_GB2312"/>
          <w:b w:val="0"/>
          <w:color w:val="000000"/>
          <w:sz w:val="32"/>
        </w:rPr>
        <w:t>（二）中游合成制造</w:t>
      </w:r>
    </w:p>
    <w:p>
      <w:pPr>
        <w:spacing w:lineRule="exact" w:line="600" w:before="0" w:after="0"/>
        <w:ind w:firstLine="420"/>
        <w:jc w:val="both"/>
      </w:pPr>
      <w:r>
        <w:rPr>
          <w:rFonts w:ascii="仿宋_GB2312" w:hAnsi="仿宋_GB2312" w:eastAsia="仿宋_GB2312"/>
          <w:b w:val="0"/>
          <w:color w:val="000000"/>
          <w:sz w:val="32"/>
        </w:rPr>
        <w:t>中游为核心合成环节：万华的MDI/TDI异氰酸酯、聚醚多元醇、ADI系列、聚碳酸酯、尼龙12、TPU、POE等；万润的液晶单体、沸石环保材料、OLED材料、聚酰亚胺。万华MDI产能380万吨/年、TDI 111万吨/年、聚醚159万吨/年，均全球第一；万润沸石环保材料理论产能近万吨，为全球柴油车用沸石领先供应商。合成工艺涵盖有机合成、高分子聚合、纯化等多类，技术壁垒高。</w:t>
      </w:r>
    </w:p>
    <w:p>
      <w:pPr>
        <w:spacing w:lineRule="exact" w:line="600" w:before="120" w:after="120"/>
        <w:ind w:firstLine="420"/>
        <w:jc w:val="left"/>
      </w:pPr>
      <w:r>
        <w:rPr>
          <w:rFonts w:ascii="楷体_GB2312" w:hAnsi="楷体_GB2312" w:eastAsia="楷体_GB2312"/>
          <w:b w:val="0"/>
          <w:color w:val="000000"/>
          <w:sz w:val="32"/>
        </w:rPr>
        <w:t>（三）下游延伸</w:t>
      </w:r>
    </w:p>
    <w:p>
      <w:pPr>
        <w:spacing w:lineRule="exact" w:line="600" w:before="0" w:after="0"/>
        <w:ind w:firstLine="420"/>
        <w:jc w:val="both"/>
      </w:pPr>
      <w:r>
        <w:rPr>
          <w:rFonts w:ascii="仿宋_GB2312" w:hAnsi="仿宋_GB2312" w:eastAsia="仿宋_GB2312"/>
          <w:b w:val="0"/>
          <w:color w:val="000000"/>
          <w:sz w:val="32"/>
        </w:rPr>
        <w:t>合成新材料向下游涂料、胶粘剂、汽车、家电、光伏、新能源电池、显示面板延伸。万华精细化学品及新材料板块含功能化学品、新材料、表面材料、高性能聚合物、电池科技等业务单元；万润向下游面板、催化剂厂商供货。烟台本地聚氨酯软泡/硬泡、改性塑料、水性车用涂料支撑东岳汽车等本地汽车制造联动，形成「合成—制品—终端」链条。</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产业链环节</w:t>
            </w:r>
          </w:p>
        </w:tc>
        <w:tc>
          <w:tcPr>
            <w:tcW w:type="dxa" w:w="3685"/>
          </w:tcPr>
          <w:p>
            <w:pPr>
              <w:spacing w:lineRule="exact" w:line="600"/>
              <w:jc w:val="center"/>
            </w:pPr>
            <w:r/>
            <w:r>
              <w:rPr>
                <w:rFonts w:ascii="黑体" w:hAnsi="黑体" w:eastAsia="黑体"/>
                <w:b/>
                <w:color w:val="000000"/>
                <w:sz w:val="32"/>
              </w:rPr>
              <w:t>核心产品/产能</w:t>
            </w:r>
          </w:p>
        </w:tc>
        <w:tc>
          <w:tcPr>
            <w:tcW w:type="dxa" w:w="3685"/>
          </w:tcPr>
          <w:p>
            <w:pPr>
              <w:spacing w:lineRule="exact" w:line="600"/>
              <w:jc w:val="center"/>
            </w:pPr>
            <w:r/>
            <w:r>
              <w:rPr>
                <w:rFonts w:ascii="黑体" w:hAnsi="黑体" w:eastAsia="黑体"/>
                <w:b/>
                <w:color w:val="000000"/>
                <w:sz w:val="32"/>
              </w:rPr>
              <w:t>代表企业</w:t>
            </w:r>
          </w:p>
        </w:tc>
      </w:tr>
      <w:tr>
        <w:tc>
          <w:tcPr>
            <w:tcW w:type="dxa" w:w="1701"/>
          </w:tcPr>
          <w:p>
            <w:pPr>
              <w:spacing w:lineRule="exact" w:line="600"/>
              <w:jc w:val="center"/>
            </w:pPr>
            <w:r/>
            <w:r>
              <w:rPr>
                <w:rFonts w:ascii="仿宋_GB2312" w:hAnsi="仿宋_GB2312" w:eastAsia="仿宋_GB2312"/>
                <w:b w:val="0"/>
                <w:color w:val="000000"/>
                <w:sz w:val="32"/>
              </w:rPr>
              <w:t>上游原料</w:t>
            </w:r>
          </w:p>
        </w:tc>
        <w:tc>
          <w:tcPr>
            <w:tcW w:type="dxa" w:w="3685"/>
          </w:tcPr>
          <w:p>
            <w:pPr>
              <w:spacing w:lineRule="exact" w:line="600"/>
              <w:jc w:val="center"/>
            </w:pPr>
            <w:r/>
            <w:r>
              <w:rPr>
                <w:rFonts w:ascii="仿宋_GB2312" w:hAnsi="仿宋_GB2312" w:eastAsia="仿宋_GB2312"/>
                <w:b w:val="0"/>
                <w:color w:val="000000"/>
                <w:sz w:val="32"/>
              </w:rPr>
              <w:t>纯苯/LPG/丙烷/煤炭</w:t>
            </w:r>
          </w:p>
        </w:tc>
        <w:tc>
          <w:tcPr>
            <w:tcW w:type="dxa" w:w="3685"/>
          </w:tcPr>
          <w:p>
            <w:pPr>
              <w:spacing w:lineRule="exact" w:line="600"/>
              <w:jc w:val="center"/>
            </w:pPr>
            <w:r/>
            <w:r>
              <w:rPr>
                <w:rFonts w:ascii="仿宋_GB2312" w:hAnsi="仿宋_GB2312" w:eastAsia="仿宋_GB2312"/>
                <w:b w:val="0"/>
                <w:color w:val="000000"/>
                <w:sz w:val="32"/>
              </w:rPr>
              <w:t>万华、万润供应链</w:t>
            </w:r>
          </w:p>
        </w:tc>
      </w:tr>
      <w:tr>
        <w:tc>
          <w:tcPr>
            <w:tcW w:type="dxa" w:w="1701"/>
          </w:tcPr>
          <w:p>
            <w:pPr>
              <w:spacing w:lineRule="exact" w:line="600"/>
              <w:jc w:val="center"/>
            </w:pPr>
            <w:r/>
            <w:r>
              <w:rPr>
                <w:rFonts w:ascii="仿宋_GB2312" w:hAnsi="仿宋_GB2312" w:eastAsia="仿宋_GB2312"/>
                <w:b w:val="0"/>
                <w:color w:val="000000"/>
                <w:sz w:val="32"/>
              </w:rPr>
              <w:t>中游合成</w:t>
            </w:r>
          </w:p>
        </w:tc>
        <w:tc>
          <w:tcPr>
            <w:tcW w:type="dxa" w:w="3685"/>
          </w:tcPr>
          <w:p>
            <w:pPr>
              <w:spacing w:lineRule="exact" w:line="600"/>
              <w:jc w:val="center"/>
            </w:pPr>
            <w:r/>
            <w:r>
              <w:rPr>
                <w:rFonts w:ascii="仿宋_GB2312" w:hAnsi="仿宋_GB2312" w:eastAsia="仿宋_GB2312"/>
                <w:b w:val="0"/>
                <w:color w:val="000000"/>
                <w:sz w:val="32"/>
              </w:rPr>
              <w:t>MDI 380万吨、聚醚159万吨</w:t>
            </w:r>
          </w:p>
        </w:tc>
        <w:tc>
          <w:tcPr>
            <w:tcW w:type="dxa" w:w="3685"/>
          </w:tcPr>
          <w:p>
            <w:pPr>
              <w:spacing w:lineRule="exact" w:line="600"/>
              <w:jc w:val="center"/>
            </w:pPr>
            <w:r/>
            <w:r>
              <w:rPr>
                <w:rFonts w:ascii="仿宋_GB2312" w:hAnsi="仿宋_GB2312" w:eastAsia="仿宋_GB2312"/>
                <w:b w:val="0"/>
                <w:color w:val="000000"/>
                <w:sz w:val="32"/>
              </w:rPr>
              <w:t>万华化学</w:t>
            </w:r>
          </w:p>
        </w:tc>
      </w:tr>
      <w:tr>
        <w:tc>
          <w:tcPr>
            <w:tcW w:type="dxa" w:w="1701"/>
          </w:tcPr>
          <w:p>
            <w:pPr>
              <w:spacing w:lineRule="exact" w:line="600"/>
              <w:jc w:val="center"/>
            </w:pPr>
            <w:r/>
            <w:r>
              <w:rPr>
                <w:rFonts w:ascii="仿宋_GB2312" w:hAnsi="仿宋_GB2312" w:eastAsia="仿宋_GB2312"/>
                <w:b w:val="0"/>
                <w:color w:val="000000"/>
                <w:sz w:val="32"/>
              </w:rPr>
              <w:t>中游合成</w:t>
            </w:r>
          </w:p>
        </w:tc>
        <w:tc>
          <w:tcPr>
            <w:tcW w:type="dxa" w:w="3685"/>
          </w:tcPr>
          <w:p>
            <w:pPr>
              <w:spacing w:lineRule="exact" w:line="600"/>
              <w:jc w:val="center"/>
            </w:pPr>
            <w:r/>
            <w:r>
              <w:rPr>
                <w:rFonts w:ascii="仿宋_GB2312" w:hAnsi="仿宋_GB2312" w:eastAsia="仿宋_GB2312"/>
                <w:b w:val="0"/>
                <w:color w:val="000000"/>
                <w:sz w:val="32"/>
              </w:rPr>
              <w:t>液晶单体、沸石近万吨</w:t>
            </w:r>
          </w:p>
        </w:tc>
        <w:tc>
          <w:tcPr>
            <w:tcW w:type="dxa" w:w="3685"/>
          </w:tcPr>
          <w:p>
            <w:pPr>
              <w:spacing w:lineRule="exact" w:line="600"/>
              <w:jc w:val="center"/>
            </w:pPr>
            <w:r/>
            <w:r>
              <w:rPr>
                <w:rFonts w:ascii="仿宋_GB2312" w:hAnsi="仿宋_GB2312" w:eastAsia="仿宋_GB2312"/>
                <w:b w:val="0"/>
                <w:color w:val="000000"/>
                <w:sz w:val="32"/>
              </w:rPr>
              <w:t>中节能万润</w:t>
            </w:r>
          </w:p>
        </w:tc>
      </w:tr>
      <w:tr>
        <w:tc>
          <w:tcPr>
            <w:tcW w:type="dxa" w:w="1701"/>
          </w:tcPr>
          <w:p>
            <w:pPr>
              <w:spacing w:lineRule="exact" w:line="600"/>
              <w:jc w:val="center"/>
            </w:pPr>
            <w:r/>
            <w:r>
              <w:rPr>
                <w:rFonts w:ascii="仿宋_GB2312" w:hAnsi="仿宋_GB2312" w:eastAsia="仿宋_GB2312"/>
                <w:b w:val="0"/>
                <w:color w:val="000000"/>
                <w:sz w:val="32"/>
              </w:rPr>
              <w:t>下游延伸</w:t>
            </w:r>
          </w:p>
        </w:tc>
        <w:tc>
          <w:tcPr>
            <w:tcW w:type="dxa" w:w="3685"/>
          </w:tcPr>
          <w:p>
            <w:pPr>
              <w:spacing w:lineRule="exact" w:line="600"/>
              <w:jc w:val="center"/>
            </w:pPr>
            <w:r/>
            <w:r>
              <w:rPr>
                <w:rFonts w:ascii="仿宋_GB2312" w:hAnsi="仿宋_GB2312" w:eastAsia="仿宋_GB2312"/>
                <w:b w:val="0"/>
                <w:color w:val="000000"/>
                <w:sz w:val="32"/>
              </w:rPr>
              <w:t>涂料/胶粘剂/电池材料</w:t>
            </w:r>
          </w:p>
        </w:tc>
        <w:tc>
          <w:tcPr>
            <w:tcW w:type="dxa" w:w="3685"/>
          </w:tcPr>
          <w:p>
            <w:pPr>
              <w:spacing w:lineRule="exact" w:line="600"/>
              <w:jc w:val="center"/>
            </w:pPr>
            <w:r/>
            <w:r>
              <w:rPr>
                <w:rFonts w:ascii="仿宋_GB2312" w:hAnsi="仿宋_GB2312" w:eastAsia="仿宋_GB2312"/>
                <w:b w:val="0"/>
                <w:color w:val="000000"/>
                <w:sz w:val="32"/>
              </w:rPr>
              <w:t>万华新材料板块</w:t>
            </w:r>
          </w:p>
        </w:tc>
      </w:tr>
      <w:tr>
        <w:tc>
          <w:tcPr>
            <w:tcW w:type="dxa" w:w="1701"/>
          </w:tcPr>
          <w:p>
            <w:pPr>
              <w:spacing w:lineRule="exact" w:line="600"/>
              <w:jc w:val="center"/>
            </w:pPr>
            <w:r/>
            <w:r>
              <w:rPr>
                <w:rFonts w:ascii="仿宋_GB2312" w:hAnsi="仿宋_GB2312" w:eastAsia="仿宋_GB2312"/>
                <w:b w:val="0"/>
                <w:color w:val="000000"/>
                <w:sz w:val="32"/>
              </w:rPr>
              <w:t>终端应用</w:t>
            </w:r>
          </w:p>
        </w:tc>
        <w:tc>
          <w:tcPr>
            <w:tcW w:type="dxa" w:w="3685"/>
          </w:tcPr>
          <w:p>
            <w:pPr>
              <w:spacing w:lineRule="exact" w:line="600"/>
              <w:jc w:val="center"/>
            </w:pPr>
            <w:r/>
            <w:r>
              <w:rPr>
                <w:rFonts w:ascii="仿宋_GB2312" w:hAnsi="仿宋_GB2312" w:eastAsia="仿宋_GB2312"/>
                <w:b w:val="0"/>
                <w:color w:val="000000"/>
                <w:sz w:val="32"/>
              </w:rPr>
              <w:t>汽车/家电/显示/新能源</w:t>
            </w:r>
          </w:p>
        </w:tc>
        <w:tc>
          <w:tcPr>
            <w:tcW w:type="dxa" w:w="3685"/>
          </w:tcPr>
          <w:p>
            <w:pPr>
              <w:spacing w:lineRule="exact" w:line="600"/>
              <w:jc w:val="center"/>
            </w:pPr>
            <w:r/>
            <w:r>
              <w:rPr>
                <w:rFonts w:ascii="仿宋_GB2312" w:hAnsi="仿宋_GB2312" w:eastAsia="仿宋_GB2312"/>
                <w:b w:val="0"/>
                <w:color w:val="000000"/>
                <w:sz w:val="32"/>
              </w:rPr>
              <w:t>东岳等本地联动</w:t>
            </w:r>
          </w:p>
        </w:tc>
      </w:tr>
    </w:tbl>
    <w:p>
      <w:pPr>
        <w:spacing w:lineRule="exact" w:line="600" w:before="120" w:after="120"/>
        <w:ind w:firstLine="420"/>
        <w:jc w:val="left"/>
      </w:pPr>
      <w:r>
        <w:rPr>
          <w:rFonts w:ascii="楷体_GB2312" w:hAnsi="楷体_GB2312" w:eastAsia="楷体_GB2312"/>
          <w:b w:val="0"/>
          <w:color w:val="000000"/>
          <w:sz w:val="32"/>
        </w:rPr>
        <w:t>从炼化到新材料的链式集群（本批真实数据补充·来源见正文）</w:t>
      </w:r>
    </w:p>
    <w:p>
      <w:pPr>
        <w:spacing w:lineRule="exact" w:line="600" w:before="0" w:after="0"/>
        <w:ind w:firstLine="420"/>
        <w:jc w:val="both"/>
      </w:pPr>
      <w:r>
        <w:rPr>
          <w:rFonts w:ascii="仿宋_GB2312" w:hAnsi="仿宋_GB2312" w:eastAsia="仿宋_GB2312"/>
          <w:b w:val="0"/>
          <w:color w:val="000000"/>
          <w:sz w:val="32"/>
        </w:rPr>
        <w:t>烟台依托万华化学、裕龙石化两大链主，布局裕龙石化、烟台化工、万华（蓬莱）新材料三大千亿级园区，形成“炼化—烯烃/芳烃—高端化工新材料”全产业链。烟台石化及化工新材料产业链规上企业由2021年底248家增至2024年328家，产值由953亿元增至1854亿元、年均增长19.1%。（来源：新华网2024、齐鲁网2025烟台绿色石化报道）</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环节/项目</w:t>
            </w:r>
          </w:p>
        </w:tc>
        <w:tc>
          <w:tcPr>
            <w:tcW w:type="dxa" w:w="3402"/>
          </w:tcPr>
          <w:p>
            <w:pPr>
              <w:spacing w:lineRule="exact" w:line="600"/>
              <w:jc w:val="center"/>
            </w:pPr>
            <w:r/>
            <w:r>
              <w:rPr>
                <w:rFonts w:ascii="黑体" w:hAnsi="黑体" w:eastAsia="黑体"/>
                <w:b/>
                <w:color w:val="000000"/>
                <w:sz w:val="32"/>
              </w:rPr>
              <w:t>规模</w:t>
            </w:r>
          </w:p>
        </w:tc>
        <w:tc>
          <w:tcPr>
            <w:tcW w:type="dxa" w:w="2268"/>
          </w:tcPr>
          <w:p>
            <w:pPr>
              <w:spacing w:lineRule="exact" w:line="600"/>
              <w:jc w:val="center"/>
            </w:pPr>
            <w:r/>
            <w:r>
              <w:rPr>
                <w:rFonts w:ascii="黑体" w:hAnsi="黑体" w:eastAsia="黑体"/>
                <w:b/>
                <w:color w:val="000000"/>
                <w:sz w:val="32"/>
              </w:rPr>
              <w:t>状态</w:t>
            </w:r>
          </w:p>
        </w:tc>
      </w:tr>
      <w:tr>
        <w:tc>
          <w:tcPr>
            <w:tcW w:type="dxa" w:w="3118"/>
          </w:tcPr>
          <w:p>
            <w:pPr>
              <w:spacing w:lineRule="exact" w:line="600"/>
              <w:jc w:val="center"/>
            </w:pPr>
            <w:r/>
            <w:r>
              <w:rPr>
                <w:rFonts w:ascii="仿宋_GB2312" w:hAnsi="仿宋_GB2312" w:eastAsia="仿宋_GB2312"/>
                <w:b w:val="0"/>
                <w:color w:val="000000"/>
                <w:sz w:val="32"/>
              </w:rPr>
              <w:t>产业链规上企业</w:t>
            </w:r>
          </w:p>
        </w:tc>
        <w:tc>
          <w:tcPr>
            <w:tcW w:type="dxa" w:w="3402"/>
          </w:tcPr>
          <w:p>
            <w:pPr>
              <w:spacing w:lineRule="exact" w:line="600"/>
              <w:jc w:val="center"/>
            </w:pPr>
            <w:r/>
            <w:r>
              <w:rPr>
                <w:rFonts w:ascii="仿宋_GB2312" w:hAnsi="仿宋_GB2312" w:eastAsia="仿宋_GB2312"/>
                <w:b w:val="0"/>
                <w:color w:val="000000"/>
                <w:sz w:val="32"/>
              </w:rPr>
              <w:t>328家（2024）</w:t>
            </w:r>
          </w:p>
        </w:tc>
        <w:tc>
          <w:tcPr>
            <w:tcW w:type="dxa" w:w="2268"/>
          </w:tcPr>
          <w:p>
            <w:pPr>
              <w:spacing w:lineRule="exact" w:line="600"/>
              <w:jc w:val="center"/>
            </w:pPr>
            <w:r/>
            <w:r>
              <w:rPr>
                <w:rFonts w:ascii="仿宋_GB2312" w:hAnsi="仿宋_GB2312" w:eastAsia="仿宋_GB2312"/>
                <w:b w:val="0"/>
                <w:color w:val="000000"/>
                <w:sz w:val="32"/>
              </w:rPr>
              <w:t>2021年为248家</w:t>
            </w:r>
          </w:p>
        </w:tc>
      </w:tr>
      <w:tr>
        <w:tc>
          <w:tcPr>
            <w:tcW w:type="dxa" w:w="3118"/>
          </w:tcPr>
          <w:p>
            <w:pPr>
              <w:spacing w:lineRule="exact" w:line="600"/>
              <w:jc w:val="center"/>
            </w:pPr>
            <w:r/>
            <w:r>
              <w:rPr>
                <w:rFonts w:ascii="仿宋_GB2312" w:hAnsi="仿宋_GB2312" w:eastAsia="仿宋_GB2312"/>
                <w:b w:val="0"/>
                <w:color w:val="000000"/>
                <w:sz w:val="32"/>
              </w:rPr>
              <w:t>产业链产值</w:t>
            </w:r>
          </w:p>
        </w:tc>
        <w:tc>
          <w:tcPr>
            <w:tcW w:type="dxa" w:w="3402"/>
          </w:tcPr>
          <w:p>
            <w:pPr>
              <w:spacing w:lineRule="exact" w:line="600"/>
              <w:jc w:val="center"/>
            </w:pPr>
            <w:r/>
            <w:r>
              <w:rPr>
                <w:rFonts w:ascii="仿宋_GB2312" w:hAnsi="仿宋_GB2312" w:eastAsia="仿宋_GB2312"/>
                <w:b w:val="0"/>
                <w:color w:val="000000"/>
                <w:sz w:val="32"/>
              </w:rPr>
              <w:t>1854亿元（2024）</w:t>
            </w:r>
          </w:p>
        </w:tc>
        <w:tc>
          <w:tcPr>
            <w:tcW w:type="dxa" w:w="2268"/>
          </w:tcPr>
          <w:p>
            <w:pPr>
              <w:spacing w:lineRule="exact" w:line="600"/>
              <w:jc w:val="center"/>
            </w:pPr>
            <w:r/>
            <w:r>
              <w:rPr>
                <w:rFonts w:ascii="仿宋_GB2312" w:hAnsi="仿宋_GB2312" w:eastAsia="仿宋_GB2312"/>
                <w:b w:val="0"/>
                <w:color w:val="000000"/>
                <w:sz w:val="32"/>
              </w:rPr>
              <w:t>年均增19.1%</w:t>
            </w:r>
          </w:p>
        </w:tc>
      </w:tr>
      <w:tr>
        <w:tc>
          <w:tcPr>
            <w:tcW w:type="dxa" w:w="3118"/>
          </w:tcPr>
          <w:p>
            <w:pPr>
              <w:spacing w:lineRule="exact" w:line="600"/>
              <w:jc w:val="center"/>
            </w:pPr>
            <w:r/>
            <w:r>
              <w:rPr>
                <w:rFonts w:ascii="仿宋_GB2312" w:hAnsi="仿宋_GB2312" w:eastAsia="仿宋_GB2312"/>
                <w:b w:val="0"/>
                <w:color w:val="000000"/>
                <w:sz w:val="32"/>
              </w:rPr>
              <w:t>万华新材料低碳产业园</w:t>
            </w:r>
          </w:p>
        </w:tc>
        <w:tc>
          <w:tcPr>
            <w:tcW w:type="dxa" w:w="3402"/>
          </w:tcPr>
          <w:p>
            <w:pPr>
              <w:spacing w:lineRule="exact" w:line="600"/>
              <w:jc w:val="center"/>
            </w:pPr>
            <w:r/>
            <w:r>
              <w:rPr>
                <w:rFonts w:ascii="仿宋_GB2312" w:hAnsi="仿宋_GB2312" w:eastAsia="仿宋_GB2312"/>
                <w:b w:val="0"/>
                <w:color w:val="000000"/>
                <w:sz w:val="32"/>
              </w:rPr>
              <w:t>规划投资1260亿元</w:t>
            </w:r>
          </w:p>
        </w:tc>
        <w:tc>
          <w:tcPr>
            <w:tcW w:type="dxa" w:w="2268"/>
          </w:tcPr>
          <w:p>
            <w:pPr>
              <w:spacing w:lineRule="exact" w:line="600"/>
              <w:jc w:val="center"/>
            </w:pPr>
            <w:r/>
            <w:r>
              <w:rPr>
                <w:rFonts w:ascii="仿宋_GB2312" w:hAnsi="仿宋_GB2312" w:eastAsia="仿宋_GB2312"/>
                <w:b w:val="0"/>
                <w:color w:val="000000"/>
                <w:sz w:val="32"/>
              </w:rPr>
              <w:t>预计总产值1350亿元</w:t>
            </w:r>
          </w:p>
        </w:tc>
      </w:tr>
      <w:tr>
        <w:tc>
          <w:tcPr>
            <w:tcW w:type="dxa" w:w="3118"/>
          </w:tcPr>
          <w:p>
            <w:pPr>
              <w:spacing w:lineRule="exact" w:line="600"/>
              <w:jc w:val="center"/>
            </w:pPr>
            <w:r/>
            <w:r>
              <w:rPr>
                <w:rFonts w:ascii="仿宋_GB2312" w:hAnsi="仿宋_GB2312" w:eastAsia="仿宋_GB2312"/>
                <w:b w:val="0"/>
                <w:color w:val="000000"/>
                <w:sz w:val="32"/>
              </w:rPr>
              <w:t>裕龙岛炼化一体化</w:t>
            </w:r>
          </w:p>
        </w:tc>
        <w:tc>
          <w:tcPr>
            <w:tcW w:type="dxa" w:w="3402"/>
          </w:tcPr>
          <w:p>
            <w:pPr>
              <w:spacing w:lineRule="exact" w:line="600"/>
              <w:jc w:val="center"/>
            </w:pPr>
            <w:r/>
            <w:r>
              <w:rPr>
                <w:rFonts w:ascii="仿宋_GB2312" w:hAnsi="仿宋_GB2312" w:eastAsia="仿宋_GB2312"/>
                <w:b w:val="0"/>
                <w:color w:val="000000"/>
                <w:sz w:val="32"/>
              </w:rPr>
              <w:t>一期核准1168亿元</w:t>
            </w:r>
          </w:p>
        </w:tc>
        <w:tc>
          <w:tcPr>
            <w:tcW w:type="dxa" w:w="2268"/>
          </w:tcPr>
          <w:p>
            <w:pPr>
              <w:spacing w:lineRule="exact" w:line="600"/>
              <w:jc w:val="center"/>
            </w:pPr>
            <w:r/>
            <w:r>
              <w:rPr>
                <w:rFonts w:ascii="仿宋_GB2312" w:hAnsi="仿宋_GB2312" w:eastAsia="仿宋_GB2312"/>
                <w:b w:val="0"/>
                <w:color w:val="000000"/>
                <w:sz w:val="32"/>
              </w:rPr>
              <w:t>炼油2000万吨/年</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（一）需求规模</w:t>
      </w:r>
    </w:p>
    <w:p>
      <w:pPr>
        <w:spacing w:lineRule="exact" w:line="600" w:before="0" w:after="0"/>
        <w:ind w:firstLine="420"/>
        <w:jc w:val="both"/>
      </w:pPr>
      <w:r>
        <w:rPr>
          <w:rFonts w:ascii="仿宋_GB2312" w:hAnsi="仿宋_GB2312" w:eastAsia="仿宋_GB2312"/>
          <w:b w:val="0"/>
          <w:color w:val="000000"/>
          <w:sz w:val="32"/>
        </w:rPr>
        <w:t>2024年全球化工需求温和，但中国石化化工总体规模大、集中度高。万华聚氨酯系列2025年一季度产量580万吨、同比+16.22%，销量同比+15.4%，显示需求稳健。MDI全球供需紧平衡，万华凭借380万吨产能（2026年扩至450万吨）主导定价；聚醚成为家电、家居、汽车、涂料核心供应商。万润液晶材料受益4K/8K与LCD大尺寸化，OLED材料受益折叠屏与IT中尺寸渗透。</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MDI全球呈寡头格局，万华、科思创、巴斯夫、亨斯迈为主，万华产能与成本居首。TDI万华111万吨（扩至144万吨）领先。液晶高端单体由德、中、日掌握，万润为全球领先单体供应商；沸石环保材料高度集中，万润与一家发达国家企业主导欧六标准供应。园区内万华、万润、美瑞、德邦等上市公司协同发展，2025年园区总营收1633亿元。</w:t>
      </w:r>
    </w:p>
    <w:p>
      <w:pPr>
        <w:spacing w:lineRule="exact" w:line="600" w:before="120" w:after="120"/>
        <w:ind w:firstLine="420"/>
        <w:jc w:val="left"/>
      </w:pPr>
      <w:r>
        <w:rPr>
          <w:rFonts w:ascii="楷体_GB2312" w:hAnsi="楷体_GB2312" w:eastAsia="楷体_GB2312"/>
          <w:b w:val="0"/>
          <w:color w:val="000000"/>
          <w:sz w:val="32"/>
        </w:rPr>
        <w:t>（三）价格与盈利波动</w:t>
      </w:r>
    </w:p>
    <w:p>
      <w:pPr>
        <w:spacing w:lineRule="exact" w:line="600" w:before="0" w:after="0"/>
        <w:ind w:firstLine="420"/>
        <w:jc w:val="both"/>
      </w:pPr>
      <w:r>
        <w:rPr>
          <w:rFonts w:ascii="仿宋_GB2312" w:hAnsi="仿宋_GB2312" w:eastAsia="仿宋_GB2312"/>
          <w:b w:val="0"/>
          <w:color w:val="000000"/>
          <w:sz w:val="32"/>
        </w:rPr>
        <w:t>2024年行业产能过剩、有效需求不足、价格下行，万华「增收不增利」：营收+3.83%但归母净利-22.49%，主因纯苯价格同比+14.5%、聚氨酯毛利率降至26.15%。万润受订单减少与毛利率变化影响营收-14.22%、净利-67.72%。显示合成环节强周期属性与原料价格敏感性。</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市场指标</w:t>
            </w:r>
          </w:p>
        </w:tc>
        <w:tc>
          <w:tcPr>
            <w:tcW w:type="dxa" w:w="3402"/>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551"/>
          </w:tcPr>
          <w:p>
            <w:pPr>
              <w:spacing w:lineRule="exact" w:line="600"/>
              <w:jc w:val="center"/>
            </w:pPr>
            <w:r/>
            <w:r>
              <w:rPr>
                <w:rFonts w:ascii="仿宋_GB2312" w:hAnsi="仿宋_GB2312" w:eastAsia="仿宋_GB2312"/>
                <w:b w:val="0"/>
                <w:color w:val="000000"/>
                <w:sz w:val="32"/>
              </w:rPr>
              <w:t>万华2024营收</w:t>
            </w:r>
          </w:p>
        </w:tc>
        <w:tc>
          <w:tcPr>
            <w:tcW w:type="dxa" w:w="3402"/>
          </w:tcPr>
          <w:p>
            <w:pPr>
              <w:spacing w:lineRule="exact" w:line="600"/>
              <w:jc w:val="center"/>
            </w:pPr>
            <w:r/>
            <w:r>
              <w:rPr>
                <w:rFonts w:ascii="仿宋_GB2312" w:hAnsi="仿宋_GB2312" w:eastAsia="仿宋_GB2312"/>
                <w:b w:val="0"/>
                <w:color w:val="000000"/>
                <w:sz w:val="32"/>
              </w:rPr>
              <w:t>1820.69亿元/+3.83%</w:t>
            </w:r>
          </w:p>
        </w:tc>
        <w:tc>
          <w:tcPr>
            <w:tcW w:type="dxa" w:w="3118"/>
          </w:tcPr>
          <w:p>
            <w:pPr>
              <w:spacing w:lineRule="exact" w:line="600"/>
              <w:jc w:val="center"/>
            </w:pPr>
            <w:r/>
            <w:r>
              <w:rPr>
                <w:rFonts w:ascii="仿宋_GB2312" w:hAnsi="仿宋_GB2312" w:eastAsia="仿宋_GB2312"/>
                <w:b w:val="0"/>
                <w:color w:val="000000"/>
                <w:sz w:val="32"/>
              </w:rPr>
              <w:t>万华年报，2024</w:t>
            </w:r>
          </w:p>
        </w:tc>
      </w:tr>
      <w:tr>
        <w:tc>
          <w:tcPr>
            <w:tcW w:type="dxa" w:w="2551"/>
          </w:tcPr>
          <w:p>
            <w:pPr>
              <w:spacing w:lineRule="exact" w:line="600"/>
              <w:jc w:val="center"/>
            </w:pPr>
            <w:r/>
            <w:r>
              <w:rPr>
                <w:rFonts w:ascii="仿宋_GB2312" w:hAnsi="仿宋_GB2312" w:eastAsia="仿宋_GB2312"/>
                <w:b w:val="0"/>
                <w:color w:val="000000"/>
                <w:sz w:val="32"/>
              </w:rPr>
              <w:t>万华归母净利</w:t>
            </w:r>
          </w:p>
        </w:tc>
        <w:tc>
          <w:tcPr>
            <w:tcW w:type="dxa" w:w="3402"/>
          </w:tcPr>
          <w:p>
            <w:pPr>
              <w:spacing w:lineRule="exact" w:line="600"/>
              <w:jc w:val="center"/>
            </w:pPr>
            <w:r/>
            <w:r>
              <w:rPr>
                <w:rFonts w:ascii="仿宋_GB2312" w:hAnsi="仿宋_GB2312" w:eastAsia="仿宋_GB2312"/>
                <w:b w:val="0"/>
                <w:color w:val="000000"/>
                <w:sz w:val="32"/>
              </w:rPr>
              <w:t>130.33亿元/-22.49%</w:t>
            </w:r>
          </w:p>
        </w:tc>
        <w:tc>
          <w:tcPr>
            <w:tcW w:type="dxa" w:w="3118"/>
          </w:tcPr>
          <w:p>
            <w:pPr>
              <w:spacing w:lineRule="exact" w:line="600"/>
              <w:jc w:val="center"/>
            </w:pPr>
            <w:r/>
            <w:r>
              <w:rPr>
                <w:rFonts w:ascii="仿宋_GB2312" w:hAnsi="仿宋_GB2312" w:eastAsia="仿宋_GB2312"/>
                <w:b w:val="0"/>
                <w:color w:val="000000"/>
                <w:sz w:val="32"/>
              </w:rPr>
              <w:t>万华年报，2024</w:t>
            </w:r>
          </w:p>
        </w:tc>
      </w:tr>
      <w:tr>
        <w:tc>
          <w:tcPr>
            <w:tcW w:type="dxa" w:w="2551"/>
          </w:tcPr>
          <w:p>
            <w:pPr>
              <w:spacing w:lineRule="exact" w:line="600"/>
              <w:jc w:val="center"/>
            </w:pPr>
            <w:r/>
            <w:r>
              <w:rPr>
                <w:rFonts w:ascii="仿宋_GB2312" w:hAnsi="仿宋_GB2312" w:eastAsia="仿宋_GB2312"/>
                <w:b w:val="0"/>
                <w:color w:val="000000"/>
                <w:sz w:val="32"/>
              </w:rPr>
              <w:t>MDI产能</w:t>
            </w:r>
          </w:p>
        </w:tc>
        <w:tc>
          <w:tcPr>
            <w:tcW w:type="dxa" w:w="3402"/>
          </w:tcPr>
          <w:p>
            <w:pPr>
              <w:spacing w:lineRule="exact" w:line="600"/>
              <w:jc w:val="center"/>
            </w:pPr>
            <w:r/>
            <w:r>
              <w:rPr>
                <w:rFonts w:ascii="仿宋_GB2312" w:hAnsi="仿宋_GB2312" w:eastAsia="仿宋_GB2312"/>
                <w:b w:val="0"/>
                <w:color w:val="000000"/>
                <w:sz w:val="32"/>
              </w:rPr>
              <w:t>380万吨/年（全球最大）</w:t>
            </w:r>
          </w:p>
        </w:tc>
        <w:tc>
          <w:tcPr>
            <w:tcW w:type="dxa" w:w="3118"/>
          </w:tcPr>
          <w:p>
            <w:pPr>
              <w:spacing w:lineRule="exact" w:line="600"/>
              <w:jc w:val="center"/>
            </w:pPr>
            <w:r/>
            <w:r>
              <w:rPr>
                <w:rFonts w:ascii="仿宋_GB2312" w:hAnsi="仿宋_GB2312" w:eastAsia="仿宋_GB2312"/>
                <w:b w:val="0"/>
                <w:color w:val="000000"/>
                <w:sz w:val="32"/>
              </w:rPr>
              <w:t>万华年报，2024</w:t>
            </w:r>
          </w:p>
        </w:tc>
      </w:tr>
      <w:tr>
        <w:tc>
          <w:tcPr>
            <w:tcW w:type="dxa" w:w="2551"/>
          </w:tcPr>
          <w:p>
            <w:pPr>
              <w:spacing w:lineRule="exact" w:line="600"/>
              <w:jc w:val="center"/>
            </w:pPr>
            <w:r/>
            <w:r>
              <w:rPr>
                <w:rFonts w:ascii="仿宋_GB2312" w:hAnsi="仿宋_GB2312" w:eastAsia="仿宋_GB2312"/>
                <w:b w:val="0"/>
                <w:color w:val="000000"/>
                <w:sz w:val="32"/>
              </w:rPr>
              <w:t>万华2025营收</w:t>
            </w:r>
          </w:p>
        </w:tc>
        <w:tc>
          <w:tcPr>
            <w:tcW w:type="dxa" w:w="3402"/>
          </w:tcPr>
          <w:p>
            <w:pPr>
              <w:spacing w:lineRule="exact" w:line="600"/>
              <w:jc w:val="center"/>
            </w:pPr>
            <w:r/>
            <w:r>
              <w:rPr>
                <w:rFonts w:ascii="仿宋_GB2312" w:hAnsi="仿宋_GB2312" w:eastAsia="仿宋_GB2312"/>
                <w:b w:val="0"/>
                <w:color w:val="000000"/>
                <w:sz w:val="32"/>
              </w:rPr>
              <w:t>2032.35亿元</w:t>
            </w:r>
          </w:p>
        </w:tc>
        <w:tc>
          <w:tcPr>
            <w:tcW w:type="dxa" w:w="3118"/>
          </w:tcPr>
          <w:p>
            <w:pPr>
              <w:spacing w:lineRule="exact" w:line="600"/>
              <w:jc w:val="center"/>
            </w:pPr>
            <w:r/>
            <w:r>
              <w:rPr>
                <w:rFonts w:ascii="仿宋_GB2312" w:hAnsi="仿宋_GB2312" w:eastAsia="仿宋_GB2312"/>
                <w:b w:val="0"/>
                <w:color w:val="000000"/>
                <w:sz w:val="32"/>
              </w:rPr>
              <w:t>烟台化工园，2025</w:t>
            </w:r>
          </w:p>
        </w:tc>
      </w:tr>
      <w:tr>
        <w:tc>
          <w:tcPr>
            <w:tcW w:type="dxa" w:w="2551"/>
          </w:tcPr>
          <w:p>
            <w:pPr>
              <w:spacing w:lineRule="exact" w:line="600"/>
              <w:jc w:val="center"/>
            </w:pPr>
            <w:r/>
            <w:r>
              <w:rPr>
                <w:rFonts w:ascii="仿宋_GB2312" w:hAnsi="仿宋_GB2312" w:eastAsia="仿宋_GB2312"/>
                <w:b w:val="0"/>
                <w:color w:val="000000"/>
                <w:sz w:val="32"/>
              </w:rPr>
              <w:t>园区总营收</w:t>
            </w:r>
          </w:p>
        </w:tc>
        <w:tc>
          <w:tcPr>
            <w:tcW w:type="dxa" w:w="3402"/>
          </w:tcPr>
          <w:p>
            <w:pPr>
              <w:spacing w:lineRule="exact" w:line="600"/>
              <w:jc w:val="center"/>
            </w:pPr>
            <w:r/>
            <w:r>
              <w:rPr>
                <w:rFonts w:ascii="仿宋_GB2312" w:hAnsi="仿宋_GB2312" w:eastAsia="仿宋_GB2312"/>
                <w:b w:val="0"/>
                <w:color w:val="000000"/>
                <w:sz w:val="32"/>
              </w:rPr>
              <w:t>1633亿元</w:t>
            </w:r>
          </w:p>
        </w:tc>
        <w:tc>
          <w:tcPr>
            <w:tcW w:type="dxa" w:w="3118"/>
          </w:tcPr>
          <w:p>
            <w:pPr>
              <w:spacing w:lineRule="exact" w:line="600"/>
              <w:jc w:val="center"/>
            </w:pPr>
            <w:r/>
            <w:r>
              <w:rPr>
                <w:rFonts w:ascii="仿宋_GB2312" w:hAnsi="仿宋_GB2312" w:eastAsia="仿宋_GB2312"/>
                <w:b w:val="0"/>
                <w:color w:val="000000"/>
                <w:sz w:val="32"/>
              </w:rPr>
              <w:t>烟台化工园，2025</w:t>
            </w:r>
          </w:p>
        </w:tc>
      </w:tr>
      <w:tr>
        <w:tc>
          <w:tcPr>
            <w:tcW w:type="dxa" w:w="2551"/>
          </w:tcPr>
          <w:p>
            <w:pPr>
              <w:spacing w:lineRule="exact" w:line="600"/>
              <w:jc w:val="center"/>
            </w:pPr>
            <w:r/>
            <w:r>
              <w:rPr>
                <w:rFonts w:ascii="仿宋_GB2312" w:hAnsi="仿宋_GB2312" w:eastAsia="仿宋_GB2312"/>
                <w:b w:val="0"/>
                <w:color w:val="000000"/>
                <w:sz w:val="32"/>
              </w:rPr>
              <w:t>万润营收</w:t>
            </w:r>
          </w:p>
        </w:tc>
        <w:tc>
          <w:tcPr>
            <w:tcW w:type="dxa" w:w="3402"/>
          </w:tcPr>
          <w:p>
            <w:pPr>
              <w:spacing w:lineRule="exact" w:line="600"/>
              <w:jc w:val="center"/>
            </w:pPr>
            <w:r/>
            <w:r>
              <w:rPr>
                <w:rFonts w:ascii="仿宋_GB2312" w:hAnsi="仿宋_GB2312" w:eastAsia="仿宋_GB2312"/>
                <w:b w:val="0"/>
                <w:color w:val="000000"/>
                <w:sz w:val="32"/>
              </w:rPr>
              <w:t>36.93亿元/-14.22%</w:t>
            </w:r>
          </w:p>
        </w:tc>
        <w:tc>
          <w:tcPr>
            <w:tcW w:type="dxa" w:w="3118"/>
          </w:tcPr>
          <w:p>
            <w:pPr>
              <w:spacing w:lineRule="exact" w:line="600"/>
              <w:jc w:val="center"/>
            </w:pPr>
            <w:r/>
            <w:r>
              <w:rPr>
                <w:rFonts w:ascii="仿宋_GB2312" w:hAnsi="仿宋_GB2312" w:eastAsia="仿宋_GB2312"/>
                <w:b w:val="0"/>
                <w:color w:val="000000"/>
                <w:sz w:val="32"/>
              </w:rPr>
              <w:t>万润年报，2024</w:t>
            </w:r>
          </w:p>
        </w:tc>
      </w:tr>
    </w:tbl>
    <w:p>
      <w:pPr>
        <w:spacing w:lineRule="exact" w:line="600" w:before="120" w:after="120"/>
        <w:ind w:firstLine="420"/>
        <w:jc w:val="left"/>
      </w:pPr>
      <w:r>
        <w:rPr>
          <w:rFonts w:ascii="楷体_GB2312" w:hAnsi="楷体_GB2312" w:eastAsia="楷体_GB2312"/>
          <w:b w:val="0"/>
          <w:color w:val="000000"/>
          <w:sz w:val="32"/>
        </w:rPr>
        <w:t>链主带动与梯次培育（本批真实数据补充·来源见正文）</w:t>
      </w:r>
    </w:p>
    <w:p>
      <w:pPr>
        <w:spacing w:lineRule="exact" w:line="600" w:before="0" w:after="0"/>
        <w:ind w:firstLine="420"/>
        <w:jc w:val="both"/>
      </w:pPr>
      <w:r>
        <w:rPr>
          <w:rFonts w:ascii="仿宋_GB2312" w:hAnsi="仿宋_GB2312" w:eastAsia="仿宋_GB2312"/>
          <w:b w:val="0"/>
          <w:color w:val="000000"/>
          <w:sz w:val="32"/>
        </w:rPr>
        <w:t>烟台发挥“链主”企业辐射力，梯度培育出9家国家级制造业单项冠军、17家专精特新“小巨人”、2家省级独角兽、18家制造业单项冠军、39家瞪羚、92家专精特新中小企业。2024年上半年石化化工产业实现利润104.9亿元、占全市规上工业34.2%。（来源：新华网2024烟台石化报道）</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企业类型</w:t>
            </w:r>
          </w:p>
        </w:tc>
        <w:tc>
          <w:tcPr>
            <w:tcW w:type="dxa" w:w="2835"/>
          </w:tcPr>
          <w:p>
            <w:pPr>
              <w:spacing w:lineRule="exact" w:line="600"/>
              <w:jc w:val="center"/>
            </w:pPr>
            <w:r/>
            <w:r>
              <w:rPr>
                <w:rFonts w:ascii="黑体" w:hAnsi="黑体" w:eastAsia="黑体"/>
                <w:b/>
                <w:color w:val="000000"/>
                <w:sz w:val="32"/>
              </w:rPr>
              <w:t>数量</w:t>
            </w:r>
          </w:p>
        </w:tc>
        <w:tc>
          <w:tcPr>
            <w:tcW w:type="dxa" w:w="2835"/>
          </w:tcPr>
          <w:p>
            <w:pPr>
              <w:spacing w:lineRule="exact" w:line="600"/>
              <w:jc w:val="center"/>
            </w:pPr>
            <w:r/>
            <w:r>
              <w:rPr>
                <w:rFonts w:ascii="黑体" w:hAnsi="黑体" w:eastAsia="黑体"/>
                <w:b/>
                <w:color w:val="000000"/>
                <w:sz w:val="32"/>
              </w:rPr>
              <w:t>层级</w:t>
            </w:r>
          </w:p>
        </w:tc>
      </w:tr>
      <w:tr>
        <w:tc>
          <w:tcPr>
            <w:tcW w:type="dxa" w:w="3118"/>
          </w:tcPr>
          <w:p>
            <w:pPr>
              <w:spacing w:lineRule="exact" w:line="600"/>
              <w:jc w:val="center"/>
            </w:pPr>
            <w:r/>
            <w:r>
              <w:rPr>
                <w:rFonts w:ascii="仿宋_GB2312" w:hAnsi="仿宋_GB2312" w:eastAsia="仿宋_GB2312"/>
                <w:b w:val="0"/>
                <w:color w:val="000000"/>
                <w:sz w:val="32"/>
              </w:rPr>
              <w:t>国家级制造业单项冠军</w:t>
            </w:r>
          </w:p>
        </w:tc>
        <w:tc>
          <w:tcPr>
            <w:tcW w:type="dxa" w:w="2835"/>
          </w:tcPr>
          <w:p>
            <w:pPr>
              <w:spacing w:lineRule="exact" w:line="600"/>
              <w:jc w:val="center"/>
            </w:pPr>
            <w:r/>
            <w:r>
              <w:rPr>
                <w:rFonts w:ascii="仿宋_GB2312" w:hAnsi="仿宋_GB2312" w:eastAsia="仿宋_GB2312"/>
                <w:b w:val="0"/>
                <w:color w:val="000000"/>
                <w:sz w:val="32"/>
              </w:rPr>
              <w:t>9家</w:t>
            </w:r>
          </w:p>
        </w:tc>
        <w:tc>
          <w:tcPr>
            <w:tcW w:type="dxa" w:w="2835"/>
          </w:tcPr>
          <w:p>
            <w:pPr>
              <w:spacing w:lineRule="exact" w:line="600"/>
              <w:jc w:val="center"/>
            </w:pPr>
            <w:r/>
            <w:r>
              <w:rPr>
                <w:rFonts w:ascii="仿宋_GB2312" w:hAnsi="仿宋_GB2312" w:eastAsia="仿宋_GB2312"/>
                <w:b w:val="0"/>
                <w:color w:val="000000"/>
                <w:sz w:val="32"/>
              </w:rPr>
              <w:t>国家级</w:t>
            </w:r>
          </w:p>
        </w:tc>
      </w:tr>
      <w:tr>
        <w:tc>
          <w:tcPr>
            <w:tcW w:type="dxa" w:w="3118"/>
          </w:tcPr>
          <w:p>
            <w:pPr>
              <w:spacing w:lineRule="exact" w:line="600"/>
              <w:jc w:val="center"/>
            </w:pPr>
            <w:r/>
            <w:r>
              <w:rPr>
                <w:rFonts w:ascii="仿宋_GB2312" w:hAnsi="仿宋_GB2312" w:eastAsia="仿宋_GB2312"/>
                <w:b w:val="0"/>
                <w:color w:val="000000"/>
                <w:sz w:val="32"/>
              </w:rPr>
              <w:t>专精特新“小巨人”</w:t>
            </w:r>
          </w:p>
        </w:tc>
        <w:tc>
          <w:tcPr>
            <w:tcW w:type="dxa" w:w="2835"/>
          </w:tcPr>
          <w:p>
            <w:pPr>
              <w:spacing w:lineRule="exact" w:line="600"/>
              <w:jc w:val="center"/>
            </w:pPr>
            <w:r/>
            <w:r>
              <w:rPr>
                <w:rFonts w:ascii="仿宋_GB2312" w:hAnsi="仿宋_GB2312" w:eastAsia="仿宋_GB2312"/>
                <w:b w:val="0"/>
                <w:color w:val="000000"/>
                <w:sz w:val="32"/>
              </w:rPr>
              <w:t>17家</w:t>
            </w:r>
          </w:p>
        </w:tc>
        <w:tc>
          <w:tcPr>
            <w:tcW w:type="dxa" w:w="2835"/>
          </w:tcPr>
          <w:p>
            <w:pPr>
              <w:spacing w:lineRule="exact" w:line="600"/>
              <w:jc w:val="center"/>
            </w:pPr>
            <w:r/>
            <w:r>
              <w:rPr>
                <w:rFonts w:ascii="仿宋_GB2312" w:hAnsi="仿宋_GB2312" w:eastAsia="仿宋_GB2312"/>
                <w:b w:val="0"/>
                <w:color w:val="000000"/>
                <w:sz w:val="32"/>
              </w:rPr>
              <w:t>国家级</w:t>
            </w:r>
          </w:p>
        </w:tc>
      </w:tr>
      <w:tr>
        <w:tc>
          <w:tcPr>
            <w:tcW w:type="dxa" w:w="3118"/>
          </w:tcPr>
          <w:p>
            <w:pPr>
              <w:spacing w:lineRule="exact" w:line="600"/>
              <w:jc w:val="center"/>
            </w:pPr>
            <w:r/>
            <w:r>
              <w:rPr>
                <w:rFonts w:ascii="仿宋_GB2312" w:hAnsi="仿宋_GB2312" w:eastAsia="仿宋_GB2312"/>
                <w:b w:val="0"/>
                <w:color w:val="000000"/>
                <w:sz w:val="32"/>
              </w:rPr>
              <w:t>省级独角兽企业</w:t>
            </w:r>
          </w:p>
        </w:tc>
        <w:tc>
          <w:tcPr>
            <w:tcW w:type="dxa" w:w="2835"/>
          </w:tcPr>
          <w:p>
            <w:pPr>
              <w:spacing w:lineRule="exact" w:line="600"/>
              <w:jc w:val="center"/>
            </w:pPr>
            <w:r/>
            <w:r>
              <w:rPr>
                <w:rFonts w:ascii="仿宋_GB2312" w:hAnsi="仿宋_GB2312" w:eastAsia="仿宋_GB2312"/>
                <w:b w:val="0"/>
                <w:color w:val="000000"/>
                <w:sz w:val="32"/>
              </w:rPr>
              <w:t>2家</w:t>
            </w:r>
          </w:p>
        </w:tc>
        <w:tc>
          <w:tcPr>
            <w:tcW w:type="dxa" w:w="2835"/>
          </w:tcPr>
          <w:p>
            <w:pPr>
              <w:spacing w:lineRule="exact" w:line="600"/>
              <w:jc w:val="center"/>
            </w:pPr>
            <w:r/>
            <w:r>
              <w:rPr>
                <w:rFonts w:ascii="仿宋_GB2312" w:hAnsi="仿宋_GB2312" w:eastAsia="仿宋_GB2312"/>
                <w:b w:val="0"/>
                <w:color w:val="000000"/>
                <w:sz w:val="32"/>
              </w:rPr>
              <w:t>省级</w:t>
            </w:r>
          </w:p>
        </w:tc>
      </w:tr>
      <w:tr>
        <w:tc>
          <w:tcPr>
            <w:tcW w:type="dxa" w:w="3118"/>
          </w:tcPr>
          <w:p>
            <w:pPr>
              <w:spacing w:lineRule="exact" w:line="600"/>
              <w:jc w:val="center"/>
            </w:pPr>
            <w:r/>
            <w:r>
              <w:rPr>
                <w:rFonts w:ascii="仿宋_GB2312" w:hAnsi="仿宋_GB2312" w:eastAsia="仿宋_GB2312"/>
                <w:b w:val="0"/>
                <w:color w:val="000000"/>
                <w:sz w:val="32"/>
              </w:rPr>
              <w:t>瞪羚企业</w:t>
            </w:r>
          </w:p>
        </w:tc>
        <w:tc>
          <w:tcPr>
            <w:tcW w:type="dxa" w:w="2835"/>
          </w:tcPr>
          <w:p>
            <w:pPr>
              <w:spacing w:lineRule="exact" w:line="600"/>
              <w:jc w:val="center"/>
            </w:pPr>
            <w:r/>
            <w:r>
              <w:rPr>
                <w:rFonts w:ascii="仿宋_GB2312" w:hAnsi="仿宋_GB2312" w:eastAsia="仿宋_GB2312"/>
                <w:b w:val="0"/>
                <w:color w:val="000000"/>
                <w:sz w:val="32"/>
              </w:rPr>
              <w:t>39家</w:t>
            </w:r>
          </w:p>
        </w:tc>
        <w:tc>
          <w:tcPr>
            <w:tcW w:type="dxa" w:w="2835"/>
          </w:tcPr>
          <w:p>
            <w:pPr>
              <w:spacing w:lineRule="exact" w:line="600"/>
              <w:jc w:val="center"/>
            </w:pPr>
            <w:r/>
            <w:r>
              <w:rPr>
                <w:rFonts w:ascii="仿宋_GB2312" w:hAnsi="仿宋_GB2312" w:eastAsia="仿宋_GB2312"/>
                <w:b w:val="0"/>
                <w:color w:val="000000"/>
                <w:sz w:val="32"/>
              </w:rPr>
              <w:t>省级</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（一）集群总体规模</w:t>
      </w:r>
    </w:p>
    <w:p>
      <w:pPr>
        <w:spacing w:lineRule="exact" w:line="600" w:before="0" w:after="0"/>
        <w:ind w:firstLine="420"/>
        <w:jc w:val="both"/>
      </w:pPr>
      <w:r>
        <w:rPr>
          <w:rFonts w:ascii="仿宋_GB2312" w:hAnsi="仿宋_GB2312" w:eastAsia="仿宋_GB2312"/>
          <w:b w:val="0"/>
          <w:color w:val="000000"/>
          <w:sz w:val="32"/>
        </w:rPr>
        <w:t>烟台化工产业园集聚超50家高端化工及新材料企业，形成四大特色主导产业集群；2025年总营收1633亿元、2026年一季度448亿元，跻身全国竞争力化工园区十强。烟台开发区化工新材料领域产值过亿元企业20余家，涵盖聚氨酯、高性能涂料、节能环保材料、精细化学品等20多种门类，2020年入选国家首批66个战略性新兴产业集群，拥有国家级制造业单项冠军3家、省级6家。</w:t>
      </w:r>
    </w:p>
    <w:p>
      <w:pPr>
        <w:spacing w:lineRule="exact" w:line="600" w:before="120" w:after="120"/>
        <w:ind w:firstLine="420"/>
        <w:jc w:val="left"/>
      </w:pPr>
      <w:r>
        <w:rPr>
          <w:rFonts w:ascii="楷体_GB2312" w:hAnsi="楷体_GB2312" w:eastAsia="楷体_GB2312"/>
          <w:b w:val="0"/>
          <w:color w:val="000000"/>
          <w:sz w:val="32"/>
        </w:rPr>
        <w:t>（二）龙头与骨干企业</w:t>
      </w:r>
    </w:p>
    <w:p>
      <w:pPr>
        <w:spacing w:lineRule="exact" w:line="600" w:before="0" w:after="0"/>
        <w:ind w:firstLine="420"/>
        <w:jc w:val="both"/>
      </w:pPr>
      <w:r>
        <w:rPr>
          <w:rFonts w:ascii="仿宋_GB2312" w:hAnsi="仿宋_GB2312" w:eastAsia="仿宋_GB2312"/>
          <w:b w:val="0"/>
          <w:color w:val="000000"/>
          <w:sz w:val="32"/>
        </w:rPr>
        <w:t>万华化学为绝对龙头，2024年营收1820.69亿元、总资产2933.33亿元，全球化工50强第16；中节能万润2024年营收36.93亿元，液晶与沸石全球领先；美瑞新材2025年营收17.47亿元、TPU产能近20万吨国内第一梯队；德邦科技2025年营收15.47亿元、同比+32.61%；此外富乐新材、汉高乐泰等特种胶粘剂企业协同。龙头企业引领、中小企业协同格局稳固。</w:t>
      </w:r>
    </w:p>
    <w:p>
      <w:pPr>
        <w:spacing w:lineRule="exact" w:line="600" w:before="120" w:after="120"/>
        <w:ind w:firstLine="420"/>
        <w:jc w:val="left"/>
      </w:pPr>
      <w:r>
        <w:rPr>
          <w:rFonts w:ascii="楷体_GB2312" w:hAnsi="楷体_GB2312" w:eastAsia="楷体_GB2312"/>
          <w:b w:val="0"/>
          <w:color w:val="000000"/>
          <w:sz w:val="32"/>
        </w:rPr>
        <w:t>（三）平台与配套</w:t>
      </w:r>
    </w:p>
    <w:p>
      <w:pPr>
        <w:spacing w:lineRule="exact" w:line="600" w:before="0" w:after="0"/>
        <w:ind w:firstLine="420"/>
        <w:jc w:val="both"/>
      </w:pPr>
      <w:r>
        <w:rPr>
          <w:rFonts w:ascii="仿宋_GB2312" w:hAnsi="仿宋_GB2312" w:eastAsia="仿宋_GB2312"/>
          <w:b w:val="0"/>
          <w:color w:val="000000"/>
          <w:sz w:val="32"/>
        </w:rPr>
        <w:t>园区拥有行业唯一的国家聚氨酯工程技术研究中心和国家工程实验室、7个国家级企业技术中心，芳纶与聚氨酯两大省级创新战略联盟，市级以上研发平台50余个。万华全球研发中心、烟台先进材料与绿色制造山东省实验室提供创新载体。国家轮胎质检、各类中试基地完善公共服务，支撑合成环节持续升级。</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企业</w:t>
            </w:r>
          </w:p>
        </w:tc>
        <w:tc>
          <w:tcPr>
            <w:tcW w:type="dxa" w:w="3685"/>
          </w:tcPr>
          <w:p>
            <w:pPr>
              <w:spacing w:lineRule="exact" w:line="600"/>
              <w:jc w:val="center"/>
            </w:pPr>
            <w:r/>
            <w:r>
              <w:rPr>
                <w:rFonts w:ascii="黑体" w:hAnsi="黑体" w:eastAsia="黑体"/>
                <w:b/>
                <w:color w:val="000000"/>
                <w:sz w:val="32"/>
              </w:rPr>
              <w:t>2024/2025营收</w:t>
            </w:r>
          </w:p>
        </w:tc>
        <w:tc>
          <w:tcPr>
            <w:tcW w:type="dxa" w:w="3402"/>
          </w:tcPr>
          <w:p>
            <w:pPr>
              <w:spacing w:lineRule="exact" w:line="600"/>
              <w:jc w:val="center"/>
            </w:pPr>
            <w:r/>
            <w:r>
              <w:rPr>
                <w:rFonts w:ascii="黑体" w:hAnsi="黑体" w:eastAsia="黑体"/>
                <w:b/>
                <w:color w:val="000000"/>
                <w:sz w:val="32"/>
              </w:rPr>
              <w:t>角色/资质</w:t>
            </w:r>
          </w:p>
        </w:tc>
      </w:tr>
      <w:tr>
        <w:tc>
          <w:tcPr>
            <w:tcW w:type="dxa" w:w="1984"/>
          </w:tcPr>
          <w:p>
            <w:pPr>
              <w:spacing w:lineRule="exact" w:line="600"/>
              <w:jc w:val="center"/>
            </w:pPr>
            <w:r/>
            <w:r>
              <w:rPr>
                <w:rFonts w:ascii="仿宋_GB2312" w:hAnsi="仿宋_GB2312" w:eastAsia="仿宋_GB2312"/>
                <w:b w:val="0"/>
                <w:color w:val="000000"/>
                <w:sz w:val="32"/>
              </w:rPr>
              <w:t>万华化学</w:t>
            </w:r>
          </w:p>
        </w:tc>
        <w:tc>
          <w:tcPr>
            <w:tcW w:type="dxa" w:w="3685"/>
          </w:tcPr>
          <w:p>
            <w:pPr>
              <w:spacing w:lineRule="exact" w:line="600"/>
              <w:jc w:val="center"/>
            </w:pPr>
            <w:r/>
            <w:r>
              <w:rPr>
                <w:rFonts w:ascii="仿宋_GB2312" w:hAnsi="仿宋_GB2312" w:eastAsia="仿宋_GB2312"/>
                <w:b w:val="0"/>
                <w:color w:val="000000"/>
                <w:sz w:val="32"/>
              </w:rPr>
              <w:t>1820.69亿/2032.35亿</w:t>
            </w:r>
          </w:p>
        </w:tc>
        <w:tc>
          <w:tcPr>
            <w:tcW w:type="dxa" w:w="3402"/>
          </w:tcPr>
          <w:p>
            <w:pPr>
              <w:spacing w:lineRule="exact" w:line="600"/>
              <w:jc w:val="center"/>
            </w:pPr>
            <w:r/>
            <w:r>
              <w:rPr>
                <w:rFonts w:ascii="仿宋_GB2312" w:hAnsi="仿宋_GB2312" w:eastAsia="仿宋_GB2312"/>
                <w:b w:val="0"/>
                <w:color w:val="000000"/>
                <w:sz w:val="32"/>
              </w:rPr>
              <w:t>全球化工50强第16</w:t>
            </w:r>
          </w:p>
        </w:tc>
      </w:tr>
      <w:tr>
        <w:tc>
          <w:tcPr>
            <w:tcW w:type="dxa" w:w="1984"/>
          </w:tcPr>
          <w:p>
            <w:pPr>
              <w:spacing w:lineRule="exact" w:line="600"/>
              <w:jc w:val="center"/>
            </w:pPr>
            <w:r/>
            <w:r>
              <w:rPr>
                <w:rFonts w:ascii="仿宋_GB2312" w:hAnsi="仿宋_GB2312" w:eastAsia="仿宋_GB2312"/>
                <w:b w:val="0"/>
                <w:color w:val="000000"/>
                <w:sz w:val="32"/>
              </w:rPr>
              <w:t>中节能万润</w:t>
            </w:r>
          </w:p>
        </w:tc>
        <w:tc>
          <w:tcPr>
            <w:tcW w:type="dxa" w:w="3685"/>
          </w:tcPr>
          <w:p>
            <w:pPr>
              <w:spacing w:lineRule="exact" w:line="600"/>
              <w:jc w:val="center"/>
            </w:pPr>
            <w:r/>
            <w:r>
              <w:rPr>
                <w:rFonts w:ascii="仿宋_GB2312" w:hAnsi="仿宋_GB2312" w:eastAsia="仿宋_GB2312"/>
                <w:b w:val="0"/>
                <w:color w:val="000000"/>
                <w:sz w:val="32"/>
              </w:rPr>
              <w:t>36.93亿元</w:t>
            </w:r>
          </w:p>
        </w:tc>
        <w:tc>
          <w:tcPr>
            <w:tcW w:type="dxa" w:w="3402"/>
          </w:tcPr>
          <w:p>
            <w:pPr>
              <w:spacing w:lineRule="exact" w:line="600"/>
              <w:jc w:val="center"/>
            </w:pPr>
            <w:r/>
            <w:r>
              <w:rPr>
                <w:rFonts w:ascii="仿宋_GB2312" w:hAnsi="仿宋_GB2312" w:eastAsia="仿宋_GB2312"/>
                <w:b w:val="0"/>
                <w:color w:val="000000"/>
                <w:sz w:val="32"/>
              </w:rPr>
              <w:t>液晶/沸石全球领先</w:t>
            </w:r>
          </w:p>
        </w:tc>
      </w:tr>
      <w:tr>
        <w:tc>
          <w:tcPr>
            <w:tcW w:type="dxa" w:w="1984"/>
          </w:tcPr>
          <w:p>
            <w:pPr>
              <w:spacing w:lineRule="exact" w:line="600"/>
              <w:jc w:val="center"/>
            </w:pPr>
            <w:r/>
            <w:r>
              <w:rPr>
                <w:rFonts w:ascii="仿宋_GB2312" w:hAnsi="仿宋_GB2312" w:eastAsia="仿宋_GB2312"/>
                <w:b w:val="0"/>
                <w:color w:val="000000"/>
                <w:sz w:val="32"/>
              </w:rPr>
              <w:t>美瑞新材</w:t>
            </w:r>
          </w:p>
        </w:tc>
        <w:tc>
          <w:tcPr>
            <w:tcW w:type="dxa" w:w="3685"/>
          </w:tcPr>
          <w:p>
            <w:pPr>
              <w:spacing w:lineRule="exact" w:line="600"/>
              <w:jc w:val="center"/>
            </w:pPr>
            <w:r/>
            <w:r>
              <w:rPr>
                <w:rFonts w:ascii="仿宋_GB2312" w:hAnsi="仿宋_GB2312" w:eastAsia="仿宋_GB2312"/>
                <w:b w:val="0"/>
                <w:color w:val="000000"/>
                <w:sz w:val="32"/>
              </w:rPr>
              <w:t>17.47亿元</w:t>
            </w:r>
          </w:p>
        </w:tc>
        <w:tc>
          <w:tcPr>
            <w:tcW w:type="dxa" w:w="3402"/>
          </w:tcPr>
          <w:p>
            <w:pPr>
              <w:spacing w:lineRule="exact" w:line="600"/>
              <w:jc w:val="center"/>
            </w:pPr>
            <w:r/>
            <w:r>
              <w:rPr>
                <w:rFonts w:ascii="仿宋_GB2312" w:hAnsi="仿宋_GB2312" w:eastAsia="仿宋_GB2312"/>
                <w:b w:val="0"/>
                <w:color w:val="000000"/>
                <w:sz w:val="32"/>
              </w:rPr>
              <w:t>TPU国内第一梯队</w:t>
            </w:r>
          </w:p>
        </w:tc>
      </w:tr>
      <w:tr>
        <w:tc>
          <w:tcPr>
            <w:tcW w:type="dxa" w:w="1984"/>
          </w:tcPr>
          <w:p>
            <w:pPr>
              <w:spacing w:lineRule="exact" w:line="600"/>
              <w:jc w:val="center"/>
            </w:pPr>
            <w:r/>
            <w:r>
              <w:rPr>
                <w:rFonts w:ascii="仿宋_GB2312" w:hAnsi="仿宋_GB2312" w:eastAsia="仿宋_GB2312"/>
                <w:b w:val="0"/>
                <w:color w:val="000000"/>
                <w:sz w:val="32"/>
              </w:rPr>
              <w:t>德邦科技</w:t>
            </w:r>
          </w:p>
        </w:tc>
        <w:tc>
          <w:tcPr>
            <w:tcW w:type="dxa" w:w="3685"/>
          </w:tcPr>
          <w:p>
            <w:pPr>
              <w:spacing w:lineRule="exact" w:line="600"/>
              <w:jc w:val="center"/>
            </w:pPr>
            <w:r/>
            <w:r>
              <w:rPr>
                <w:rFonts w:ascii="仿宋_GB2312" w:hAnsi="仿宋_GB2312" w:eastAsia="仿宋_GB2312"/>
                <w:b w:val="0"/>
                <w:color w:val="000000"/>
                <w:sz w:val="32"/>
              </w:rPr>
              <w:t>15.47亿元/+32.61%</w:t>
            </w:r>
          </w:p>
        </w:tc>
        <w:tc>
          <w:tcPr>
            <w:tcW w:type="dxa" w:w="3402"/>
          </w:tcPr>
          <w:p>
            <w:pPr>
              <w:spacing w:lineRule="exact" w:line="600"/>
              <w:jc w:val="center"/>
            </w:pPr>
            <w:r/>
            <w:r>
              <w:rPr>
                <w:rFonts w:ascii="仿宋_GB2312" w:hAnsi="仿宋_GB2312" w:eastAsia="仿宋_GB2312"/>
                <w:b w:val="0"/>
                <w:color w:val="000000"/>
                <w:sz w:val="32"/>
              </w:rPr>
              <w:t>特种胶粘剂</w:t>
            </w:r>
          </w:p>
        </w:tc>
      </w:tr>
      <w:tr>
        <w:tc>
          <w:tcPr>
            <w:tcW w:type="dxa" w:w="1984"/>
          </w:tcPr>
          <w:p>
            <w:pPr>
              <w:spacing w:lineRule="exact" w:line="600"/>
              <w:jc w:val="center"/>
            </w:pPr>
            <w:r/>
            <w:r>
              <w:rPr>
                <w:rFonts w:ascii="仿宋_GB2312" w:hAnsi="仿宋_GB2312" w:eastAsia="仿宋_GB2312"/>
                <w:b w:val="0"/>
                <w:color w:val="000000"/>
                <w:sz w:val="32"/>
              </w:rPr>
              <w:t>国家级平台</w:t>
            </w:r>
          </w:p>
        </w:tc>
        <w:tc>
          <w:tcPr>
            <w:tcW w:type="dxa" w:w="3685"/>
          </w:tcPr>
          <w:p>
            <w:pPr>
              <w:spacing w:lineRule="exact" w:line="600"/>
              <w:jc w:val="center"/>
            </w:pPr>
            <w:r/>
            <w:r>
              <w:rPr>
                <w:rFonts w:ascii="仿宋_GB2312" w:hAnsi="仿宋_GB2312" w:eastAsia="仿宋_GB2312"/>
                <w:b w:val="0"/>
                <w:color w:val="000000"/>
                <w:sz w:val="32"/>
              </w:rPr>
              <w:t>聚氨酯工程中心等</w:t>
            </w:r>
          </w:p>
        </w:tc>
        <w:tc>
          <w:tcPr>
            <w:tcW w:type="dxa" w:w="3402"/>
          </w:tcPr>
          <w:p>
            <w:pPr>
              <w:spacing w:lineRule="exact" w:line="600"/>
              <w:jc w:val="center"/>
            </w:pPr>
            <w:r/>
            <w:r>
              <w:rPr>
                <w:rFonts w:ascii="仿宋_GB2312" w:hAnsi="仿宋_GB2312" w:eastAsia="仿宋_GB2312"/>
                <w:b w:val="0"/>
                <w:color w:val="000000"/>
                <w:sz w:val="32"/>
              </w:rPr>
              <w:t>7个国家级技术中心</w:t>
            </w:r>
          </w:p>
        </w:tc>
      </w:tr>
    </w:tbl>
    <w:p>
      <w:pPr>
        <w:spacing w:lineRule="exact" w:line="600" w:before="120" w:after="120"/>
        <w:ind w:firstLine="420"/>
        <w:jc w:val="left"/>
      </w:pPr>
      <w:r>
        <w:rPr>
          <w:rFonts w:ascii="楷体_GB2312" w:hAnsi="楷体_GB2312" w:eastAsia="楷体_GB2312"/>
          <w:b w:val="0"/>
          <w:color w:val="000000"/>
          <w:sz w:val="32"/>
        </w:rPr>
        <w:t>园区载体与链主企业（本批真实数据补充·来源见正文）</w:t>
      </w:r>
    </w:p>
    <w:p>
      <w:pPr>
        <w:spacing w:lineRule="exact" w:line="600" w:before="0" w:after="0"/>
        <w:ind w:firstLine="420"/>
        <w:jc w:val="both"/>
      </w:pPr>
      <w:r>
        <w:rPr>
          <w:rFonts w:ascii="仿宋_GB2312" w:hAnsi="仿宋_GB2312" w:eastAsia="仿宋_GB2312"/>
          <w:b w:val="0"/>
          <w:color w:val="000000"/>
          <w:sz w:val="32"/>
        </w:rPr>
        <w:t>万华化学集团为全球化国有控股上市公司，国内外员工1.7万人；万华（蓬莱）新材料低碳产业园一期投资232亿元，建成后年产值约270亿元、利税约55亿元。裕龙岛炼化一体化全面投产后预计年销售收入1100亿元以上。到2024年底上游形成520万吨/年乙烯、448万吨/年丙烯产能。（来源：烟台投资促进局、新华网2024）</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主体/项目</w:t>
            </w:r>
          </w:p>
        </w:tc>
        <w:tc>
          <w:tcPr>
            <w:tcW w:type="dxa" w:w="3118"/>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万华化学员工</w:t>
            </w:r>
          </w:p>
        </w:tc>
        <w:tc>
          <w:tcPr>
            <w:tcW w:type="dxa" w:w="3118"/>
          </w:tcPr>
          <w:p>
            <w:pPr>
              <w:spacing w:lineRule="exact" w:line="600"/>
              <w:jc w:val="center"/>
            </w:pPr>
            <w:r/>
            <w:r>
              <w:rPr>
                <w:rFonts w:ascii="仿宋_GB2312" w:hAnsi="仿宋_GB2312" w:eastAsia="仿宋_GB2312"/>
                <w:b w:val="0"/>
                <w:color w:val="000000"/>
                <w:sz w:val="32"/>
              </w:rPr>
              <w:t>1.7万人</w:t>
            </w:r>
          </w:p>
        </w:tc>
        <w:tc>
          <w:tcPr>
            <w:tcW w:type="dxa" w:w="2551"/>
          </w:tcPr>
          <w:p>
            <w:pPr>
              <w:spacing w:lineRule="exact" w:line="600"/>
              <w:jc w:val="center"/>
            </w:pPr>
            <w:r/>
            <w:r>
              <w:rPr>
                <w:rFonts w:ascii="仿宋_GB2312" w:hAnsi="仿宋_GB2312" w:eastAsia="仿宋_GB2312"/>
                <w:b w:val="0"/>
                <w:color w:val="000000"/>
                <w:sz w:val="32"/>
              </w:rPr>
              <w:t>全球化运营</w:t>
            </w:r>
          </w:p>
        </w:tc>
      </w:tr>
      <w:tr>
        <w:tc>
          <w:tcPr>
            <w:tcW w:type="dxa" w:w="3118"/>
          </w:tcPr>
          <w:p>
            <w:pPr>
              <w:spacing w:lineRule="exact" w:line="600"/>
              <w:jc w:val="center"/>
            </w:pPr>
            <w:r/>
            <w:r>
              <w:rPr>
                <w:rFonts w:ascii="仿宋_GB2312" w:hAnsi="仿宋_GB2312" w:eastAsia="仿宋_GB2312"/>
                <w:b w:val="0"/>
                <w:color w:val="000000"/>
                <w:sz w:val="32"/>
              </w:rPr>
              <w:t>万华蓬莱一期年产值</w:t>
            </w:r>
          </w:p>
        </w:tc>
        <w:tc>
          <w:tcPr>
            <w:tcW w:type="dxa" w:w="3118"/>
          </w:tcPr>
          <w:p>
            <w:pPr>
              <w:spacing w:lineRule="exact" w:line="600"/>
              <w:jc w:val="center"/>
            </w:pPr>
            <w:r/>
            <w:r>
              <w:rPr>
                <w:rFonts w:ascii="仿宋_GB2312" w:hAnsi="仿宋_GB2312" w:eastAsia="仿宋_GB2312"/>
                <w:b w:val="0"/>
                <w:color w:val="000000"/>
                <w:sz w:val="32"/>
              </w:rPr>
              <w:t>约270亿元</w:t>
            </w:r>
          </w:p>
        </w:tc>
        <w:tc>
          <w:tcPr>
            <w:tcW w:type="dxa" w:w="2551"/>
          </w:tcPr>
          <w:p>
            <w:pPr>
              <w:spacing w:lineRule="exact" w:line="600"/>
              <w:jc w:val="center"/>
            </w:pPr>
            <w:r/>
            <w:r>
              <w:rPr>
                <w:rFonts w:ascii="仿宋_GB2312" w:hAnsi="仿宋_GB2312" w:eastAsia="仿宋_GB2312"/>
                <w:b w:val="0"/>
                <w:color w:val="000000"/>
                <w:sz w:val="32"/>
              </w:rPr>
              <w:t>投资232亿元</w:t>
            </w:r>
          </w:p>
        </w:tc>
      </w:tr>
      <w:tr>
        <w:tc>
          <w:tcPr>
            <w:tcW w:type="dxa" w:w="3118"/>
          </w:tcPr>
          <w:p>
            <w:pPr>
              <w:spacing w:lineRule="exact" w:line="600"/>
              <w:jc w:val="center"/>
            </w:pPr>
            <w:r/>
            <w:r>
              <w:rPr>
                <w:rFonts w:ascii="仿宋_GB2312" w:hAnsi="仿宋_GB2312" w:eastAsia="仿宋_GB2312"/>
                <w:b w:val="0"/>
                <w:color w:val="000000"/>
                <w:sz w:val="32"/>
              </w:rPr>
              <w:t>裕龙岛全面投产销售</w:t>
            </w:r>
          </w:p>
        </w:tc>
        <w:tc>
          <w:tcPr>
            <w:tcW w:type="dxa" w:w="3118"/>
          </w:tcPr>
          <w:p>
            <w:pPr>
              <w:spacing w:lineRule="exact" w:line="600"/>
              <w:jc w:val="center"/>
            </w:pPr>
            <w:r/>
            <w:r>
              <w:rPr>
                <w:rFonts w:ascii="仿宋_GB2312" w:hAnsi="仿宋_GB2312" w:eastAsia="仿宋_GB2312"/>
                <w:b w:val="0"/>
                <w:color w:val="000000"/>
                <w:sz w:val="32"/>
              </w:rPr>
              <w:t>1100亿元以上/年</w:t>
            </w:r>
          </w:p>
        </w:tc>
        <w:tc>
          <w:tcPr>
            <w:tcW w:type="dxa" w:w="2551"/>
          </w:tcPr>
          <w:p>
            <w:pPr>
              <w:spacing w:lineRule="exact" w:line="600"/>
              <w:jc w:val="center"/>
            </w:pPr>
            <w:r/>
            <w:r>
              <w:rPr>
                <w:rFonts w:ascii="仿宋_GB2312" w:hAnsi="仿宋_GB2312" w:eastAsia="仿宋_GB2312"/>
                <w:b w:val="0"/>
                <w:color w:val="000000"/>
                <w:sz w:val="32"/>
              </w:rPr>
              <w:t>炼化一体化</w:t>
            </w:r>
          </w:p>
        </w:tc>
      </w:tr>
      <w:tr>
        <w:tc>
          <w:tcPr>
            <w:tcW w:type="dxa" w:w="3118"/>
          </w:tcPr>
          <w:p>
            <w:pPr>
              <w:spacing w:lineRule="exact" w:line="600"/>
              <w:jc w:val="center"/>
            </w:pPr>
            <w:r/>
            <w:r>
              <w:rPr>
                <w:rFonts w:ascii="仿宋_GB2312" w:hAnsi="仿宋_GB2312" w:eastAsia="仿宋_GB2312"/>
                <w:b w:val="0"/>
                <w:color w:val="000000"/>
                <w:sz w:val="32"/>
              </w:rPr>
              <w:t>乙烯产能（2024底）</w:t>
            </w:r>
          </w:p>
        </w:tc>
        <w:tc>
          <w:tcPr>
            <w:tcW w:type="dxa" w:w="3118"/>
          </w:tcPr>
          <w:p>
            <w:pPr>
              <w:spacing w:lineRule="exact" w:line="600"/>
              <w:jc w:val="center"/>
            </w:pPr>
            <w:r/>
            <w:r>
              <w:rPr>
                <w:rFonts w:ascii="仿宋_GB2312" w:hAnsi="仿宋_GB2312" w:eastAsia="仿宋_GB2312"/>
                <w:b w:val="0"/>
                <w:color w:val="000000"/>
                <w:sz w:val="32"/>
              </w:rPr>
              <w:t>520万吨/年</w:t>
            </w:r>
          </w:p>
        </w:tc>
        <w:tc>
          <w:tcPr>
            <w:tcW w:type="dxa" w:w="2551"/>
          </w:tcPr>
          <w:p>
            <w:pPr>
              <w:spacing w:lineRule="exact" w:line="600"/>
              <w:jc w:val="center"/>
            </w:pPr>
            <w:r/>
            <w:r>
              <w:rPr>
                <w:rFonts w:ascii="仿宋_GB2312" w:hAnsi="仿宋_GB2312" w:eastAsia="仿宋_GB2312"/>
                <w:b w:val="0"/>
                <w:color w:val="000000"/>
                <w:sz w:val="32"/>
              </w:rPr>
              <w:t>全国城市首位</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（一）合成工艺与专利</w:t>
      </w:r>
    </w:p>
    <w:p>
      <w:pPr>
        <w:spacing w:lineRule="exact" w:line="600" w:before="0" w:after="0"/>
        <w:ind w:firstLine="420"/>
        <w:jc w:val="both"/>
      </w:pPr>
      <w:r>
        <w:rPr>
          <w:rFonts w:ascii="仿宋_GB2312" w:hAnsi="仿宋_GB2312" w:eastAsia="仿宋_GB2312"/>
          <w:b w:val="0"/>
          <w:color w:val="000000"/>
          <w:sz w:val="32"/>
        </w:rPr>
        <w:t>万华掌握MDI/TDI全产业链自主技术，多套装置采用自主开发先进技术，部分为突破国外垄断的「卡脖子」技术；2024年投产一期20万吨/年POE、4.8万吨/年柠檬醛、90万吨/年PDH、18万吨/年己二胺等。万润拥有超10000种化合物生产技术、超4000种已上市、发明专利760余项，研发强度11.46%。烟台开发区累计30余项技术国际首创或领先、50余项国内领先，发明专利1700余件。</w:t>
      </w:r>
    </w:p>
    <w:p>
      <w:pPr>
        <w:spacing w:lineRule="exact" w:line="600" w:before="120" w:after="120"/>
        <w:ind w:firstLine="420"/>
        <w:jc w:val="left"/>
      </w:pPr>
      <w:r>
        <w:rPr>
          <w:rFonts w:ascii="楷体_GB2312" w:hAnsi="楷体_GB2312" w:eastAsia="楷体_GB2312"/>
          <w:b w:val="0"/>
          <w:color w:val="000000"/>
          <w:sz w:val="32"/>
        </w:rPr>
        <w:t>（二）创新平台与人才</w:t>
      </w:r>
    </w:p>
    <w:p>
      <w:pPr>
        <w:spacing w:lineRule="exact" w:line="600" w:before="0" w:after="0"/>
        <w:ind w:firstLine="420"/>
        <w:jc w:val="both"/>
      </w:pPr>
      <w:r>
        <w:rPr>
          <w:rFonts w:ascii="仿宋_GB2312" w:hAnsi="仿宋_GB2312" w:eastAsia="仿宋_GB2312"/>
          <w:b w:val="0"/>
          <w:color w:val="000000"/>
          <w:sz w:val="32"/>
        </w:rPr>
        <w:t>园区研发投入强度3.5%以上，聚集新材料高科技人才5000余名（研发近2000名、高层次人才220余名、国家级专家6人、泰山系列20余人）。万华全球研发中心、烟台先进材料与绿色制造山东省实验室为前沿载体；万润建有CNAS认可分析测试中心。平台支撑从基础研究所到产业化贯通。</w:t>
      </w:r>
    </w:p>
    <w:p>
      <w:pPr>
        <w:spacing w:lineRule="exact" w:line="600" w:before="120" w:after="120"/>
        <w:ind w:firstLine="420"/>
        <w:jc w:val="left"/>
      </w:pPr>
      <w:r>
        <w:rPr>
          <w:rFonts w:ascii="楷体_GB2312" w:hAnsi="楷体_GB2312" w:eastAsia="楷体_GB2312"/>
          <w:b w:val="0"/>
          <w:color w:val="000000"/>
          <w:sz w:val="32"/>
        </w:rPr>
        <w:t>（三）绿色与高端合成</w:t>
      </w:r>
    </w:p>
    <w:p>
      <w:pPr>
        <w:spacing w:lineRule="exact" w:line="600" w:before="0" w:after="0"/>
        <w:ind w:firstLine="420"/>
        <w:jc w:val="both"/>
      </w:pPr>
      <w:r>
        <w:rPr>
          <w:rFonts w:ascii="仿宋_GB2312" w:hAnsi="仿宋_GB2312" w:eastAsia="仿宋_GB2312"/>
          <w:b w:val="0"/>
          <w:color w:val="000000"/>
          <w:sz w:val="32"/>
        </w:rPr>
        <w:t>万华开发ADI系列（脂肪族异氰酸酯）等「明珠」级产品，支撑动车白色涂料、航空航天；生物基、低碳工艺推进。万润沸石分子筛拓展至石油裂化、VOCs治理；聚酰亚胺（PI）、半导体材料布局前沿。园区项目多具高附加值、低能耗特征，向高端化精细化学品转型。</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创新指标</w:t>
            </w:r>
          </w:p>
        </w:tc>
        <w:tc>
          <w:tcPr>
            <w:tcW w:type="dxa" w:w="3402"/>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来源/年份</w:t>
            </w:r>
          </w:p>
        </w:tc>
      </w:tr>
      <w:tr>
        <w:tc>
          <w:tcPr>
            <w:tcW w:type="dxa" w:w="2268"/>
          </w:tcPr>
          <w:p>
            <w:pPr>
              <w:spacing w:lineRule="exact" w:line="600"/>
              <w:jc w:val="center"/>
            </w:pPr>
            <w:r/>
            <w:r>
              <w:rPr>
                <w:rFonts w:ascii="仿宋_GB2312" w:hAnsi="仿宋_GB2312" w:eastAsia="仿宋_GB2312"/>
                <w:b w:val="0"/>
                <w:color w:val="000000"/>
                <w:sz w:val="32"/>
              </w:rPr>
              <w:t>万华总资产</w:t>
            </w:r>
          </w:p>
        </w:tc>
        <w:tc>
          <w:tcPr>
            <w:tcW w:type="dxa" w:w="3402"/>
          </w:tcPr>
          <w:p>
            <w:pPr>
              <w:spacing w:lineRule="exact" w:line="600"/>
              <w:jc w:val="center"/>
            </w:pPr>
            <w:r/>
            <w:r>
              <w:rPr>
                <w:rFonts w:ascii="仿宋_GB2312" w:hAnsi="仿宋_GB2312" w:eastAsia="仿宋_GB2312"/>
                <w:b w:val="0"/>
                <w:color w:val="000000"/>
                <w:sz w:val="32"/>
              </w:rPr>
              <w:t>2933.33亿元</w:t>
            </w:r>
          </w:p>
        </w:tc>
        <w:tc>
          <w:tcPr>
            <w:tcW w:type="dxa" w:w="2835"/>
          </w:tcPr>
          <w:p>
            <w:pPr>
              <w:spacing w:lineRule="exact" w:line="600"/>
              <w:jc w:val="center"/>
            </w:pPr>
            <w:r/>
            <w:r>
              <w:rPr>
                <w:rFonts w:ascii="仿宋_GB2312" w:hAnsi="仿宋_GB2312" w:eastAsia="仿宋_GB2312"/>
                <w:b w:val="0"/>
                <w:color w:val="000000"/>
                <w:sz w:val="32"/>
              </w:rPr>
              <w:t>万华年报，2024</w:t>
            </w:r>
          </w:p>
        </w:tc>
      </w:tr>
      <w:tr>
        <w:tc>
          <w:tcPr>
            <w:tcW w:type="dxa" w:w="2268"/>
          </w:tcPr>
          <w:p>
            <w:pPr>
              <w:spacing w:lineRule="exact" w:line="600"/>
              <w:jc w:val="center"/>
            </w:pPr>
            <w:r/>
            <w:r>
              <w:rPr>
                <w:rFonts w:ascii="仿宋_GB2312" w:hAnsi="仿宋_GB2312" w:eastAsia="仿宋_GB2312"/>
                <w:b w:val="0"/>
                <w:color w:val="000000"/>
                <w:sz w:val="32"/>
              </w:rPr>
              <w:t>万华研发（隐含）</w:t>
            </w:r>
          </w:p>
        </w:tc>
        <w:tc>
          <w:tcPr>
            <w:tcW w:type="dxa" w:w="3402"/>
          </w:tcPr>
          <w:p>
            <w:pPr>
              <w:spacing w:lineRule="exact" w:line="600"/>
              <w:jc w:val="center"/>
            </w:pPr>
            <w:r/>
            <w:r>
              <w:rPr>
                <w:rFonts w:ascii="仿宋_GB2312" w:hAnsi="仿宋_GB2312" w:eastAsia="仿宋_GB2312"/>
                <w:b w:val="0"/>
                <w:color w:val="000000"/>
                <w:sz w:val="32"/>
              </w:rPr>
              <w:t>持续高投入</w:t>
            </w:r>
          </w:p>
        </w:tc>
        <w:tc>
          <w:tcPr>
            <w:tcW w:type="dxa" w:w="2835"/>
          </w:tcPr>
          <w:p>
            <w:pPr>
              <w:spacing w:lineRule="exact" w:line="600"/>
              <w:jc w:val="center"/>
            </w:pPr>
            <w:r/>
            <w:r>
              <w:rPr>
                <w:rFonts w:ascii="仿宋_GB2312" w:hAnsi="仿宋_GB2312" w:eastAsia="仿宋_GB2312"/>
                <w:b w:val="0"/>
                <w:color w:val="000000"/>
                <w:sz w:val="32"/>
              </w:rPr>
              <w:t>年报说明</w:t>
            </w:r>
          </w:p>
        </w:tc>
      </w:tr>
      <w:tr>
        <w:tc>
          <w:tcPr>
            <w:tcW w:type="dxa" w:w="2268"/>
          </w:tcPr>
          <w:p>
            <w:pPr>
              <w:spacing w:lineRule="exact" w:line="600"/>
              <w:jc w:val="center"/>
            </w:pPr>
            <w:r/>
            <w:r>
              <w:rPr>
                <w:rFonts w:ascii="仿宋_GB2312" w:hAnsi="仿宋_GB2312" w:eastAsia="仿宋_GB2312"/>
                <w:b w:val="0"/>
                <w:color w:val="000000"/>
                <w:sz w:val="32"/>
              </w:rPr>
              <w:t>万润研发占比</w:t>
            </w:r>
          </w:p>
        </w:tc>
        <w:tc>
          <w:tcPr>
            <w:tcW w:type="dxa" w:w="3402"/>
          </w:tcPr>
          <w:p>
            <w:pPr>
              <w:spacing w:lineRule="exact" w:line="600"/>
              <w:jc w:val="center"/>
            </w:pPr>
            <w:r/>
            <w:r>
              <w:rPr>
                <w:rFonts w:ascii="仿宋_GB2312" w:hAnsi="仿宋_GB2312" w:eastAsia="仿宋_GB2312"/>
                <w:b w:val="0"/>
                <w:color w:val="000000"/>
                <w:sz w:val="32"/>
              </w:rPr>
              <w:t>11.46%（4.23亿）</w:t>
            </w:r>
          </w:p>
        </w:tc>
        <w:tc>
          <w:tcPr>
            <w:tcW w:type="dxa" w:w="2835"/>
          </w:tcPr>
          <w:p>
            <w:pPr>
              <w:spacing w:lineRule="exact" w:line="600"/>
              <w:jc w:val="center"/>
            </w:pPr>
            <w:r/>
            <w:r>
              <w:rPr>
                <w:rFonts w:ascii="仿宋_GB2312" w:hAnsi="仿宋_GB2312" w:eastAsia="仿宋_GB2312"/>
                <w:b w:val="0"/>
                <w:color w:val="000000"/>
                <w:sz w:val="32"/>
              </w:rPr>
              <w:t>万润年报，2024</w:t>
            </w:r>
          </w:p>
        </w:tc>
      </w:tr>
      <w:tr>
        <w:tc>
          <w:tcPr>
            <w:tcW w:type="dxa" w:w="2268"/>
          </w:tcPr>
          <w:p>
            <w:pPr>
              <w:spacing w:lineRule="exact" w:line="600"/>
              <w:jc w:val="center"/>
            </w:pPr>
            <w:r/>
            <w:r>
              <w:rPr>
                <w:rFonts w:ascii="仿宋_GB2312" w:hAnsi="仿宋_GB2312" w:eastAsia="仿宋_GB2312"/>
                <w:b w:val="0"/>
                <w:color w:val="000000"/>
                <w:sz w:val="32"/>
              </w:rPr>
              <w:t>园区研发强度</w:t>
            </w:r>
          </w:p>
        </w:tc>
        <w:tc>
          <w:tcPr>
            <w:tcW w:type="dxa" w:w="3402"/>
          </w:tcPr>
          <w:p>
            <w:pPr>
              <w:spacing w:lineRule="exact" w:line="600"/>
              <w:jc w:val="center"/>
            </w:pPr>
            <w:r/>
            <w:r>
              <w:rPr>
                <w:rFonts w:ascii="仿宋_GB2312" w:hAnsi="仿宋_GB2312" w:eastAsia="仿宋_GB2312"/>
                <w:b w:val="0"/>
                <w:color w:val="000000"/>
                <w:sz w:val="32"/>
              </w:rPr>
              <w:t>3.5%以上</w:t>
            </w:r>
          </w:p>
        </w:tc>
        <w:tc>
          <w:tcPr>
            <w:tcW w:type="dxa" w:w="2835"/>
          </w:tcPr>
          <w:p>
            <w:pPr>
              <w:spacing w:lineRule="exact" w:line="600"/>
              <w:jc w:val="center"/>
            </w:pPr>
            <w:r/>
            <w:r>
              <w:rPr>
                <w:rFonts w:ascii="仿宋_GB2312" w:hAnsi="仿宋_GB2312" w:eastAsia="仿宋_GB2312"/>
                <w:b w:val="0"/>
                <w:color w:val="000000"/>
                <w:sz w:val="32"/>
              </w:rPr>
              <w:t>烟台开发区，2021</w:t>
            </w:r>
          </w:p>
        </w:tc>
      </w:tr>
      <w:tr>
        <w:tc>
          <w:tcPr>
            <w:tcW w:type="dxa" w:w="2268"/>
          </w:tcPr>
          <w:p>
            <w:pPr>
              <w:spacing w:lineRule="exact" w:line="600"/>
              <w:jc w:val="center"/>
            </w:pPr>
            <w:r/>
            <w:r>
              <w:rPr>
                <w:rFonts w:ascii="仿宋_GB2312" w:hAnsi="仿宋_GB2312" w:eastAsia="仿宋_GB2312"/>
                <w:b w:val="0"/>
                <w:color w:val="000000"/>
                <w:sz w:val="32"/>
              </w:rPr>
              <w:t>国际首创技术</w:t>
            </w:r>
          </w:p>
        </w:tc>
        <w:tc>
          <w:tcPr>
            <w:tcW w:type="dxa" w:w="3402"/>
          </w:tcPr>
          <w:p>
            <w:pPr>
              <w:spacing w:lineRule="exact" w:line="600"/>
              <w:jc w:val="center"/>
            </w:pPr>
            <w:r/>
            <w:r>
              <w:rPr>
                <w:rFonts w:ascii="仿宋_GB2312" w:hAnsi="仿宋_GB2312" w:eastAsia="仿宋_GB2312"/>
                <w:b w:val="0"/>
                <w:color w:val="000000"/>
                <w:sz w:val="32"/>
              </w:rPr>
              <w:t>30余项</w:t>
            </w:r>
          </w:p>
        </w:tc>
        <w:tc>
          <w:tcPr>
            <w:tcW w:type="dxa" w:w="2835"/>
          </w:tcPr>
          <w:p>
            <w:pPr>
              <w:spacing w:lineRule="exact" w:line="600"/>
              <w:jc w:val="center"/>
            </w:pPr>
            <w:r/>
            <w:r>
              <w:rPr>
                <w:rFonts w:ascii="仿宋_GB2312" w:hAnsi="仿宋_GB2312" w:eastAsia="仿宋_GB2312"/>
                <w:b w:val="0"/>
                <w:color w:val="000000"/>
                <w:sz w:val="32"/>
              </w:rPr>
              <w:t>烟台开发区，2021</w:t>
            </w:r>
          </w:p>
        </w:tc>
      </w:tr>
      <w:tr>
        <w:tc>
          <w:tcPr>
            <w:tcW w:type="dxa" w:w="2268"/>
          </w:tcPr>
          <w:p>
            <w:pPr>
              <w:spacing w:lineRule="exact" w:line="600"/>
              <w:jc w:val="center"/>
            </w:pPr>
            <w:r/>
            <w:r>
              <w:rPr>
                <w:rFonts w:ascii="仿宋_GB2312" w:hAnsi="仿宋_GB2312" w:eastAsia="仿宋_GB2312"/>
                <w:b w:val="0"/>
                <w:color w:val="000000"/>
                <w:sz w:val="32"/>
              </w:rPr>
              <w:t>发明专利（园区）</w:t>
            </w:r>
          </w:p>
        </w:tc>
        <w:tc>
          <w:tcPr>
            <w:tcW w:type="dxa" w:w="3402"/>
          </w:tcPr>
          <w:p>
            <w:pPr>
              <w:spacing w:lineRule="exact" w:line="600"/>
              <w:jc w:val="center"/>
            </w:pPr>
            <w:r/>
            <w:r>
              <w:rPr>
                <w:rFonts w:ascii="仿宋_GB2312" w:hAnsi="仿宋_GB2312" w:eastAsia="仿宋_GB2312"/>
                <w:b w:val="0"/>
                <w:color w:val="000000"/>
                <w:sz w:val="32"/>
              </w:rPr>
              <w:t>1700余件</w:t>
            </w:r>
          </w:p>
        </w:tc>
        <w:tc>
          <w:tcPr>
            <w:tcW w:type="dxa" w:w="2835"/>
          </w:tcPr>
          <w:p>
            <w:pPr>
              <w:spacing w:lineRule="exact" w:line="600"/>
              <w:jc w:val="center"/>
            </w:pPr>
            <w:r/>
            <w:r>
              <w:rPr>
                <w:rFonts w:ascii="仿宋_GB2312" w:hAnsi="仿宋_GB2312" w:eastAsia="仿宋_GB2312"/>
                <w:b w:val="0"/>
                <w:color w:val="000000"/>
                <w:sz w:val="32"/>
              </w:rPr>
              <w:t>烟台开发区，2021</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（一）原料成本</w:t>
      </w:r>
    </w:p>
    <w:p>
      <w:pPr>
        <w:spacing w:lineRule="exact" w:line="600" w:before="0" w:after="0"/>
        <w:ind w:firstLine="420"/>
        <w:jc w:val="both"/>
      </w:pPr>
      <w:r>
        <w:rPr>
          <w:rFonts w:ascii="仿宋_GB2312" w:hAnsi="仿宋_GB2312" w:eastAsia="仿宋_GB2312"/>
          <w:b w:val="0"/>
          <w:color w:val="000000"/>
          <w:sz w:val="32"/>
        </w:rPr>
        <w:t>合成环节成本受纯苯、LPG、煤炭等大宗价格主导。2024年纯苯价格同比+14.5%，直接挤压万华聚氨酯毛利（降至26.15%）；万润受原料与订单双重影响。万华通过引进LPG战略投资者、一体化装置平抑成本；蓬莱PDH、乙烯项目提升原料自给与深加工能力，增强抗周期能力。</w:t>
      </w:r>
    </w:p>
    <w:p>
      <w:pPr>
        <w:spacing w:lineRule="exact" w:line="600" w:before="120" w:after="120"/>
        <w:ind w:firstLine="420"/>
        <w:jc w:val="left"/>
      </w:pPr>
      <w:r>
        <w:rPr>
          <w:rFonts w:ascii="楷体_GB2312" w:hAnsi="楷体_GB2312" w:eastAsia="楷体_GB2312"/>
          <w:b w:val="0"/>
          <w:color w:val="000000"/>
          <w:sz w:val="32"/>
        </w:rPr>
        <w:t>（二）能耗与要素</w:t>
      </w:r>
    </w:p>
    <w:p>
      <w:pPr>
        <w:spacing w:lineRule="exact" w:line="600" w:before="0" w:after="0"/>
        <w:ind w:firstLine="420"/>
        <w:jc w:val="both"/>
      </w:pPr>
      <w:r>
        <w:rPr>
          <w:rFonts w:ascii="仿宋_GB2312" w:hAnsi="仿宋_GB2312" w:eastAsia="仿宋_GB2312"/>
          <w:b w:val="0"/>
          <w:color w:val="000000"/>
          <w:sz w:val="32"/>
        </w:rPr>
        <w:t>化工属高耗能行业，受能耗双控与碳排放约束。烟台化工产业园定位「高端低碳石化产业基地」，推进节能降碳与绿电应用；万华大乙烯、PDH等世界级规模装置单耗优。园区用地、能耗指标向高端项目倾斜，保障万华、万润扩建空间。</w:t>
      </w:r>
    </w:p>
    <w:p>
      <w:pPr>
        <w:spacing w:lineRule="exact" w:line="600" w:before="120" w:after="120"/>
        <w:ind w:firstLine="420"/>
        <w:jc w:val="left"/>
      </w:pPr>
      <w:r>
        <w:rPr>
          <w:rFonts w:ascii="楷体_GB2312" w:hAnsi="楷体_GB2312" w:eastAsia="楷体_GB2312"/>
          <w:b w:val="0"/>
          <w:color w:val="000000"/>
          <w:sz w:val="32"/>
        </w:rPr>
        <w:t>（三）资金保障</w:t>
      </w:r>
    </w:p>
    <w:p>
      <w:pPr>
        <w:spacing w:lineRule="exact" w:line="600" w:before="0" w:after="0"/>
        <w:ind w:firstLine="420"/>
        <w:jc w:val="both"/>
      </w:pPr>
      <w:r>
        <w:rPr>
          <w:rFonts w:ascii="仿宋_GB2312" w:hAnsi="仿宋_GB2312" w:eastAsia="仿宋_GB2312"/>
          <w:b w:val="0"/>
          <w:color w:val="000000"/>
          <w:sz w:val="32"/>
        </w:rPr>
        <w:t>万华2024年经营现金流净额300.54亿元，分红每10股7.30元，资金实力强；万润经营现金流109.63亿元。园区企业以自有资金+贷款+股权融资支撑扩产，万华福建、蓬莱项目及万润蓬莱一期（热塑性PI 1500吨）获多元融资。但重资产、长周期特征使资本开支压力较大。</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要素指标</w:t>
            </w:r>
          </w:p>
        </w:tc>
        <w:tc>
          <w:tcPr>
            <w:tcW w:type="dxa" w:w="368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来源/年份</w:t>
            </w:r>
          </w:p>
        </w:tc>
      </w:tr>
      <w:tr>
        <w:tc>
          <w:tcPr>
            <w:tcW w:type="dxa" w:w="2268"/>
          </w:tcPr>
          <w:p>
            <w:pPr>
              <w:spacing w:lineRule="exact" w:line="600"/>
              <w:jc w:val="center"/>
            </w:pPr>
            <w:r/>
            <w:r>
              <w:rPr>
                <w:rFonts w:ascii="仿宋_GB2312" w:hAnsi="仿宋_GB2312" w:eastAsia="仿宋_GB2312"/>
                <w:b w:val="0"/>
                <w:color w:val="000000"/>
                <w:sz w:val="32"/>
              </w:rPr>
              <w:t>万华经营现金流</w:t>
            </w:r>
          </w:p>
        </w:tc>
        <w:tc>
          <w:tcPr>
            <w:tcW w:type="dxa" w:w="3685"/>
          </w:tcPr>
          <w:p>
            <w:pPr>
              <w:spacing w:lineRule="exact" w:line="600"/>
              <w:jc w:val="center"/>
            </w:pPr>
            <w:r/>
            <w:r>
              <w:rPr>
                <w:rFonts w:ascii="仿宋_GB2312" w:hAnsi="仿宋_GB2312" w:eastAsia="仿宋_GB2312"/>
                <w:b w:val="0"/>
                <w:color w:val="000000"/>
                <w:sz w:val="32"/>
              </w:rPr>
              <w:t>300.54亿元</w:t>
            </w:r>
          </w:p>
        </w:tc>
        <w:tc>
          <w:tcPr>
            <w:tcW w:type="dxa" w:w="2551"/>
          </w:tcPr>
          <w:p>
            <w:pPr>
              <w:spacing w:lineRule="exact" w:line="600"/>
              <w:jc w:val="center"/>
            </w:pPr>
            <w:r/>
            <w:r>
              <w:rPr>
                <w:rFonts w:ascii="仿宋_GB2312" w:hAnsi="仿宋_GB2312" w:eastAsia="仿宋_GB2312"/>
                <w:b w:val="0"/>
                <w:color w:val="000000"/>
                <w:sz w:val="32"/>
              </w:rPr>
              <w:t>万华年报，2024</w:t>
            </w:r>
          </w:p>
        </w:tc>
      </w:tr>
      <w:tr>
        <w:tc>
          <w:tcPr>
            <w:tcW w:type="dxa" w:w="2268"/>
          </w:tcPr>
          <w:p>
            <w:pPr>
              <w:spacing w:lineRule="exact" w:line="600"/>
              <w:jc w:val="center"/>
            </w:pPr>
            <w:r/>
            <w:r>
              <w:rPr>
                <w:rFonts w:ascii="仿宋_GB2312" w:hAnsi="仿宋_GB2312" w:eastAsia="仿宋_GB2312"/>
                <w:b w:val="0"/>
                <w:color w:val="000000"/>
                <w:sz w:val="32"/>
              </w:rPr>
              <w:t>万华总资产</w:t>
            </w:r>
          </w:p>
        </w:tc>
        <w:tc>
          <w:tcPr>
            <w:tcW w:type="dxa" w:w="3685"/>
          </w:tcPr>
          <w:p>
            <w:pPr>
              <w:spacing w:lineRule="exact" w:line="600"/>
              <w:jc w:val="center"/>
            </w:pPr>
            <w:r/>
            <w:r>
              <w:rPr>
                <w:rFonts w:ascii="仿宋_GB2312" w:hAnsi="仿宋_GB2312" w:eastAsia="仿宋_GB2312"/>
                <w:b w:val="0"/>
                <w:color w:val="000000"/>
                <w:sz w:val="32"/>
              </w:rPr>
              <w:t>2933.33亿元/+15.92%</w:t>
            </w:r>
          </w:p>
        </w:tc>
        <w:tc>
          <w:tcPr>
            <w:tcW w:type="dxa" w:w="2551"/>
          </w:tcPr>
          <w:p>
            <w:pPr>
              <w:spacing w:lineRule="exact" w:line="600"/>
              <w:jc w:val="center"/>
            </w:pPr>
            <w:r/>
            <w:r>
              <w:rPr>
                <w:rFonts w:ascii="仿宋_GB2312" w:hAnsi="仿宋_GB2312" w:eastAsia="仿宋_GB2312"/>
                <w:b w:val="0"/>
                <w:color w:val="000000"/>
                <w:sz w:val="32"/>
              </w:rPr>
              <w:t>万华年报，2024</w:t>
            </w:r>
          </w:p>
        </w:tc>
      </w:tr>
      <w:tr>
        <w:tc>
          <w:tcPr>
            <w:tcW w:type="dxa" w:w="2268"/>
          </w:tcPr>
          <w:p>
            <w:pPr>
              <w:spacing w:lineRule="exact" w:line="600"/>
              <w:jc w:val="center"/>
            </w:pPr>
            <w:r/>
            <w:r>
              <w:rPr>
                <w:rFonts w:ascii="仿宋_GB2312" w:hAnsi="仿宋_GB2312" w:eastAsia="仿宋_GB2312"/>
                <w:b w:val="0"/>
                <w:color w:val="000000"/>
                <w:sz w:val="32"/>
              </w:rPr>
              <w:t>纯苯价格涨幅</w:t>
            </w:r>
          </w:p>
        </w:tc>
        <w:tc>
          <w:tcPr>
            <w:tcW w:type="dxa" w:w="3685"/>
          </w:tcPr>
          <w:p>
            <w:pPr>
              <w:spacing w:lineRule="exact" w:line="600"/>
              <w:jc w:val="center"/>
            </w:pPr>
            <w:r/>
            <w:r>
              <w:rPr>
                <w:rFonts w:ascii="仿宋_GB2312" w:hAnsi="仿宋_GB2312" w:eastAsia="仿宋_GB2312"/>
                <w:b w:val="0"/>
                <w:color w:val="000000"/>
                <w:sz w:val="32"/>
              </w:rPr>
              <w:t>+14.5%</w:t>
            </w:r>
          </w:p>
        </w:tc>
        <w:tc>
          <w:tcPr>
            <w:tcW w:type="dxa" w:w="2551"/>
          </w:tcPr>
          <w:p>
            <w:pPr>
              <w:spacing w:lineRule="exact" w:line="600"/>
              <w:jc w:val="center"/>
            </w:pPr>
            <w:r/>
            <w:r>
              <w:rPr>
                <w:rFonts w:ascii="仿宋_GB2312" w:hAnsi="仿宋_GB2312" w:eastAsia="仿宋_GB2312"/>
                <w:b w:val="0"/>
                <w:color w:val="000000"/>
                <w:sz w:val="32"/>
              </w:rPr>
              <w:t>万华年报，2024</w:t>
            </w:r>
          </w:p>
        </w:tc>
      </w:tr>
      <w:tr>
        <w:tc>
          <w:tcPr>
            <w:tcW w:type="dxa" w:w="2268"/>
          </w:tcPr>
          <w:p>
            <w:pPr>
              <w:spacing w:lineRule="exact" w:line="600"/>
              <w:jc w:val="center"/>
            </w:pPr>
            <w:r/>
            <w:r>
              <w:rPr>
                <w:rFonts w:ascii="仿宋_GB2312" w:hAnsi="仿宋_GB2312" w:eastAsia="仿宋_GB2312"/>
                <w:b w:val="0"/>
                <w:color w:val="000000"/>
                <w:sz w:val="32"/>
              </w:rPr>
              <w:t>万润经营现金流</w:t>
            </w:r>
          </w:p>
        </w:tc>
        <w:tc>
          <w:tcPr>
            <w:tcW w:type="dxa" w:w="3685"/>
          </w:tcPr>
          <w:p>
            <w:pPr>
              <w:spacing w:lineRule="exact" w:line="600"/>
              <w:jc w:val="center"/>
            </w:pPr>
            <w:r/>
            <w:r>
              <w:rPr>
                <w:rFonts w:ascii="仿宋_GB2312" w:hAnsi="仿宋_GB2312" w:eastAsia="仿宋_GB2312"/>
                <w:b w:val="0"/>
                <w:color w:val="000000"/>
                <w:sz w:val="32"/>
              </w:rPr>
              <w:t>109.63亿元</w:t>
            </w:r>
          </w:p>
        </w:tc>
        <w:tc>
          <w:tcPr>
            <w:tcW w:type="dxa" w:w="2551"/>
          </w:tcPr>
          <w:p>
            <w:pPr>
              <w:spacing w:lineRule="exact" w:line="600"/>
              <w:jc w:val="center"/>
            </w:pPr>
            <w:r/>
            <w:r>
              <w:rPr>
                <w:rFonts w:ascii="仿宋_GB2312" w:hAnsi="仿宋_GB2312" w:eastAsia="仿宋_GB2312"/>
                <w:b w:val="0"/>
                <w:color w:val="000000"/>
                <w:sz w:val="32"/>
              </w:rPr>
              <w:t>万润年报，2024</w:t>
            </w:r>
          </w:p>
        </w:tc>
      </w:tr>
      <w:tr>
        <w:tc>
          <w:tcPr>
            <w:tcW w:type="dxa" w:w="2268"/>
          </w:tcPr>
          <w:p>
            <w:pPr>
              <w:spacing w:lineRule="exact" w:line="600"/>
              <w:jc w:val="center"/>
            </w:pPr>
            <w:r/>
            <w:r>
              <w:rPr>
                <w:rFonts w:ascii="仿宋_GB2312" w:hAnsi="仿宋_GB2312" w:eastAsia="仿宋_GB2312"/>
                <w:b w:val="0"/>
                <w:color w:val="000000"/>
                <w:sz w:val="32"/>
              </w:rPr>
              <w:t>万华分红</w:t>
            </w:r>
          </w:p>
        </w:tc>
        <w:tc>
          <w:tcPr>
            <w:tcW w:type="dxa" w:w="3685"/>
          </w:tcPr>
          <w:p>
            <w:pPr>
              <w:spacing w:lineRule="exact" w:line="600"/>
              <w:jc w:val="center"/>
            </w:pPr>
            <w:r/>
            <w:r>
              <w:rPr>
                <w:rFonts w:ascii="仿宋_GB2312" w:hAnsi="仿宋_GB2312" w:eastAsia="仿宋_GB2312"/>
                <w:b w:val="0"/>
                <w:color w:val="000000"/>
                <w:sz w:val="32"/>
              </w:rPr>
              <w:t>每10股7.30元</w:t>
            </w:r>
          </w:p>
        </w:tc>
        <w:tc>
          <w:tcPr>
            <w:tcW w:type="dxa" w:w="2551"/>
          </w:tcPr>
          <w:p>
            <w:pPr>
              <w:spacing w:lineRule="exact" w:line="600"/>
              <w:jc w:val="center"/>
            </w:pPr>
            <w:r/>
            <w:r>
              <w:rPr>
                <w:rFonts w:ascii="仿宋_GB2312" w:hAnsi="仿宋_GB2312" w:eastAsia="仿宋_GB2312"/>
                <w:b w:val="0"/>
                <w:color w:val="000000"/>
                <w:sz w:val="32"/>
              </w:rPr>
              <w:t>万华年报，2024</w:t>
            </w:r>
          </w:p>
        </w:tc>
      </w:tr>
    </w:tbl>
    <w:p>
      <w:pPr>
        <w:spacing w:lineRule="exact" w:line="600" w:before="120" w:after="120"/>
        <w:ind w:firstLine="420"/>
        <w:jc w:val="left"/>
      </w:pPr>
      <w:r>
        <w:rPr>
          <w:rFonts w:ascii="楷体_GB2312" w:hAnsi="楷体_GB2312" w:eastAsia="楷体_GB2312"/>
          <w:b w:val="0"/>
          <w:color w:val="000000"/>
          <w:sz w:val="32"/>
        </w:rPr>
        <w:t>研发投入与创新强度（本批真实数据补充·来源见正文）</w:t>
      </w:r>
    </w:p>
    <w:p>
      <w:pPr>
        <w:spacing w:lineRule="exact" w:line="600" w:before="0" w:after="0"/>
        <w:ind w:firstLine="420"/>
        <w:jc w:val="both"/>
      </w:pPr>
      <w:r>
        <w:rPr>
          <w:rFonts w:ascii="仿宋_GB2312" w:hAnsi="仿宋_GB2312" w:eastAsia="仿宋_GB2312"/>
          <w:b w:val="0"/>
          <w:color w:val="000000"/>
          <w:sz w:val="32"/>
        </w:rPr>
        <w:t>2023年度烟台化工企业研发投入超60亿元，研发投入强度达3.8%以上；依托万华化学全球研发中心等6大创新平台，构建“6+110个省级以上科创平台”体系。绿色发展方面，万华2024年实现固废减量4.7万吨、资源化利用4.5万吨。（来源：新华网2024、齐鲁网2025）</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要素指标</w:t>
            </w:r>
          </w:p>
        </w:tc>
        <w:tc>
          <w:tcPr>
            <w:tcW w:type="dxa" w:w="3118"/>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口径</w:t>
            </w:r>
          </w:p>
        </w:tc>
      </w:tr>
      <w:tr>
        <w:tc>
          <w:tcPr>
            <w:tcW w:type="dxa" w:w="3118"/>
          </w:tcPr>
          <w:p>
            <w:pPr>
              <w:spacing w:lineRule="exact" w:line="600"/>
              <w:jc w:val="center"/>
            </w:pPr>
            <w:r/>
            <w:r>
              <w:rPr>
                <w:rFonts w:ascii="仿宋_GB2312" w:hAnsi="仿宋_GB2312" w:eastAsia="仿宋_GB2312"/>
                <w:b w:val="0"/>
                <w:color w:val="000000"/>
                <w:sz w:val="32"/>
              </w:rPr>
              <w:t>化工企业研发投入</w:t>
            </w:r>
          </w:p>
        </w:tc>
        <w:tc>
          <w:tcPr>
            <w:tcW w:type="dxa" w:w="3118"/>
          </w:tcPr>
          <w:p>
            <w:pPr>
              <w:spacing w:lineRule="exact" w:line="600"/>
              <w:jc w:val="center"/>
            </w:pPr>
            <w:r/>
            <w:r>
              <w:rPr>
                <w:rFonts w:ascii="仿宋_GB2312" w:hAnsi="仿宋_GB2312" w:eastAsia="仿宋_GB2312"/>
                <w:b w:val="0"/>
                <w:color w:val="000000"/>
                <w:sz w:val="32"/>
              </w:rPr>
              <w:t>超60亿元（2023）</w:t>
            </w:r>
          </w:p>
        </w:tc>
        <w:tc>
          <w:tcPr>
            <w:tcW w:type="dxa" w:w="2551"/>
          </w:tcPr>
          <w:p>
            <w:pPr>
              <w:spacing w:lineRule="exact" w:line="600"/>
              <w:jc w:val="center"/>
            </w:pPr>
            <w:r/>
            <w:r>
              <w:rPr>
                <w:rFonts w:ascii="仿宋_GB2312" w:hAnsi="仿宋_GB2312" w:eastAsia="仿宋_GB2312"/>
                <w:b w:val="0"/>
                <w:color w:val="000000"/>
                <w:sz w:val="32"/>
              </w:rPr>
              <w:t>强度3.8%以上</w:t>
            </w:r>
          </w:p>
        </w:tc>
      </w:tr>
      <w:tr>
        <w:tc>
          <w:tcPr>
            <w:tcW w:type="dxa" w:w="3118"/>
          </w:tcPr>
          <w:p>
            <w:pPr>
              <w:spacing w:lineRule="exact" w:line="600"/>
              <w:jc w:val="center"/>
            </w:pPr>
            <w:r/>
            <w:r>
              <w:rPr>
                <w:rFonts w:ascii="仿宋_GB2312" w:hAnsi="仿宋_GB2312" w:eastAsia="仿宋_GB2312"/>
                <w:b w:val="0"/>
                <w:color w:val="000000"/>
                <w:sz w:val="32"/>
              </w:rPr>
              <w:t>省级以上科创平台</w:t>
            </w:r>
          </w:p>
        </w:tc>
        <w:tc>
          <w:tcPr>
            <w:tcW w:type="dxa" w:w="3118"/>
          </w:tcPr>
          <w:p>
            <w:pPr>
              <w:spacing w:lineRule="exact" w:line="600"/>
              <w:jc w:val="center"/>
            </w:pPr>
            <w:r/>
            <w:r>
              <w:rPr>
                <w:rFonts w:ascii="仿宋_GB2312" w:hAnsi="仿宋_GB2312" w:eastAsia="仿宋_GB2312"/>
                <w:b w:val="0"/>
                <w:color w:val="000000"/>
                <w:sz w:val="32"/>
              </w:rPr>
              <w:t>110个</w:t>
            </w:r>
          </w:p>
        </w:tc>
        <w:tc>
          <w:tcPr>
            <w:tcW w:type="dxa" w:w="2551"/>
          </w:tcPr>
          <w:p>
            <w:pPr>
              <w:spacing w:lineRule="exact" w:line="600"/>
              <w:jc w:val="center"/>
            </w:pPr>
            <w:r/>
            <w:r>
              <w:rPr>
                <w:rFonts w:ascii="仿宋_GB2312" w:hAnsi="仿宋_GB2312" w:eastAsia="仿宋_GB2312"/>
                <w:b w:val="0"/>
                <w:color w:val="000000"/>
                <w:sz w:val="32"/>
              </w:rPr>
              <w:t>加6大核心平台</w:t>
            </w:r>
          </w:p>
        </w:tc>
      </w:tr>
      <w:tr>
        <w:tc>
          <w:tcPr>
            <w:tcW w:type="dxa" w:w="3118"/>
          </w:tcPr>
          <w:p>
            <w:pPr>
              <w:spacing w:lineRule="exact" w:line="600"/>
              <w:jc w:val="center"/>
            </w:pPr>
            <w:r/>
            <w:r>
              <w:rPr>
                <w:rFonts w:ascii="仿宋_GB2312" w:hAnsi="仿宋_GB2312" w:eastAsia="仿宋_GB2312"/>
                <w:b w:val="0"/>
                <w:color w:val="000000"/>
                <w:sz w:val="32"/>
              </w:rPr>
              <w:t>万华固废减量</w:t>
            </w:r>
          </w:p>
        </w:tc>
        <w:tc>
          <w:tcPr>
            <w:tcW w:type="dxa" w:w="3118"/>
          </w:tcPr>
          <w:p>
            <w:pPr>
              <w:spacing w:lineRule="exact" w:line="600"/>
              <w:jc w:val="center"/>
            </w:pPr>
            <w:r/>
            <w:r>
              <w:rPr>
                <w:rFonts w:ascii="仿宋_GB2312" w:hAnsi="仿宋_GB2312" w:eastAsia="仿宋_GB2312"/>
                <w:b w:val="0"/>
                <w:color w:val="000000"/>
                <w:sz w:val="32"/>
              </w:rPr>
              <w:t>4.7万吨（2024）</w:t>
            </w:r>
          </w:p>
        </w:tc>
        <w:tc>
          <w:tcPr>
            <w:tcW w:type="dxa" w:w="2551"/>
          </w:tcPr>
          <w:p>
            <w:pPr>
              <w:spacing w:lineRule="exact" w:line="600"/>
              <w:jc w:val="center"/>
            </w:pPr>
            <w:r/>
            <w:r>
              <w:rPr>
                <w:rFonts w:ascii="仿宋_GB2312" w:hAnsi="仿宋_GB2312" w:eastAsia="仿宋_GB2312"/>
                <w:b w:val="0"/>
                <w:color w:val="000000"/>
                <w:sz w:val="32"/>
              </w:rPr>
              <w:t>资源化4.5万吨</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新能源汽车、光伏、储能、折叠屏、低空经济拉动高端新材料需求；万华MDI/TDI扩能与聚烯烃、POE、尼龙12等进口替代空间大；万润PI、半导体材料、聚酰亚胺前景广阔；烟台世界级绿色石化城与园区十强品牌吸引项目集聚；国际化布局（福建、蓬莱、海外合资）拓展市场。</w:t>
      </w:r>
    </w:p>
    <w:p>
      <w:pPr>
        <w:spacing w:lineRule="exact" w:line="600" w:before="120" w:after="120"/>
        <w:ind w:firstLine="420"/>
        <w:jc w:val="left"/>
      </w:pPr>
      <w:r>
        <w:rPr>
          <w:rFonts w:ascii="楷体_GB2312" w:hAnsi="楷体_GB2312" w:eastAsia="楷体_GB2312"/>
          <w:b w:val="0"/>
          <w:color w:val="000000"/>
          <w:sz w:val="32"/>
        </w:rPr>
        <w:t>（二）挑战</w:t>
      </w:r>
    </w:p>
    <w:p>
      <w:pPr>
        <w:spacing w:lineRule="exact" w:line="600" w:before="0" w:after="0"/>
        <w:ind w:firstLine="420"/>
        <w:jc w:val="both"/>
      </w:pPr>
      <w:r>
        <w:rPr>
          <w:rFonts w:ascii="仿宋_GB2312" w:hAnsi="仿宋_GB2312" w:eastAsia="仿宋_GB2312"/>
          <w:b w:val="0"/>
          <w:color w:val="000000"/>
          <w:sz w:val="32"/>
        </w:rPr>
        <w:t>行业产能过剩、有效需求不足、价格内卷导致「增收不增利」；合成环节强周期、原料价格敏感；高端牌号（如高端聚烯烃、电子化学品）仍部分依赖进口；园区用地与能耗约束趋紧；中小企业研发与盈利承压（万润净利大幅下滑）。</w:t>
      </w:r>
    </w:p>
    <w:p>
      <w:pPr>
        <w:spacing w:lineRule="exact" w:line="600" w:before="120" w:after="120"/>
        <w:ind w:firstLine="420"/>
        <w:jc w:val="left"/>
      </w:pPr>
      <w:r>
        <w:rPr>
          <w:rFonts w:ascii="楷体_GB2312" w:hAnsi="楷体_GB2312" w:eastAsia="楷体_GB2312"/>
          <w:b w:val="0"/>
          <w:color w:val="000000"/>
          <w:sz w:val="32"/>
        </w:rPr>
        <w:t>（三）风险</w:t>
      </w:r>
    </w:p>
    <w:p>
      <w:pPr>
        <w:spacing w:lineRule="exact" w:line="600" w:before="0" w:after="0"/>
        <w:ind w:firstLine="420"/>
        <w:jc w:val="both"/>
      </w:pPr>
      <w:r>
        <w:rPr>
          <w:rFonts w:ascii="仿宋_GB2312" w:hAnsi="仿宋_GB2312" w:eastAsia="仿宋_GB2312"/>
          <w:b w:val="0"/>
          <w:color w:val="000000"/>
          <w:sz w:val="32"/>
        </w:rPr>
        <w:t>国际贸易摩擦与贸易保护（部分国家双反、出口管制）影响海外销售（万华国外收入占比较高）；原料价格大幅波动冲击毛利；环保与安全监管趋严，装置检修与减值风险；技术迭代与专利壁垒（OLED核心专利集中海外）。需防范周期下行与资产减值。</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风险类别</w:t>
            </w:r>
          </w:p>
        </w:tc>
        <w:tc>
          <w:tcPr>
            <w:tcW w:type="dxa" w:w="4252"/>
          </w:tcPr>
          <w:p>
            <w:pPr>
              <w:spacing w:lineRule="exact" w:line="600"/>
              <w:jc w:val="center"/>
            </w:pPr>
            <w:r/>
            <w:r>
              <w:rPr>
                <w:rFonts w:ascii="黑体" w:hAnsi="黑体" w:eastAsia="黑体"/>
                <w:b/>
                <w:color w:val="000000"/>
                <w:sz w:val="32"/>
              </w:rPr>
              <w:t>表现</w:t>
            </w:r>
          </w:p>
        </w:tc>
        <w:tc>
          <w:tcPr>
            <w:tcW w:type="dxa" w:w="2551"/>
          </w:tcPr>
          <w:p>
            <w:pPr>
              <w:spacing w:lineRule="exact" w:line="600"/>
              <w:jc w:val="center"/>
            </w:pPr>
            <w:r/>
            <w:r>
              <w:rPr>
                <w:rFonts w:ascii="黑体" w:hAnsi="黑体" w:eastAsia="黑体"/>
                <w:b/>
                <w:color w:val="000000"/>
                <w:sz w:val="32"/>
              </w:rPr>
              <w:t>影响</w:t>
            </w:r>
          </w:p>
        </w:tc>
      </w:tr>
      <w:tr>
        <w:tc>
          <w:tcPr>
            <w:tcW w:type="dxa" w:w="1701"/>
          </w:tcPr>
          <w:p>
            <w:pPr>
              <w:spacing w:lineRule="exact" w:line="600"/>
              <w:jc w:val="center"/>
            </w:pPr>
            <w:r/>
            <w:r>
              <w:rPr>
                <w:rFonts w:ascii="仿宋_GB2312" w:hAnsi="仿宋_GB2312" w:eastAsia="仿宋_GB2312"/>
                <w:b w:val="0"/>
                <w:color w:val="000000"/>
                <w:sz w:val="32"/>
              </w:rPr>
              <w:t>周期波动</w:t>
            </w:r>
          </w:p>
        </w:tc>
        <w:tc>
          <w:tcPr>
            <w:tcW w:type="dxa" w:w="4252"/>
          </w:tcPr>
          <w:p>
            <w:pPr>
              <w:spacing w:lineRule="exact" w:line="600"/>
              <w:jc w:val="center"/>
            </w:pPr>
            <w:r/>
            <w:r>
              <w:rPr>
                <w:rFonts w:ascii="仿宋_GB2312" w:hAnsi="仿宋_GB2312" w:eastAsia="仿宋_GB2312"/>
                <w:b w:val="0"/>
                <w:color w:val="000000"/>
                <w:sz w:val="32"/>
              </w:rPr>
              <w:t>增收不增利、价格内卷</w:t>
            </w:r>
          </w:p>
        </w:tc>
        <w:tc>
          <w:tcPr>
            <w:tcW w:type="dxa" w:w="2551"/>
          </w:tcPr>
          <w:p>
            <w:pPr>
              <w:spacing w:lineRule="exact" w:line="600"/>
              <w:jc w:val="center"/>
            </w:pPr>
            <w:r/>
            <w:r>
              <w:rPr>
                <w:rFonts w:ascii="仿宋_GB2312" w:hAnsi="仿宋_GB2312" w:eastAsia="仿宋_GB2312"/>
                <w:b w:val="0"/>
                <w:color w:val="000000"/>
                <w:sz w:val="32"/>
              </w:rPr>
              <w:t>高</w:t>
            </w:r>
          </w:p>
        </w:tc>
      </w:tr>
      <w:tr>
        <w:tc>
          <w:tcPr>
            <w:tcW w:type="dxa" w:w="1701"/>
          </w:tcPr>
          <w:p>
            <w:pPr>
              <w:spacing w:lineRule="exact" w:line="600"/>
              <w:jc w:val="center"/>
            </w:pPr>
            <w:r/>
            <w:r>
              <w:rPr>
                <w:rFonts w:ascii="仿宋_GB2312" w:hAnsi="仿宋_GB2312" w:eastAsia="仿宋_GB2312"/>
                <w:b w:val="0"/>
                <w:color w:val="000000"/>
                <w:sz w:val="32"/>
              </w:rPr>
              <w:t>贸易摩擦</w:t>
            </w:r>
          </w:p>
        </w:tc>
        <w:tc>
          <w:tcPr>
            <w:tcW w:type="dxa" w:w="4252"/>
          </w:tcPr>
          <w:p>
            <w:pPr>
              <w:spacing w:lineRule="exact" w:line="600"/>
              <w:jc w:val="center"/>
            </w:pPr>
            <w:r/>
            <w:r>
              <w:rPr>
                <w:rFonts w:ascii="仿宋_GB2312" w:hAnsi="仿宋_GB2312" w:eastAsia="仿宋_GB2312"/>
                <w:b w:val="0"/>
                <w:color w:val="000000"/>
                <w:sz w:val="32"/>
              </w:rPr>
              <w:t>双反/出口管制</w:t>
            </w:r>
          </w:p>
        </w:tc>
        <w:tc>
          <w:tcPr>
            <w:tcW w:type="dxa" w:w="2551"/>
          </w:tcPr>
          <w:p>
            <w:pPr>
              <w:spacing w:lineRule="exact" w:line="600"/>
              <w:jc w:val="center"/>
            </w:pPr>
            <w:r/>
            <w:r>
              <w:rPr>
                <w:rFonts w:ascii="仿宋_GB2312" w:hAnsi="仿宋_GB2312" w:eastAsia="仿宋_GB2312"/>
                <w:b w:val="0"/>
                <w:color w:val="000000"/>
                <w:sz w:val="32"/>
              </w:rPr>
              <w:t>中高</w:t>
            </w:r>
          </w:p>
        </w:tc>
      </w:tr>
      <w:tr>
        <w:tc>
          <w:tcPr>
            <w:tcW w:type="dxa" w:w="1701"/>
          </w:tcPr>
          <w:p>
            <w:pPr>
              <w:spacing w:lineRule="exact" w:line="600"/>
              <w:jc w:val="center"/>
            </w:pPr>
            <w:r/>
            <w:r>
              <w:rPr>
                <w:rFonts w:ascii="仿宋_GB2312" w:hAnsi="仿宋_GB2312" w:eastAsia="仿宋_GB2312"/>
                <w:b w:val="0"/>
                <w:color w:val="000000"/>
                <w:sz w:val="32"/>
              </w:rPr>
              <w:t>原料波动</w:t>
            </w:r>
          </w:p>
        </w:tc>
        <w:tc>
          <w:tcPr>
            <w:tcW w:type="dxa" w:w="4252"/>
          </w:tcPr>
          <w:p>
            <w:pPr>
              <w:spacing w:lineRule="exact" w:line="600"/>
              <w:jc w:val="center"/>
            </w:pPr>
            <w:r/>
            <w:r>
              <w:rPr>
                <w:rFonts w:ascii="仿宋_GB2312" w:hAnsi="仿宋_GB2312" w:eastAsia="仿宋_GB2312"/>
                <w:b w:val="0"/>
                <w:color w:val="000000"/>
                <w:sz w:val="32"/>
              </w:rPr>
              <w:t>纯苯等价格起伏</w:t>
            </w:r>
          </w:p>
        </w:tc>
        <w:tc>
          <w:tcPr>
            <w:tcW w:type="dxa" w:w="2551"/>
          </w:tcPr>
          <w:p>
            <w:pPr>
              <w:spacing w:lineRule="exact" w:line="600"/>
              <w:jc w:val="center"/>
            </w:pPr>
            <w:r/>
            <w:r>
              <w:rPr>
                <w:rFonts w:ascii="仿宋_GB2312" w:hAnsi="仿宋_GB2312" w:eastAsia="仿宋_GB2312"/>
                <w:b w:val="0"/>
                <w:color w:val="000000"/>
                <w:sz w:val="32"/>
              </w:rPr>
              <w:t>中高</w:t>
            </w:r>
          </w:p>
        </w:tc>
      </w:tr>
      <w:tr>
        <w:tc>
          <w:tcPr>
            <w:tcW w:type="dxa" w:w="1701"/>
          </w:tcPr>
          <w:p>
            <w:pPr>
              <w:spacing w:lineRule="exact" w:line="600"/>
              <w:jc w:val="center"/>
            </w:pPr>
            <w:r/>
            <w:r>
              <w:rPr>
                <w:rFonts w:ascii="仿宋_GB2312" w:hAnsi="仿宋_GB2312" w:eastAsia="仿宋_GB2312"/>
                <w:b w:val="0"/>
                <w:color w:val="000000"/>
                <w:sz w:val="32"/>
              </w:rPr>
              <w:t>环保安全</w:t>
            </w:r>
          </w:p>
        </w:tc>
        <w:tc>
          <w:tcPr>
            <w:tcW w:type="dxa" w:w="4252"/>
          </w:tcPr>
          <w:p>
            <w:pPr>
              <w:spacing w:lineRule="exact" w:line="600"/>
              <w:jc w:val="center"/>
            </w:pPr>
            <w:r/>
            <w:r>
              <w:rPr>
                <w:rFonts w:ascii="仿宋_GB2312" w:hAnsi="仿宋_GB2312" w:eastAsia="仿宋_GB2312"/>
                <w:b w:val="0"/>
                <w:color w:val="000000"/>
                <w:sz w:val="32"/>
              </w:rPr>
              <w:t>监管趋严</w:t>
            </w:r>
          </w:p>
        </w:tc>
        <w:tc>
          <w:tcPr>
            <w:tcW w:type="dxa" w:w="2551"/>
          </w:tcPr>
          <w:p>
            <w:pPr>
              <w:spacing w:lineRule="exact" w:line="600"/>
              <w:jc w:val="center"/>
            </w:pPr>
            <w:r/>
            <w:r>
              <w:rPr>
                <w:rFonts w:ascii="仿宋_GB2312" w:hAnsi="仿宋_GB2312" w:eastAsia="仿宋_GB2312"/>
                <w:b w:val="0"/>
                <w:color w:val="000000"/>
                <w:sz w:val="32"/>
              </w:rPr>
              <w:t>中</w:t>
            </w:r>
          </w:p>
        </w:tc>
      </w:tr>
      <w:tr>
        <w:tc>
          <w:tcPr>
            <w:tcW w:type="dxa" w:w="1701"/>
          </w:tcPr>
          <w:p>
            <w:pPr>
              <w:spacing w:lineRule="exact" w:line="600"/>
              <w:jc w:val="center"/>
            </w:pPr>
            <w:r/>
            <w:r>
              <w:rPr>
                <w:rFonts w:ascii="仿宋_GB2312" w:hAnsi="仿宋_GB2312" w:eastAsia="仿宋_GB2312"/>
                <w:b w:val="0"/>
                <w:color w:val="000000"/>
                <w:sz w:val="32"/>
              </w:rPr>
              <w:t>技术壁垒</w:t>
            </w:r>
          </w:p>
        </w:tc>
        <w:tc>
          <w:tcPr>
            <w:tcW w:type="dxa" w:w="4252"/>
          </w:tcPr>
          <w:p>
            <w:pPr>
              <w:spacing w:lineRule="exact" w:line="600"/>
              <w:jc w:val="center"/>
            </w:pPr>
            <w:r/>
            <w:r>
              <w:rPr>
                <w:rFonts w:ascii="仿宋_GB2312" w:hAnsi="仿宋_GB2312" w:eastAsia="仿宋_GB2312"/>
                <w:b w:val="0"/>
                <w:color w:val="000000"/>
                <w:sz w:val="32"/>
              </w:rPr>
              <w:t>高端依赖进口/专利</w:t>
            </w:r>
          </w:p>
        </w:tc>
        <w:tc>
          <w:tcPr>
            <w:tcW w:type="dxa" w:w="2551"/>
          </w:tcPr>
          <w:p>
            <w:pPr>
              <w:spacing w:lineRule="exact" w:line="600"/>
              <w:jc w:val="center"/>
            </w:pPr>
            <w:r/>
            <w:r>
              <w:rPr>
                <w:rFonts w:ascii="仿宋_GB2312" w:hAnsi="仿宋_GB2312" w:eastAsia="仿宋_GB2312"/>
                <w:b w:val="0"/>
                <w:color w:val="000000"/>
                <w:sz w:val="32"/>
              </w:rPr>
              <w:t>中</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（一）高端化与进口替代</w:t>
      </w:r>
    </w:p>
    <w:p>
      <w:pPr>
        <w:spacing w:lineRule="exact" w:line="600" w:before="0" w:after="0"/>
        <w:ind w:firstLine="420"/>
        <w:jc w:val="both"/>
      </w:pPr>
      <w:r>
        <w:rPr>
          <w:rFonts w:ascii="仿宋_GB2312" w:hAnsi="仿宋_GB2312" w:eastAsia="仿宋_GB2312"/>
          <w:b w:val="0"/>
          <w:color w:val="000000"/>
          <w:sz w:val="32"/>
        </w:rPr>
        <w:t>万华推进高端聚烯烃、POE、尼龙12、ADI、柠檬醛等替代进口；万润发力PI、半导体材料、钙钛矿光伏。规划到2025年烟台成为全球有影响力的高端化工新材料及高附加值精细化学品主要生产基地，世界级集群产出规模翻倍。</w:t>
      </w:r>
    </w:p>
    <w:p>
      <w:pPr>
        <w:spacing w:lineRule="exact" w:line="600" w:before="120" w:after="120"/>
        <w:ind w:firstLine="420"/>
        <w:jc w:val="left"/>
      </w:pPr>
      <w:r>
        <w:rPr>
          <w:rFonts w:ascii="楷体_GB2312" w:hAnsi="楷体_GB2312" w:eastAsia="楷体_GB2312"/>
          <w:b w:val="0"/>
          <w:color w:val="000000"/>
          <w:sz w:val="32"/>
        </w:rPr>
        <w:t>（二）一体化与精细化</w:t>
      </w:r>
    </w:p>
    <w:p>
      <w:pPr>
        <w:spacing w:lineRule="exact" w:line="600" w:before="0" w:after="0"/>
        <w:ind w:firstLine="420"/>
        <w:jc w:val="both"/>
      </w:pPr>
      <w:r>
        <w:rPr>
          <w:rFonts w:ascii="仿宋_GB2312" w:hAnsi="仿宋_GB2312" w:eastAsia="仿宋_GB2312"/>
          <w:b w:val="0"/>
          <w:color w:val="000000"/>
          <w:sz w:val="32"/>
        </w:rPr>
        <w:t>深化聚氨酯、烯烃、精细化学品一体化，向下游涂料、胶粘剂、电池材料、改性塑料延伸，提升附加值。园区由规模扩张转向「精耕细作」的精细化、专用化、系列化细分市场，规划建设高耐热聚碳酸酯、TPU等高端差异化项目。</w:t>
      </w:r>
    </w:p>
    <w:p>
      <w:pPr>
        <w:spacing w:lineRule="exact" w:line="600" w:before="120" w:after="120"/>
        <w:ind w:firstLine="420"/>
        <w:jc w:val="left"/>
      </w:pPr>
      <w:r>
        <w:rPr>
          <w:rFonts w:ascii="楷体_GB2312" w:hAnsi="楷体_GB2312" w:eastAsia="楷体_GB2312"/>
          <w:b w:val="0"/>
          <w:color w:val="000000"/>
          <w:sz w:val="32"/>
        </w:rPr>
        <w:t>（三）绿色化与国际化</w:t>
      </w:r>
    </w:p>
    <w:p>
      <w:pPr>
        <w:spacing w:lineRule="exact" w:line="600" w:before="0" w:after="0"/>
        <w:ind w:firstLine="420"/>
        <w:jc w:val="both"/>
      </w:pPr>
      <w:r>
        <w:rPr>
          <w:rFonts w:ascii="仿宋_GB2312" w:hAnsi="仿宋_GB2312" w:eastAsia="仿宋_GB2312"/>
          <w:b w:val="0"/>
          <w:color w:val="000000"/>
          <w:sz w:val="32"/>
        </w:rPr>
        <w:t>建设高端低碳石化产业基地，推进节能降碳与循环经济；万华引入科威特石化等战略投资者，福建、蓬莱及海外合资（ADNOC等）布局国际化。依托园区十强品牌与研发平台，打造世界一流化工新材料合成高地。</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升级方向</w:t>
            </w:r>
          </w:p>
        </w:tc>
        <w:tc>
          <w:tcPr>
            <w:tcW w:type="dxa" w:w="4252"/>
          </w:tcPr>
          <w:p>
            <w:pPr>
              <w:spacing w:lineRule="exact" w:line="600"/>
              <w:jc w:val="center"/>
            </w:pPr>
            <w:r/>
            <w:r>
              <w:rPr>
                <w:rFonts w:ascii="黑体" w:hAnsi="黑体" w:eastAsia="黑体"/>
                <w:b/>
                <w:color w:val="000000"/>
                <w:sz w:val="32"/>
              </w:rPr>
              <w:t>重点内容</w:t>
            </w:r>
          </w:p>
        </w:tc>
        <w:tc>
          <w:tcPr>
            <w:tcW w:type="dxa" w:w="2551"/>
          </w:tcPr>
          <w:p>
            <w:pPr>
              <w:spacing w:lineRule="exact" w:line="600"/>
              <w:jc w:val="center"/>
            </w:pPr>
            <w:r/>
            <w:r>
              <w:rPr>
                <w:rFonts w:ascii="黑体" w:hAnsi="黑体" w:eastAsia="黑体"/>
                <w:b/>
                <w:color w:val="000000"/>
                <w:sz w:val="32"/>
              </w:rPr>
              <w:t>目标</w:t>
            </w:r>
          </w:p>
        </w:tc>
      </w:tr>
      <w:tr>
        <w:tc>
          <w:tcPr>
            <w:tcW w:type="dxa" w:w="1701"/>
          </w:tcPr>
          <w:p>
            <w:pPr>
              <w:spacing w:lineRule="exact" w:line="600"/>
              <w:jc w:val="center"/>
            </w:pPr>
            <w:r/>
            <w:r>
              <w:rPr>
                <w:rFonts w:ascii="仿宋_GB2312" w:hAnsi="仿宋_GB2312" w:eastAsia="仿宋_GB2312"/>
                <w:b w:val="0"/>
                <w:color w:val="000000"/>
                <w:sz w:val="32"/>
              </w:rPr>
              <w:t>高端化</w:t>
            </w:r>
          </w:p>
        </w:tc>
        <w:tc>
          <w:tcPr>
            <w:tcW w:type="dxa" w:w="4252"/>
          </w:tcPr>
          <w:p>
            <w:pPr>
              <w:spacing w:lineRule="exact" w:line="600"/>
              <w:jc w:val="center"/>
            </w:pPr>
            <w:r/>
            <w:r>
              <w:rPr>
                <w:rFonts w:ascii="仿宋_GB2312" w:hAnsi="仿宋_GB2312" w:eastAsia="仿宋_GB2312"/>
                <w:b w:val="0"/>
                <w:color w:val="000000"/>
                <w:sz w:val="32"/>
              </w:rPr>
              <w:t>POE/尼龙12/PI替代</w:t>
            </w:r>
          </w:p>
        </w:tc>
        <w:tc>
          <w:tcPr>
            <w:tcW w:type="dxa" w:w="2551"/>
          </w:tcPr>
          <w:p>
            <w:pPr>
              <w:spacing w:lineRule="exact" w:line="600"/>
              <w:jc w:val="center"/>
            </w:pPr>
            <w:r/>
            <w:r>
              <w:rPr>
                <w:rFonts w:ascii="仿宋_GB2312" w:hAnsi="仿宋_GB2312" w:eastAsia="仿宋_GB2312"/>
                <w:b w:val="0"/>
                <w:color w:val="000000"/>
                <w:sz w:val="32"/>
              </w:rPr>
              <w:t>进口替代</w:t>
            </w:r>
          </w:p>
        </w:tc>
      </w:tr>
      <w:tr>
        <w:tc>
          <w:tcPr>
            <w:tcW w:type="dxa" w:w="1701"/>
          </w:tcPr>
          <w:p>
            <w:pPr>
              <w:spacing w:lineRule="exact" w:line="600"/>
              <w:jc w:val="center"/>
            </w:pPr>
            <w:r/>
            <w:r>
              <w:rPr>
                <w:rFonts w:ascii="仿宋_GB2312" w:hAnsi="仿宋_GB2312" w:eastAsia="仿宋_GB2312"/>
                <w:b w:val="0"/>
                <w:color w:val="000000"/>
                <w:sz w:val="32"/>
              </w:rPr>
              <w:t>一体化</w:t>
            </w:r>
          </w:p>
        </w:tc>
        <w:tc>
          <w:tcPr>
            <w:tcW w:type="dxa" w:w="4252"/>
          </w:tcPr>
          <w:p>
            <w:pPr>
              <w:spacing w:lineRule="exact" w:line="600"/>
              <w:jc w:val="center"/>
            </w:pPr>
            <w:r/>
            <w:r>
              <w:rPr>
                <w:rFonts w:ascii="仿宋_GB2312" w:hAnsi="仿宋_GB2312" w:eastAsia="仿宋_GB2312"/>
                <w:b w:val="0"/>
                <w:color w:val="000000"/>
                <w:sz w:val="32"/>
              </w:rPr>
              <w:t>向下游制品延伸</w:t>
            </w:r>
          </w:p>
        </w:tc>
        <w:tc>
          <w:tcPr>
            <w:tcW w:type="dxa" w:w="2551"/>
          </w:tcPr>
          <w:p>
            <w:pPr>
              <w:spacing w:lineRule="exact" w:line="600"/>
              <w:jc w:val="center"/>
            </w:pPr>
            <w:r/>
            <w:r>
              <w:rPr>
                <w:rFonts w:ascii="仿宋_GB2312" w:hAnsi="仿宋_GB2312" w:eastAsia="仿宋_GB2312"/>
                <w:b w:val="0"/>
                <w:color w:val="000000"/>
                <w:sz w:val="32"/>
              </w:rPr>
              <w:t>附加值提升</w:t>
            </w:r>
          </w:p>
        </w:tc>
      </w:tr>
      <w:tr>
        <w:tc>
          <w:tcPr>
            <w:tcW w:type="dxa" w:w="1701"/>
          </w:tcPr>
          <w:p>
            <w:pPr>
              <w:spacing w:lineRule="exact" w:line="600"/>
              <w:jc w:val="center"/>
            </w:pPr>
            <w:r/>
            <w:r>
              <w:rPr>
                <w:rFonts w:ascii="仿宋_GB2312" w:hAnsi="仿宋_GB2312" w:eastAsia="仿宋_GB2312"/>
                <w:b w:val="0"/>
                <w:color w:val="000000"/>
                <w:sz w:val="32"/>
              </w:rPr>
              <w:t>绿色化</w:t>
            </w:r>
          </w:p>
        </w:tc>
        <w:tc>
          <w:tcPr>
            <w:tcW w:type="dxa" w:w="4252"/>
          </w:tcPr>
          <w:p>
            <w:pPr>
              <w:spacing w:lineRule="exact" w:line="600"/>
              <w:jc w:val="center"/>
            </w:pPr>
            <w:r/>
            <w:r>
              <w:rPr>
                <w:rFonts w:ascii="仿宋_GB2312" w:hAnsi="仿宋_GB2312" w:eastAsia="仿宋_GB2312"/>
                <w:b w:val="0"/>
                <w:color w:val="000000"/>
                <w:sz w:val="32"/>
              </w:rPr>
              <w:t>低碳石化基地</w:t>
            </w:r>
          </w:p>
        </w:tc>
        <w:tc>
          <w:tcPr>
            <w:tcW w:type="dxa" w:w="2551"/>
          </w:tcPr>
          <w:p>
            <w:pPr>
              <w:spacing w:lineRule="exact" w:line="600"/>
              <w:jc w:val="center"/>
            </w:pPr>
            <w:r/>
            <w:r>
              <w:rPr>
                <w:rFonts w:ascii="仿宋_GB2312" w:hAnsi="仿宋_GB2312" w:eastAsia="仿宋_GB2312"/>
                <w:b w:val="0"/>
                <w:color w:val="000000"/>
                <w:sz w:val="32"/>
              </w:rPr>
              <w:t>能耗下降</w:t>
            </w:r>
          </w:p>
        </w:tc>
      </w:tr>
      <w:tr>
        <w:tc>
          <w:tcPr>
            <w:tcW w:type="dxa" w:w="1701"/>
          </w:tcPr>
          <w:p>
            <w:pPr>
              <w:spacing w:lineRule="exact" w:line="600"/>
              <w:jc w:val="center"/>
            </w:pPr>
            <w:r/>
            <w:r>
              <w:rPr>
                <w:rFonts w:ascii="仿宋_GB2312" w:hAnsi="仿宋_GB2312" w:eastAsia="仿宋_GB2312"/>
                <w:b w:val="0"/>
                <w:color w:val="000000"/>
                <w:sz w:val="32"/>
              </w:rPr>
              <w:t>国际化</w:t>
            </w:r>
          </w:p>
        </w:tc>
        <w:tc>
          <w:tcPr>
            <w:tcW w:type="dxa" w:w="4252"/>
          </w:tcPr>
          <w:p>
            <w:pPr>
              <w:spacing w:lineRule="exact" w:line="600"/>
              <w:jc w:val="center"/>
            </w:pPr>
            <w:r/>
            <w:r>
              <w:rPr>
                <w:rFonts w:ascii="仿宋_GB2312" w:hAnsi="仿宋_GB2312" w:eastAsia="仿宋_GB2312"/>
                <w:b w:val="0"/>
                <w:color w:val="000000"/>
                <w:sz w:val="32"/>
              </w:rPr>
              <w:t>福建/蓬莱/海外</w:t>
            </w:r>
          </w:p>
        </w:tc>
        <w:tc>
          <w:tcPr>
            <w:tcW w:type="dxa" w:w="2551"/>
          </w:tcPr>
          <w:p>
            <w:pPr>
              <w:spacing w:lineRule="exact" w:line="600"/>
              <w:jc w:val="center"/>
            </w:pPr>
            <w:r/>
            <w:r>
              <w:rPr>
                <w:rFonts w:ascii="仿宋_GB2312" w:hAnsi="仿宋_GB2312" w:eastAsia="仿宋_GB2312"/>
                <w:b w:val="0"/>
                <w:color w:val="000000"/>
                <w:sz w:val="32"/>
              </w:rPr>
              <w:t>全球布局</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（一）扩建项目融资</w:t>
      </w:r>
    </w:p>
    <w:p>
      <w:pPr>
        <w:spacing w:lineRule="exact" w:line="600" w:before="0" w:after="0"/>
        <w:ind w:firstLine="420"/>
        <w:jc w:val="both"/>
      </w:pPr>
      <w:r>
        <w:rPr>
          <w:rFonts w:ascii="仿宋_GB2312" w:hAnsi="仿宋_GB2312" w:eastAsia="仿宋_GB2312"/>
          <w:b w:val="0"/>
          <w:color w:val="000000"/>
          <w:sz w:val="32"/>
        </w:rPr>
        <w:t>万华福建MDI（+70万吨）、TDI（+33万吨）、蓬莱PDH/乙烯、高端聚烯烃等项目建设需大规模项目贷与股权融资；万润蓬莱一期（热塑性PI 1500吨）及九目/三月OLED产能建设需专项融资。单个项目投资额数十亿至百亿级。</w:t>
      </w:r>
    </w:p>
    <w:p>
      <w:pPr>
        <w:spacing w:lineRule="exact" w:line="600" w:before="120" w:after="120"/>
        <w:ind w:firstLine="420"/>
        <w:jc w:val="left"/>
      </w:pPr>
      <w:r>
        <w:rPr>
          <w:rFonts w:ascii="楷体_GB2312" w:hAnsi="楷体_GB2312" w:eastAsia="楷体_GB2312"/>
          <w:b w:val="0"/>
          <w:color w:val="000000"/>
          <w:sz w:val="32"/>
        </w:rPr>
        <w:t>（二）研发与技改融资</w:t>
      </w:r>
    </w:p>
    <w:p>
      <w:pPr>
        <w:spacing w:lineRule="exact" w:line="600" w:before="0" w:after="0"/>
        <w:ind w:firstLine="420"/>
        <w:jc w:val="both"/>
      </w:pPr>
      <w:r>
        <w:rPr>
          <w:rFonts w:ascii="仿宋_GB2312" w:hAnsi="仿宋_GB2312" w:eastAsia="仿宋_GB2312"/>
          <w:b w:val="0"/>
          <w:color w:val="000000"/>
          <w:sz w:val="32"/>
        </w:rPr>
        <w:t>高端合成（POE、尼龙12、半导体材料）研发周期长、投入大，需科创再贷款、研发费用贷；万华、万润高研发强度（万润11.46%）可借助专精特新与首台套支持。绿色工艺改造需碳减排支持工具。</w:t>
      </w:r>
    </w:p>
    <w:p>
      <w:pPr>
        <w:spacing w:lineRule="exact" w:line="600" w:before="120" w:after="120"/>
        <w:ind w:firstLine="420"/>
        <w:jc w:val="left"/>
      </w:pPr>
      <w:r>
        <w:rPr>
          <w:rFonts w:ascii="楷体_GB2312" w:hAnsi="楷体_GB2312" w:eastAsia="楷体_GB2312"/>
          <w:b w:val="0"/>
          <w:color w:val="000000"/>
          <w:sz w:val="32"/>
        </w:rPr>
        <w:t>（三）供应链与国际化融资</w:t>
      </w:r>
    </w:p>
    <w:p>
      <w:pPr>
        <w:spacing w:lineRule="exact" w:line="600" w:before="0" w:after="0"/>
        <w:ind w:firstLine="420"/>
        <w:jc w:val="both"/>
      </w:pPr>
      <w:r>
        <w:rPr>
          <w:rFonts w:ascii="仿宋_GB2312" w:hAnsi="仿宋_GB2312" w:eastAsia="仿宋_GB2312"/>
          <w:b w:val="0"/>
          <w:color w:val="000000"/>
          <w:sz w:val="32"/>
        </w:rPr>
        <w:t>万华引进LPG战略投资者、海外合资需跨境融资与出口信保；园区中小企业（美瑞、德邦等）流贷与供应链金融需求大。建议通过产业基金、绿色债券、并购贷款支持集群合成环节升级与整合。</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融资方向</w:t>
            </w:r>
          </w:p>
        </w:tc>
        <w:tc>
          <w:tcPr>
            <w:tcW w:type="dxa" w:w="3685"/>
          </w:tcPr>
          <w:p>
            <w:pPr>
              <w:spacing w:lineRule="exact" w:line="600"/>
              <w:jc w:val="center"/>
            </w:pPr>
            <w:r/>
            <w:r>
              <w:rPr>
                <w:rFonts w:ascii="黑体" w:hAnsi="黑体" w:eastAsia="黑体"/>
                <w:b/>
                <w:color w:val="000000"/>
                <w:sz w:val="32"/>
              </w:rPr>
              <w:t>规模/示例</w:t>
            </w:r>
          </w:p>
        </w:tc>
        <w:tc>
          <w:tcPr>
            <w:tcW w:type="dxa" w:w="3118"/>
          </w:tcPr>
          <w:p>
            <w:pPr>
              <w:spacing w:lineRule="exact" w:line="600"/>
              <w:jc w:val="center"/>
            </w:pPr>
            <w:r/>
            <w:r>
              <w:rPr>
                <w:rFonts w:ascii="黑体" w:hAnsi="黑体" w:eastAsia="黑体"/>
                <w:b/>
                <w:color w:val="000000"/>
                <w:sz w:val="32"/>
              </w:rPr>
              <w:t>工具</w:t>
            </w:r>
          </w:p>
        </w:tc>
      </w:tr>
      <w:tr>
        <w:tc>
          <w:tcPr>
            <w:tcW w:type="dxa" w:w="1984"/>
          </w:tcPr>
          <w:p>
            <w:pPr>
              <w:spacing w:lineRule="exact" w:line="600"/>
              <w:jc w:val="center"/>
            </w:pPr>
            <w:r/>
            <w:r>
              <w:rPr>
                <w:rFonts w:ascii="仿宋_GB2312" w:hAnsi="仿宋_GB2312" w:eastAsia="仿宋_GB2312"/>
                <w:b w:val="0"/>
                <w:color w:val="000000"/>
                <w:sz w:val="32"/>
              </w:rPr>
              <w:t>扩建</w:t>
            </w:r>
          </w:p>
        </w:tc>
        <w:tc>
          <w:tcPr>
            <w:tcW w:type="dxa" w:w="3685"/>
          </w:tcPr>
          <w:p>
            <w:pPr>
              <w:spacing w:lineRule="exact" w:line="600"/>
              <w:jc w:val="center"/>
            </w:pPr>
            <w:r/>
            <w:r>
              <w:rPr>
                <w:rFonts w:ascii="仿宋_GB2312" w:hAnsi="仿宋_GB2312" w:eastAsia="仿宋_GB2312"/>
                <w:b w:val="0"/>
                <w:color w:val="000000"/>
                <w:sz w:val="32"/>
              </w:rPr>
              <w:t>万华/万润项目数十亿级</w:t>
            </w:r>
          </w:p>
        </w:tc>
        <w:tc>
          <w:tcPr>
            <w:tcW w:type="dxa" w:w="3118"/>
          </w:tcPr>
          <w:p>
            <w:pPr>
              <w:spacing w:lineRule="exact" w:line="600"/>
              <w:jc w:val="center"/>
            </w:pPr>
            <w:r/>
            <w:r>
              <w:rPr>
                <w:rFonts w:ascii="仿宋_GB2312" w:hAnsi="仿宋_GB2312" w:eastAsia="仿宋_GB2312"/>
                <w:b w:val="0"/>
                <w:color w:val="000000"/>
                <w:sz w:val="32"/>
              </w:rPr>
              <w:t>项目贷、股权</w:t>
            </w:r>
          </w:p>
        </w:tc>
      </w:tr>
      <w:tr>
        <w:tc>
          <w:tcPr>
            <w:tcW w:type="dxa" w:w="1984"/>
          </w:tcPr>
          <w:p>
            <w:pPr>
              <w:spacing w:lineRule="exact" w:line="600"/>
              <w:jc w:val="center"/>
            </w:pPr>
            <w:r/>
            <w:r>
              <w:rPr>
                <w:rFonts w:ascii="仿宋_GB2312" w:hAnsi="仿宋_GB2312" w:eastAsia="仿宋_GB2312"/>
                <w:b w:val="0"/>
                <w:color w:val="000000"/>
                <w:sz w:val="32"/>
              </w:rPr>
              <w:t>研发</w:t>
            </w:r>
          </w:p>
        </w:tc>
        <w:tc>
          <w:tcPr>
            <w:tcW w:type="dxa" w:w="3685"/>
          </w:tcPr>
          <w:p>
            <w:pPr>
              <w:spacing w:lineRule="exact" w:line="600"/>
              <w:jc w:val="center"/>
            </w:pPr>
            <w:r/>
            <w:r>
              <w:rPr>
                <w:rFonts w:ascii="仿宋_GB2312" w:hAnsi="仿宋_GB2312" w:eastAsia="仿宋_GB2312"/>
                <w:b w:val="0"/>
                <w:color w:val="000000"/>
                <w:sz w:val="32"/>
              </w:rPr>
              <w:t>万润4.23亿/占比高</w:t>
            </w:r>
          </w:p>
        </w:tc>
        <w:tc>
          <w:tcPr>
            <w:tcW w:type="dxa" w:w="3118"/>
          </w:tcPr>
          <w:p>
            <w:pPr>
              <w:spacing w:lineRule="exact" w:line="600"/>
              <w:jc w:val="center"/>
            </w:pPr>
            <w:r/>
            <w:r>
              <w:rPr>
                <w:rFonts w:ascii="仿宋_GB2312" w:hAnsi="仿宋_GB2312" w:eastAsia="仿宋_GB2312"/>
                <w:b w:val="0"/>
                <w:color w:val="000000"/>
                <w:sz w:val="32"/>
              </w:rPr>
              <w:t>科创再贷款</w:t>
            </w:r>
          </w:p>
        </w:tc>
      </w:tr>
      <w:tr>
        <w:tc>
          <w:tcPr>
            <w:tcW w:type="dxa" w:w="1984"/>
          </w:tcPr>
          <w:p>
            <w:pPr>
              <w:spacing w:lineRule="exact" w:line="600"/>
              <w:jc w:val="center"/>
            </w:pPr>
            <w:r/>
            <w:r>
              <w:rPr>
                <w:rFonts w:ascii="仿宋_GB2312" w:hAnsi="仿宋_GB2312" w:eastAsia="仿宋_GB2312"/>
                <w:b w:val="0"/>
                <w:color w:val="000000"/>
                <w:sz w:val="32"/>
              </w:rPr>
              <w:t>绿色改造</w:t>
            </w:r>
          </w:p>
        </w:tc>
        <w:tc>
          <w:tcPr>
            <w:tcW w:type="dxa" w:w="3685"/>
          </w:tcPr>
          <w:p>
            <w:pPr>
              <w:spacing w:lineRule="exact" w:line="600"/>
              <w:jc w:val="center"/>
            </w:pPr>
            <w:r/>
            <w:r>
              <w:rPr>
                <w:rFonts w:ascii="仿宋_GB2312" w:hAnsi="仿宋_GB2312" w:eastAsia="仿宋_GB2312"/>
                <w:b w:val="0"/>
                <w:color w:val="000000"/>
                <w:sz w:val="32"/>
              </w:rPr>
              <w:t>低碳工艺</w:t>
            </w:r>
          </w:p>
        </w:tc>
        <w:tc>
          <w:tcPr>
            <w:tcW w:type="dxa" w:w="3118"/>
          </w:tcPr>
          <w:p>
            <w:pPr>
              <w:spacing w:lineRule="exact" w:line="600"/>
              <w:jc w:val="center"/>
            </w:pPr>
            <w:r/>
            <w:r>
              <w:rPr>
                <w:rFonts w:ascii="仿宋_GB2312" w:hAnsi="仿宋_GB2312" w:eastAsia="仿宋_GB2312"/>
                <w:b w:val="0"/>
                <w:color w:val="000000"/>
                <w:sz w:val="32"/>
              </w:rPr>
              <w:t>碳减排工具</w:t>
            </w:r>
          </w:p>
        </w:tc>
      </w:tr>
      <w:tr>
        <w:tc>
          <w:tcPr>
            <w:tcW w:type="dxa" w:w="1984"/>
          </w:tcPr>
          <w:p>
            <w:pPr>
              <w:spacing w:lineRule="exact" w:line="600"/>
              <w:jc w:val="center"/>
            </w:pPr>
            <w:r/>
            <w:r>
              <w:rPr>
                <w:rFonts w:ascii="仿宋_GB2312" w:hAnsi="仿宋_GB2312" w:eastAsia="仿宋_GB2312"/>
                <w:b w:val="0"/>
                <w:color w:val="000000"/>
                <w:sz w:val="32"/>
              </w:rPr>
              <w:t>国际化</w:t>
            </w:r>
          </w:p>
        </w:tc>
        <w:tc>
          <w:tcPr>
            <w:tcW w:type="dxa" w:w="3685"/>
          </w:tcPr>
          <w:p>
            <w:pPr>
              <w:spacing w:lineRule="exact" w:line="600"/>
              <w:jc w:val="center"/>
            </w:pPr>
            <w:r/>
            <w:r>
              <w:rPr>
                <w:rFonts w:ascii="仿宋_GB2312" w:hAnsi="仿宋_GB2312" w:eastAsia="仿宋_GB2312"/>
                <w:b w:val="0"/>
                <w:color w:val="000000"/>
                <w:sz w:val="32"/>
              </w:rPr>
              <w:t>海外合资/LPG</w:t>
            </w:r>
          </w:p>
        </w:tc>
        <w:tc>
          <w:tcPr>
            <w:tcW w:type="dxa" w:w="3118"/>
          </w:tcPr>
          <w:p>
            <w:pPr>
              <w:spacing w:lineRule="exact" w:line="600"/>
              <w:jc w:val="center"/>
            </w:pPr>
            <w:r/>
            <w:r>
              <w:rPr>
                <w:rFonts w:ascii="仿宋_GB2312" w:hAnsi="仿宋_GB2312" w:eastAsia="仿宋_GB2312"/>
                <w:b w:val="0"/>
                <w:color w:val="000000"/>
                <w:sz w:val="32"/>
              </w:rPr>
              <w:t>跨境融资、信保</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万华化学集团股份有限公司：A股600309，注册烟台经开区重庆大街59号，全球化工50强（2024年C&amp;EN第16），2024年营收1820.69亿元、归母净利130.33亿元，MDI产能380万吨/年、TDI 111万吨/年、聚醚159万吨/年均为全球最大；福建MDI技改+70万吨（2026Q2）、TDI+33万吨推进中；2025年营收突破2032亿元。来源：万华化学2024年年报、烟台化工产业园报道。</w:t>
      </w:r>
    </w:p>
    <w:p>
      <w:pPr>
        <w:spacing w:lineRule="exact" w:line="600" w:before="0" w:after="0"/>
        <w:ind w:firstLine="420"/>
        <w:jc w:val="both"/>
      </w:pPr>
      <w:r>
        <w:rPr>
          <w:rFonts w:ascii="仿宋_GB2312" w:hAnsi="仿宋_GB2312" w:eastAsia="仿宋_GB2312"/>
          <w:b w:val="0"/>
          <w:color w:val="000000"/>
          <w:sz w:val="32"/>
        </w:rPr>
        <w:t>中节能万润股份有限公司（万润股份）：A股002643，注册烟台经开区五指山路11号，央企中国节能环保集团控股，2024年营收36.93亿元、归母净利2.46亿元；液晶单体材料全球领先、沸石系列环保材料理论产能近万吨（柴油车用全球领先），OLED材料（九目化学、三月科技）业内领先，研发投入占比11.46%。来源：万润股份2024年年报、投资者关系记录。</w:t>
      </w:r>
    </w:p>
    <w:p>
      <w:pPr>
        <w:spacing w:lineRule="exact" w:line="600" w:before="0" w:after="0"/>
        <w:ind w:firstLine="420"/>
        <w:jc w:val="both"/>
      </w:pPr>
      <w:r>
        <w:rPr>
          <w:rFonts w:ascii="仿宋_GB2312" w:hAnsi="仿宋_GB2312" w:eastAsia="仿宋_GB2312"/>
          <w:b w:val="0"/>
          <w:color w:val="000000"/>
          <w:sz w:val="32"/>
        </w:rPr>
        <w:t>美瑞新材料股份有限公司：A股300848，国家级专精特新「小巨人」、山东省制造业单项冠军，国内TPU龙头，TPU总产能近20万吨国内第一梯队，河南鹤壁10万吨HDI装置投产打破海外垄断；2025年营收17.47亿元、同比+5.31%。来源：美瑞新材年报、今日头条公司解读。</w:t>
      </w:r>
    </w:p>
    <w:p>
      <w:pPr>
        <w:spacing w:lineRule="exact" w:line="600" w:before="0" w:after="0"/>
        <w:jc w:val="left"/>
      </w:pPr>
      <w:r>
        <w:rPr>
          <w:rFonts w:ascii="仿宋_GB2312" w:hAnsi="仿宋_GB2312" w:eastAsia="仿宋_GB2312"/>
          <w:b w:val="0"/>
          <w:color w:val="000000"/>
          <w:sz w:val="28"/>
        </w:rPr>
        <w:t>主要数据来源：万华化学集团股份有限公司2024年年度报告（600309，2025-04-15）；中节能万润股份有限公司2024年年度报告及投资者关系活动记录（002643，2025-04-25）；烟台黄渤海新区/烟台化工产业园报道《千亿园区！强者汇聚》（2026年）；山东省工信厅《烟台开发区汇聚产才融合新动能 崛起产业发展新高地》（2021年）；中国化工经济技术发展中心《「十四五」中国化工园区竞争力研究报告》（2025年，十强）；中国新闻网《山东烟台「精耕细作」建世界级绿色石化城》（2023年）；美瑞新材料股份有限公司公开年报与行业解读（2025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