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山东烟台经开区（化工新材料）特色产业集群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高分子复合材料行业深度分析报告</w:t>
      </w:r>
    </w:p>
    <w:p>
      <w:pPr>
        <w:spacing w:lineRule="exact" w:line="600" w:before="0" w:after="0"/>
        <w:jc w:val="left"/>
      </w:pPr>
      <w:r>
        <w:rPr>
          <w:rFonts w:ascii="仿宋_GB2312" w:hAnsi="仿宋_GB2312" w:eastAsia="仿宋_GB2312"/>
          <w:b w:val="0"/>
          <w:color w:val="000000"/>
          <w:sz w:val="28"/>
        </w:rPr>
        <w:t>本报告聚焦烟台经开区化工新材料集群的高分子复合材料环节（以泰和新材氨纶/芳纶高性能纤维、民士达芳纶纸、美瑞新材TPU弹性体为核心）。数据来源于泰和新材2024年年报与公告、民士达公开资料、烟台黄渤海新区报道、行业媒体等。数据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分子复合材料是烟台经开区化工新材料集群的高性能纤维与复合纸核心环节。泰和新材为我国高性能纤维龙头，率先实现氨纶、间位芳纶、对位芳纶、芳纶纸产业化，填补国内多项空白；2024年营收39.29亿元，氨纶名义产能10万吨（有效8.5万吨、产量7.19万吨），芳纶名义产能3.2万吨（有效2.8万吨、产量2.09万吨），间位芳纶产能全球第二、对位芳纶全球第三，2023年率先推出生物基/再生芳纶。其控股子公司民士达专注芳纶纸，全球市场份额第二（仅次于杜邦），2025年6月1500吨新线投产后总产能达4500吨/年；A4大小芳纶蜂窝纸仅几十克可承重2.7吨，1毫米耐电压20千伏，广泛应用于航空、高铁、新能源。美瑞新材TPU产能近20万吨国内第一梯队。该环节技术壁垒高、军民两用属性强，但受氨纶价格低迷与芳纶需求波动拖累盈利。</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泰和2024营收</w:t>
            </w:r>
          </w:p>
        </w:tc>
        <w:tc>
          <w:tcPr>
            <w:tcW w:type="dxa" w:w="2835"/>
          </w:tcPr>
          <w:p>
            <w:pPr>
              <w:spacing w:lineRule="exact" w:line="600"/>
              <w:jc w:val="center"/>
            </w:pPr>
            <w:r/>
            <w:r>
              <w:rPr>
                <w:rFonts w:ascii="仿宋_GB2312" w:hAnsi="仿宋_GB2312" w:eastAsia="仿宋_GB2312"/>
                <w:b w:val="0"/>
                <w:color w:val="000000"/>
                <w:sz w:val="32"/>
              </w:rPr>
              <w:t>39.29亿元</w:t>
            </w:r>
          </w:p>
        </w:tc>
        <w:tc>
          <w:tcPr>
            <w:tcW w:type="dxa" w:w="3118"/>
          </w:tcPr>
          <w:p>
            <w:pPr>
              <w:spacing w:lineRule="exact" w:line="600"/>
              <w:jc w:val="center"/>
            </w:pPr>
            <w:r/>
            <w:r>
              <w:rPr>
                <w:rFonts w:ascii="仿宋_GB2312" w:hAnsi="仿宋_GB2312" w:eastAsia="仿宋_GB2312"/>
                <w:b w:val="0"/>
                <w:color w:val="000000"/>
                <w:sz w:val="32"/>
              </w:rPr>
              <w:t>泰和新材，2024</w:t>
            </w:r>
          </w:p>
        </w:tc>
      </w:tr>
      <w:tr>
        <w:tc>
          <w:tcPr>
            <w:tcW w:type="dxa" w:w="2835"/>
          </w:tcPr>
          <w:p>
            <w:pPr>
              <w:spacing w:lineRule="exact" w:line="600"/>
              <w:jc w:val="center"/>
            </w:pPr>
            <w:r/>
            <w:r>
              <w:rPr>
                <w:rFonts w:ascii="仿宋_GB2312" w:hAnsi="仿宋_GB2312" w:eastAsia="仿宋_GB2312"/>
                <w:b w:val="0"/>
                <w:color w:val="000000"/>
                <w:sz w:val="32"/>
              </w:rPr>
              <w:t>氨纶名义产能</w:t>
            </w:r>
          </w:p>
        </w:tc>
        <w:tc>
          <w:tcPr>
            <w:tcW w:type="dxa" w:w="2835"/>
          </w:tcPr>
          <w:p>
            <w:pPr>
              <w:spacing w:lineRule="exact" w:line="600"/>
              <w:jc w:val="center"/>
            </w:pPr>
            <w:r/>
            <w:r>
              <w:rPr>
                <w:rFonts w:ascii="仿宋_GB2312" w:hAnsi="仿宋_GB2312" w:eastAsia="仿宋_GB2312"/>
                <w:b w:val="0"/>
                <w:color w:val="000000"/>
                <w:sz w:val="32"/>
              </w:rPr>
              <w:t>10万吨</w:t>
            </w:r>
          </w:p>
        </w:tc>
        <w:tc>
          <w:tcPr>
            <w:tcW w:type="dxa" w:w="3118"/>
          </w:tcPr>
          <w:p>
            <w:pPr>
              <w:spacing w:lineRule="exact" w:line="600"/>
              <w:jc w:val="center"/>
            </w:pPr>
            <w:r/>
            <w:r>
              <w:rPr>
                <w:rFonts w:ascii="仿宋_GB2312" w:hAnsi="仿宋_GB2312" w:eastAsia="仿宋_GB2312"/>
                <w:b w:val="0"/>
                <w:color w:val="000000"/>
                <w:sz w:val="32"/>
              </w:rPr>
              <w:t>泰和新材，2024</w:t>
            </w:r>
          </w:p>
        </w:tc>
      </w:tr>
      <w:tr>
        <w:tc>
          <w:tcPr>
            <w:tcW w:type="dxa" w:w="2835"/>
          </w:tcPr>
          <w:p>
            <w:pPr>
              <w:spacing w:lineRule="exact" w:line="600"/>
              <w:jc w:val="center"/>
            </w:pPr>
            <w:r/>
            <w:r>
              <w:rPr>
                <w:rFonts w:ascii="仿宋_GB2312" w:hAnsi="仿宋_GB2312" w:eastAsia="仿宋_GB2312"/>
                <w:b w:val="0"/>
                <w:color w:val="000000"/>
                <w:sz w:val="32"/>
              </w:rPr>
              <w:t>芳纶名义产能</w:t>
            </w:r>
          </w:p>
        </w:tc>
        <w:tc>
          <w:tcPr>
            <w:tcW w:type="dxa" w:w="2835"/>
          </w:tcPr>
          <w:p>
            <w:pPr>
              <w:spacing w:lineRule="exact" w:line="600"/>
              <w:jc w:val="center"/>
            </w:pPr>
            <w:r/>
            <w:r>
              <w:rPr>
                <w:rFonts w:ascii="仿宋_GB2312" w:hAnsi="仿宋_GB2312" w:eastAsia="仿宋_GB2312"/>
                <w:b w:val="0"/>
                <w:color w:val="000000"/>
                <w:sz w:val="32"/>
              </w:rPr>
              <w:t>3.2万吨</w:t>
            </w:r>
          </w:p>
        </w:tc>
        <w:tc>
          <w:tcPr>
            <w:tcW w:type="dxa" w:w="3118"/>
          </w:tcPr>
          <w:p>
            <w:pPr>
              <w:spacing w:lineRule="exact" w:line="600"/>
              <w:jc w:val="center"/>
            </w:pPr>
            <w:r/>
            <w:r>
              <w:rPr>
                <w:rFonts w:ascii="仿宋_GB2312" w:hAnsi="仿宋_GB2312" w:eastAsia="仿宋_GB2312"/>
                <w:b w:val="0"/>
                <w:color w:val="000000"/>
                <w:sz w:val="32"/>
              </w:rPr>
              <w:t>泰和新材，2024</w:t>
            </w:r>
          </w:p>
        </w:tc>
      </w:tr>
      <w:tr>
        <w:tc>
          <w:tcPr>
            <w:tcW w:type="dxa" w:w="2835"/>
          </w:tcPr>
          <w:p>
            <w:pPr>
              <w:spacing w:lineRule="exact" w:line="600"/>
              <w:jc w:val="center"/>
            </w:pPr>
            <w:r/>
            <w:r>
              <w:rPr>
                <w:rFonts w:ascii="仿宋_GB2312" w:hAnsi="仿宋_GB2312" w:eastAsia="仿宋_GB2312"/>
                <w:b w:val="0"/>
                <w:color w:val="000000"/>
                <w:sz w:val="32"/>
              </w:rPr>
              <w:t>民士达总产能</w:t>
            </w:r>
          </w:p>
        </w:tc>
        <w:tc>
          <w:tcPr>
            <w:tcW w:type="dxa" w:w="2835"/>
          </w:tcPr>
          <w:p>
            <w:pPr>
              <w:spacing w:lineRule="exact" w:line="600"/>
              <w:jc w:val="center"/>
            </w:pPr>
            <w:r/>
            <w:r>
              <w:rPr>
                <w:rFonts w:ascii="仿宋_GB2312" w:hAnsi="仿宋_GB2312" w:eastAsia="仿宋_GB2312"/>
                <w:b w:val="0"/>
                <w:color w:val="000000"/>
                <w:sz w:val="32"/>
              </w:rPr>
              <w:t>4500吨/年</w:t>
            </w:r>
          </w:p>
        </w:tc>
        <w:tc>
          <w:tcPr>
            <w:tcW w:type="dxa" w:w="3118"/>
          </w:tcPr>
          <w:p>
            <w:pPr>
              <w:spacing w:lineRule="exact" w:line="600"/>
              <w:jc w:val="center"/>
            </w:pPr>
            <w:r/>
            <w:r>
              <w:rPr>
                <w:rFonts w:ascii="仿宋_GB2312" w:hAnsi="仿宋_GB2312" w:eastAsia="仿宋_GB2312"/>
                <w:b w:val="0"/>
                <w:color w:val="000000"/>
                <w:sz w:val="32"/>
              </w:rPr>
              <w:t>民士达，2025</w:t>
            </w:r>
          </w:p>
        </w:tc>
      </w:tr>
      <w:tr>
        <w:tc>
          <w:tcPr>
            <w:tcW w:type="dxa" w:w="2835"/>
          </w:tcPr>
          <w:p>
            <w:pPr>
              <w:spacing w:lineRule="exact" w:line="600"/>
              <w:jc w:val="center"/>
            </w:pPr>
            <w:r/>
            <w:r>
              <w:rPr>
                <w:rFonts w:ascii="仿宋_GB2312" w:hAnsi="仿宋_GB2312" w:eastAsia="仿宋_GB2312"/>
                <w:b w:val="0"/>
                <w:color w:val="000000"/>
                <w:sz w:val="32"/>
              </w:rPr>
              <w:t>芳纶纸国产化率</w:t>
            </w:r>
          </w:p>
        </w:tc>
        <w:tc>
          <w:tcPr>
            <w:tcW w:type="dxa" w:w="2835"/>
          </w:tcPr>
          <w:p>
            <w:pPr>
              <w:spacing w:lineRule="exact" w:line="600"/>
              <w:jc w:val="center"/>
            </w:pPr>
            <w:r/>
            <w:r>
              <w:rPr>
                <w:rFonts w:ascii="仿宋_GB2312" w:hAnsi="仿宋_GB2312" w:eastAsia="仿宋_GB2312"/>
                <w:b w:val="0"/>
                <w:color w:val="000000"/>
                <w:sz w:val="32"/>
              </w:rPr>
              <w:t>突破58%</w:t>
            </w:r>
          </w:p>
        </w:tc>
        <w:tc>
          <w:tcPr>
            <w:tcW w:type="dxa" w:w="3118"/>
          </w:tcPr>
          <w:p>
            <w:pPr>
              <w:spacing w:lineRule="exact" w:line="600"/>
              <w:jc w:val="center"/>
            </w:pPr>
            <w:r/>
            <w:r>
              <w:rPr>
                <w:rFonts w:ascii="仿宋_GB2312" w:hAnsi="仿宋_GB2312" w:eastAsia="仿宋_GB2312"/>
                <w:b w:val="0"/>
                <w:color w:val="000000"/>
                <w:sz w:val="32"/>
              </w:rPr>
              <w:t>行业数据，2025</w:t>
            </w:r>
          </w:p>
        </w:tc>
      </w:tr>
      <w:tr>
        <w:tc>
          <w:tcPr>
            <w:tcW w:type="dxa" w:w="2835"/>
          </w:tcPr>
          <w:p>
            <w:pPr>
              <w:spacing w:lineRule="exact" w:line="600"/>
              <w:jc w:val="center"/>
            </w:pPr>
            <w:r/>
            <w:r>
              <w:rPr>
                <w:rFonts w:ascii="仿宋_GB2312" w:hAnsi="仿宋_GB2312" w:eastAsia="仿宋_GB2312"/>
                <w:b w:val="0"/>
                <w:color w:val="000000"/>
                <w:sz w:val="32"/>
              </w:rPr>
              <w:t>低空蜂窝市场</w:t>
            </w:r>
          </w:p>
        </w:tc>
        <w:tc>
          <w:tcPr>
            <w:tcW w:type="dxa" w:w="2835"/>
          </w:tcPr>
          <w:p>
            <w:pPr>
              <w:spacing w:lineRule="exact" w:line="600"/>
              <w:jc w:val="center"/>
            </w:pPr>
            <w:r/>
            <w:r>
              <w:rPr>
                <w:rFonts w:ascii="仿宋_GB2312" w:hAnsi="仿宋_GB2312" w:eastAsia="仿宋_GB2312"/>
                <w:b w:val="0"/>
                <w:color w:val="000000"/>
                <w:sz w:val="32"/>
              </w:rPr>
              <w:t>28亿元</w:t>
            </w:r>
          </w:p>
        </w:tc>
        <w:tc>
          <w:tcPr>
            <w:tcW w:type="dxa" w:w="3118"/>
          </w:tcPr>
          <w:p>
            <w:pPr>
              <w:spacing w:lineRule="exact" w:line="600"/>
              <w:jc w:val="center"/>
            </w:pPr>
            <w:r/>
            <w:r>
              <w:rPr>
                <w:rFonts w:ascii="仿宋_GB2312" w:hAnsi="仿宋_GB2312" w:eastAsia="仿宋_GB2312"/>
                <w:b w:val="0"/>
                <w:color w:val="000000"/>
                <w:sz w:val="32"/>
              </w:rPr>
              <w:t>行业数据，2025</w:t>
            </w:r>
          </w:p>
        </w:tc>
      </w:tr>
      <w:tr>
        <w:tc>
          <w:tcPr>
            <w:tcW w:type="dxa" w:w="2835"/>
          </w:tcPr>
          <w:p>
            <w:pPr>
              <w:spacing w:lineRule="exact" w:line="600"/>
              <w:jc w:val="center"/>
            </w:pPr>
            <w:r/>
            <w:r>
              <w:rPr>
                <w:rFonts w:ascii="仿宋_GB2312" w:hAnsi="仿宋_GB2312" w:eastAsia="仿宋_GB2312"/>
                <w:b w:val="0"/>
                <w:color w:val="000000"/>
                <w:sz w:val="32"/>
              </w:rPr>
              <w:t>耐电晕芳纶纸市场</w:t>
            </w:r>
          </w:p>
        </w:tc>
        <w:tc>
          <w:tcPr>
            <w:tcW w:type="dxa" w:w="2835"/>
          </w:tcPr>
          <w:p>
            <w:pPr>
              <w:spacing w:lineRule="exact" w:line="600"/>
              <w:jc w:val="center"/>
            </w:pPr>
            <w:r/>
            <w:r>
              <w:rPr>
                <w:rFonts w:ascii="仿宋_GB2312" w:hAnsi="仿宋_GB2312" w:eastAsia="仿宋_GB2312"/>
                <w:b w:val="0"/>
                <w:color w:val="000000"/>
                <w:sz w:val="32"/>
              </w:rPr>
              <w:t>4.7亿元（2025）</w:t>
            </w:r>
          </w:p>
        </w:tc>
        <w:tc>
          <w:tcPr>
            <w:tcW w:type="dxa" w:w="3118"/>
          </w:tcPr>
          <w:p>
            <w:pPr>
              <w:spacing w:lineRule="exact" w:line="600"/>
              <w:jc w:val="center"/>
            </w:pPr>
            <w:r/>
            <w:r>
              <w:rPr>
                <w:rFonts w:ascii="仿宋_GB2312" w:hAnsi="仿宋_GB2312" w:eastAsia="仿宋_GB2312"/>
                <w:b w:val="0"/>
                <w:color w:val="000000"/>
                <w:sz w:val="32"/>
              </w:rPr>
              <w:t>行业数据，2025</w:t>
            </w:r>
          </w:p>
        </w:tc>
      </w:tr>
      <w:tr>
        <w:tc>
          <w:tcPr>
            <w:tcW w:type="dxa" w:w="2835"/>
          </w:tcPr>
          <w:p>
            <w:pPr>
              <w:spacing w:lineRule="exact" w:line="600"/>
              <w:jc w:val="center"/>
            </w:pPr>
            <w:r/>
            <w:r>
              <w:rPr>
                <w:rFonts w:ascii="仿宋_GB2312" w:hAnsi="仿宋_GB2312" w:eastAsia="仿宋_GB2312"/>
                <w:b w:val="0"/>
                <w:color w:val="000000"/>
                <w:sz w:val="32"/>
              </w:rPr>
              <w:t>泰和全球地位</w:t>
            </w:r>
          </w:p>
        </w:tc>
        <w:tc>
          <w:tcPr>
            <w:tcW w:type="dxa" w:w="2835"/>
          </w:tcPr>
          <w:p>
            <w:pPr>
              <w:spacing w:lineRule="exact" w:line="600"/>
              <w:jc w:val="center"/>
            </w:pPr>
            <w:r/>
            <w:r>
              <w:rPr>
                <w:rFonts w:ascii="仿宋_GB2312" w:hAnsi="仿宋_GB2312" w:eastAsia="仿宋_GB2312"/>
                <w:b w:val="0"/>
                <w:color w:val="000000"/>
                <w:sz w:val="32"/>
              </w:rPr>
              <w:t>间位第二/对位第三</w:t>
            </w:r>
          </w:p>
        </w:tc>
        <w:tc>
          <w:tcPr>
            <w:tcW w:type="dxa" w:w="3118"/>
          </w:tcPr>
          <w:p>
            <w:pPr>
              <w:spacing w:lineRule="exact" w:line="600"/>
              <w:jc w:val="center"/>
            </w:pPr>
            <w:r/>
            <w:r>
              <w:rPr>
                <w:rFonts w:ascii="仿宋_GB2312" w:hAnsi="仿宋_GB2312" w:eastAsia="仿宋_GB2312"/>
                <w:b w:val="0"/>
                <w:color w:val="000000"/>
                <w:sz w:val="32"/>
              </w:rPr>
              <w:t>泰和新材</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（一）高性能纤维政策导向</w:t>
      </w:r>
    </w:p>
    <w:p>
      <w:pPr>
        <w:spacing w:lineRule="exact" w:line="600" w:before="0" w:after="0"/>
        <w:ind w:firstLine="420"/>
        <w:jc w:val="both"/>
      </w:pPr>
      <w:r>
        <w:rPr>
          <w:rFonts w:ascii="仿宋_GB2312" w:hAnsi="仿宋_GB2312" w:eastAsia="仿宋_GB2312"/>
          <w:b w:val="0"/>
          <w:color w:val="000000"/>
          <w:sz w:val="32"/>
        </w:rPr>
        <w:t>高性能纤维列入国家战略性新兴产业与关键战略材料。工信部将氨纶、芳纶等列为重点发展方向，山东省将先进结构材料集群作为「十强」产业「雁阵形」集群培育。烟台先进结构材料集群入选国家首批66个战略性新兴产业集群，民士达「航空航天蜂窝芯材用芳纶纸」入选省低空经济重点产品。新能源、低空经济、个体防护装备标准升级为芳纶打开长期增长空间（需求复合增速5—10%）。</w:t>
      </w:r>
    </w:p>
    <w:p>
      <w:pPr>
        <w:spacing w:lineRule="exact" w:line="600" w:before="120" w:after="120"/>
        <w:ind w:firstLine="420"/>
        <w:jc w:val="left"/>
      </w:pPr>
      <w:r>
        <w:rPr>
          <w:rFonts w:ascii="楷体_GB2312" w:hAnsi="楷体_GB2312" w:eastAsia="楷体_GB2312"/>
          <w:b w:val="0"/>
          <w:color w:val="000000"/>
          <w:sz w:val="32"/>
        </w:rPr>
        <w:t>（二）区域复合材料定位</w:t>
      </w:r>
    </w:p>
    <w:p>
      <w:pPr>
        <w:spacing w:lineRule="exact" w:line="600" w:before="0" w:after="0"/>
        <w:ind w:firstLine="420"/>
        <w:jc w:val="both"/>
      </w:pPr>
      <w:r>
        <w:rPr>
          <w:rFonts w:ascii="仿宋_GB2312" w:hAnsi="仿宋_GB2312" w:eastAsia="仿宋_GB2312"/>
          <w:b w:val="0"/>
          <w:color w:val="000000"/>
          <w:sz w:val="32"/>
        </w:rPr>
        <w:t>烟台以「一核两区」布局先进结构材料：一核为烟台开发区工程塑料及合成树脂材料核心区（依托万华、泰和、万润），两区含龙口高分子复合材料集聚区（道恩）等。泰和新材高分子新材料产业园规划间位芳纶、芳纶纸、智能纤维、氨纶、对位芳纶等项目，全部达产年产值80亿元。集群以创新驱动打造国际竞争优势的先进结构材料产业集群。</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政策/规划要点</w:t>
            </w:r>
          </w:p>
        </w:tc>
        <w:tc>
          <w:tcPr>
            <w:tcW w:type="dxa" w:w="3685"/>
          </w:tcPr>
          <w:p>
            <w:pPr>
              <w:spacing w:lineRule="exact" w:line="600"/>
              <w:jc w:val="center"/>
            </w:pPr>
            <w:r/>
            <w:r>
              <w:rPr>
                <w:rFonts w:ascii="黑体" w:hAnsi="黑体" w:eastAsia="黑体"/>
                <w:b/>
                <w:color w:val="000000"/>
                <w:sz w:val="32"/>
              </w:rPr>
              <w:t>对复合材料影响</w:t>
            </w:r>
          </w:p>
        </w:tc>
        <w:tc>
          <w:tcPr>
            <w:tcW w:type="dxa" w:w="2551"/>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战略性新兴产业集群</w:t>
            </w:r>
          </w:p>
        </w:tc>
        <w:tc>
          <w:tcPr>
            <w:tcW w:type="dxa" w:w="3685"/>
          </w:tcPr>
          <w:p>
            <w:pPr>
              <w:spacing w:lineRule="exact" w:line="600"/>
              <w:jc w:val="center"/>
            </w:pPr>
            <w:r/>
            <w:r>
              <w:rPr>
                <w:rFonts w:ascii="仿宋_GB2312" w:hAnsi="仿宋_GB2312" w:eastAsia="仿宋_GB2312"/>
                <w:b w:val="0"/>
                <w:color w:val="000000"/>
                <w:sz w:val="32"/>
              </w:rPr>
              <w:t>先进结构材料首批66个</w:t>
            </w:r>
          </w:p>
        </w:tc>
        <w:tc>
          <w:tcPr>
            <w:tcW w:type="dxa" w:w="2551"/>
          </w:tcPr>
          <w:p>
            <w:pPr>
              <w:spacing w:lineRule="exact" w:line="600"/>
              <w:jc w:val="center"/>
            </w:pPr>
            <w:r/>
            <w:r>
              <w:rPr>
                <w:rFonts w:ascii="仿宋_GB2312" w:hAnsi="仿宋_GB2312" w:eastAsia="仿宋_GB2312"/>
                <w:b w:val="0"/>
                <w:color w:val="000000"/>
                <w:sz w:val="32"/>
              </w:rPr>
              <w:t>国家发改委，2020</w:t>
            </w:r>
          </w:p>
        </w:tc>
      </w:tr>
      <w:tr>
        <w:tc>
          <w:tcPr>
            <w:tcW w:type="dxa" w:w="2551"/>
          </w:tcPr>
          <w:p>
            <w:pPr>
              <w:spacing w:lineRule="exact" w:line="600"/>
              <w:jc w:val="center"/>
            </w:pPr>
            <w:r/>
            <w:r>
              <w:rPr>
                <w:rFonts w:ascii="仿宋_GB2312" w:hAnsi="仿宋_GB2312" w:eastAsia="仿宋_GB2312"/>
                <w:b w:val="0"/>
                <w:color w:val="000000"/>
                <w:sz w:val="32"/>
              </w:rPr>
              <w:t>省低空经济重点产品</w:t>
            </w:r>
          </w:p>
        </w:tc>
        <w:tc>
          <w:tcPr>
            <w:tcW w:type="dxa" w:w="3685"/>
          </w:tcPr>
          <w:p>
            <w:pPr>
              <w:spacing w:lineRule="exact" w:line="600"/>
              <w:jc w:val="center"/>
            </w:pPr>
            <w:r/>
            <w:r>
              <w:rPr>
                <w:rFonts w:ascii="仿宋_GB2312" w:hAnsi="仿宋_GB2312" w:eastAsia="仿宋_GB2312"/>
                <w:b w:val="0"/>
                <w:color w:val="000000"/>
                <w:sz w:val="32"/>
              </w:rPr>
              <w:t>航空航天蜂窝芯材芳纶纸</w:t>
            </w:r>
          </w:p>
        </w:tc>
        <w:tc>
          <w:tcPr>
            <w:tcW w:type="dxa" w:w="2551"/>
          </w:tcPr>
          <w:p>
            <w:pPr>
              <w:spacing w:lineRule="exact" w:line="600"/>
              <w:jc w:val="center"/>
            </w:pPr>
            <w:r/>
            <w:r>
              <w:rPr>
                <w:rFonts w:ascii="仿宋_GB2312" w:hAnsi="仿宋_GB2312" w:eastAsia="仿宋_GB2312"/>
                <w:b w:val="0"/>
                <w:color w:val="000000"/>
                <w:sz w:val="32"/>
              </w:rPr>
              <w:t>山东省，2024</w:t>
            </w:r>
          </w:p>
        </w:tc>
      </w:tr>
      <w:tr>
        <w:tc>
          <w:tcPr>
            <w:tcW w:type="dxa" w:w="2551"/>
          </w:tcPr>
          <w:p>
            <w:pPr>
              <w:spacing w:lineRule="exact" w:line="600"/>
              <w:jc w:val="center"/>
            </w:pPr>
            <w:r/>
            <w:r>
              <w:rPr>
                <w:rFonts w:ascii="仿宋_GB2312" w:hAnsi="仿宋_GB2312" w:eastAsia="仿宋_GB2312"/>
                <w:b w:val="0"/>
                <w:color w:val="000000"/>
                <w:sz w:val="32"/>
              </w:rPr>
              <w:t>一核两区布局</w:t>
            </w:r>
          </w:p>
        </w:tc>
        <w:tc>
          <w:tcPr>
            <w:tcW w:type="dxa" w:w="3685"/>
          </w:tcPr>
          <w:p>
            <w:pPr>
              <w:spacing w:lineRule="exact" w:line="600"/>
              <w:jc w:val="center"/>
            </w:pPr>
            <w:r/>
            <w:r>
              <w:rPr>
                <w:rFonts w:ascii="仿宋_GB2312" w:hAnsi="仿宋_GB2312" w:eastAsia="仿宋_GB2312"/>
                <w:b w:val="0"/>
                <w:color w:val="000000"/>
                <w:sz w:val="32"/>
              </w:rPr>
              <w:t>开发区核心+龙口集聚</w:t>
            </w:r>
          </w:p>
        </w:tc>
        <w:tc>
          <w:tcPr>
            <w:tcW w:type="dxa" w:w="2551"/>
          </w:tcPr>
          <w:p>
            <w:pPr>
              <w:spacing w:lineRule="exact" w:line="600"/>
              <w:jc w:val="center"/>
            </w:pPr>
            <w:r/>
            <w:r>
              <w:rPr>
                <w:rFonts w:ascii="仿宋_GB2312" w:hAnsi="仿宋_GB2312" w:eastAsia="仿宋_GB2312"/>
                <w:b w:val="0"/>
                <w:color w:val="000000"/>
                <w:sz w:val="32"/>
              </w:rPr>
              <w:t>烟台市发改委</w:t>
            </w:r>
          </w:p>
        </w:tc>
      </w:tr>
      <w:tr>
        <w:tc>
          <w:tcPr>
            <w:tcW w:type="dxa" w:w="2551"/>
          </w:tcPr>
          <w:p>
            <w:pPr>
              <w:spacing w:lineRule="exact" w:line="600"/>
              <w:jc w:val="center"/>
            </w:pPr>
            <w:r/>
            <w:r>
              <w:rPr>
                <w:rFonts w:ascii="仿宋_GB2312" w:hAnsi="仿宋_GB2312" w:eastAsia="仿宋_GB2312"/>
                <w:b w:val="0"/>
                <w:color w:val="000000"/>
                <w:sz w:val="32"/>
              </w:rPr>
              <w:t>高性能纤维</w:t>
            </w:r>
          </w:p>
        </w:tc>
        <w:tc>
          <w:tcPr>
            <w:tcW w:type="dxa" w:w="3685"/>
          </w:tcPr>
          <w:p>
            <w:pPr>
              <w:spacing w:lineRule="exact" w:line="600"/>
              <w:jc w:val="center"/>
            </w:pPr>
            <w:r/>
            <w:r>
              <w:rPr>
                <w:rFonts w:ascii="仿宋_GB2312" w:hAnsi="仿宋_GB2312" w:eastAsia="仿宋_GB2312"/>
                <w:b w:val="0"/>
                <w:color w:val="000000"/>
                <w:sz w:val="32"/>
              </w:rPr>
              <w:t>氨纶/芳纶重点方向</w:t>
            </w:r>
          </w:p>
        </w:tc>
        <w:tc>
          <w:tcPr>
            <w:tcW w:type="dxa" w:w="2551"/>
          </w:tcPr>
          <w:p>
            <w:pPr>
              <w:spacing w:lineRule="exact" w:line="600"/>
              <w:jc w:val="center"/>
            </w:pPr>
            <w:r/>
            <w:r>
              <w:rPr>
                <w:rFonts w:ascii="仿宋_GB2312" w:hAnsi="仿宋_GB2312" w:eastAsia="仿宋_GB2312"/>
                <w:b w:val="0"/>
                <w:color w:val="000000"/>
                <w:sz w:val="32"/>
              </w:rPr>
              <w:t>工信部</w:t>
            </w:r>
          </w:p>
        </w:tc>
      </w:tr>
      <w:tr>
        <w:tc>
          <w:tcPr>
            <w:tcW w:type="dxa" w:w="2551"/>
          </w:tcPr>
          <w:p>
            <w:pPr>
              <w:spacing w:lineRule="exact" w:line="600"/>
              <w:jc w:val="center"/>
            </w:pPr>
            <w:r/>
            <w:r>
              <w:rPr>
                <w:rFonts w:ascii="仿宋_GB2312" w:hAnsi="仿宋_GB2312" w:eastAsia="仿宋_GB2312"/>
                <w:b w:val="0"/>
                <w:color w:val="000000"/>
                <w:sz w:val="32"/>
              </w:rPr>
              <w:t>芳纶需求增速</w:t>
            </w:r>
          </w:p>
        </w:tc>
        <w:tc>
          <w:tcPr>
            <w:tcW w:type="dxa" w:w="3685"/>
          </w:tcPr>
          <w:p>
            <w:pPr>
              <w:spacing w:lineRule="exact" w:line="600"/>
              <w:jc w:val="center"/>
            </w:pPr>
            <w:r/>
            <w:r>
              <w:rPr>
                <w:rFonts w:ascii="仿宋_GB2312" w:hAnsi="仿宋_GB2312" w:eastAsia="仿宋_GB2312"/>
                <w:b w:val="0"/>
                <w:color w:val="000000"/>
                <w:sz w:val="32"/>
              </w:rPr>
              <w:t>复合5—10%</w:t>
            </w:r>
          </w:p>
        </w:tc>
        <w:tc>
          <w:tcPr>
            <w:tcW w:type="dxa" w:w="2551"/>
          </w:tcPr>
          <w:p>
            <w:pPr>
              <w:spacing w:lineRule="exact" w:line="600"/>
              <w:jc w:val="center"/>
            </w:pPr>
            <w:r/>
            <w:r>
              <w:rPr>
                <w:rFonts w:ascii="仿宋_GB2312" w:hAnsi="仿宋_GB2312" w:eastAsia="仿宋_GB2312"/>
                <w:b w:val="0"/>
                <w:color w:val="000000"/>
                <w:sz w:val="32"/>
              </w:rPr>
              <w:t>行业研报</w:t>
            </w:r>
          </w:p>
        </w:tc>
      </w:tr>
    </w:tbl>
    <w:p>
      <w:pPr>
        <w:spacing w:lineRule="exact" w:line="600" w:before="120" w:after="120"/>
        <w:ind w:firstLine="420"/>
        <w:jc w:val="left"/>
      </w:pPr>
      <w:r>
        <w:rPr>
          <w:rFonts w:ascii="楷体_GB2312" w:hAnsi="楷体_GB2312" w:eastAsia="楷体_GB2312"/>
          <w:b w:val="0"/>
          <w:color w:val="000000"/>
          <w:sz w:val="32"/>
        </w:rPr>
        <w:t>全市工业与绿色石化支柱（本批真实数据补充·来源见正文）</w:t>
      </w:r>
    </w:p>
    <w:p>
      <w:pPr>
        <w:spacing w:lineRule="exact" w:line="600" w:before="0" w:after="0"/>
        <w:ind w:firstLine="420"/>
        <w:jc w:val="both"/>
      </w:pPr>
      <w:r>
        <w:rPr>
          <w:rFonts w:ascii="仿宋_GB2312" w:hAnsi="仿宋_GB2312" w:eastAsia="仿宋_GB2312"/>
          <w:b w:val="0"/>
          <w:color w:val="000000"/>
          <w:sz w:val="32"/>
        </w:rPr>
        <w:t>2024年烟台规上工业增加值增长9%，规上工业营业收入同比增长12.5%，利润总额673.1亿元、居全省首位；制造业企业2900多家，高新技术产业产值占比超60%。石化行业是支撑烟台经济的“台柱子”，绿色石化产业占全市规上工业比重约16.7%。（来源：经济日报2025年烟台头版、烟台市统计局口径）</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规上工业增加值增速</w:t>
            </w:r>
          </w:p>
        </w:tc>
        <w:tc>
          <w:tcPr>
            <w:tcW w:type="dxa" w:w="3118"/>
          </w:tcPr>
          <w:p>
            <w:pPr>
              <w:spacing w:lineRule="exact" w:line="600"/>
              <w:jc w:val="center"/>
            </w:pPr>
            <w:r/>
            <w:r>
              <w:rPr>
                <w:rFonts w:ascii="仿宋_GB2312" w:hAnsi="仿宋_GB2312" w:eastAsia="仿宋_GB2312"/>
                <w:b w:val="0"/>
                <w:color w:val="000000"/>
                <w:sz w:val="32"/>
              </w:rPr>
              <w:t>9%（2024）</w:t>
            </w:r>
          </w:p>
        </w:tc>
        <w:tc>
          <w:tcPr>
            <w:tcW w:type="dxa" w:w="2551"/>
          </w:tcPr>
          <w:p>
            <w:pPr>
              <w:spacing w:lineRule="exact" w:line="600"/>
              <w:jc w:val="center"/>
            </w:pPr>
            <w:r/>
            <w:r>
              <w:rPr>
                <w:rFonts w:ascii="仿宋_GB2312" w:hAnsi="仿宋_GB2312" w:eastAsia="仿宋_GB2312"/>
                <w:b w:val="0"/>
                <w:color w:val="000000"/>
                <w:sz w:val="32"/>
              </w:rPr>
              <w:t>高于全省0.7个百分点</w:t>
            </w:r>
          </w:p>
        </w:tc>
      </w:tr>
      <w:tr>
        <w:tc>
          <w:tcPr>
            <w:tcW w:type="dxa" w:w="2835"/>
          </w:tcPr>
          <w:p>
            <w:pPr>
              <w:spacing w:lineRule="exact" w:line="600"/>
              <w:jc w:val="center"/>
            </w:pPr>
            <w:r/>
            <w:r>
              <w:rPr>
                <w:rFonts w:ascii="仿宋_GB2312" w:hAnsi="仿宋_GB2312" w:eastAsia="仿宋_GB2312"/>
                <w:b w:val="0"/>
                <w:color w:val="000000"/>
                <w:sz w:val="32"/>
              </w:rPr>
              <w:t>规上工业利润总额</w:t>
            </w:r>
          </w:p>
        </w:tc>
        <w:tc>
          <w:tcPr>
            <w:tcW w:type="dxa" w:w="3118"/>
          </w:tcPr>
          <w:p>
            <w:pPr>
              <w:spacing w:lineRule="exact" w:line="600"/>
              <w:jc w:val="center"/>
            </w:pPr>
            <w:r/>
            <w:r>
              <w:rPr>
                <w:rFonts w:ascii="仿宋_GB2312" w:hAnsi="仿宋_GB2312" w:eastAsia="仿宋_GB2312"/>
                <w:b w:val="0"/>
                <w:color w:val="000000"/>
                <w:sz w:val="32"/>
              </w:rPr>
              <w:t>673.1亿元</w:t>
            </w:r>
          </w:p>
        </w:tc>
        <w:tc>
          <w:tcPr>
            <w:tcW w:type="dxa" w:w="2551"/>
          </w:tcPr>
          <w:p>
            <w:pPr>
              <w:spacing w:lineRule="exact" w:line="600"/>
              <w:jc w:val="center"/>
            </w:pPr>
            <w:r/>
            <w:r>
              <w:rPr>
                <w:rFonts w:ascii="仿宋_GB2312" w:hAnsi="仿宋_GB2312" w:eastAsia="仿宋_GB2312"/>
                <w:b w:val="0"/>
                <w:color w:val="000000"/>
                <w:sz w:val="32"/>
              </w:rPr>
              <w:t>居全省首位</w:t>
            </w:r>
          </w:p>
        </w:tc>
      </w:tr>
      <w:tr>
        <w:tc>
          <w:tcPr>
            <w:tcW w:type="dxa" w:w="2835"/>
          </w:tcPr>
          <w:p>
            <w:pPr>
              <w:spacing w:lineRule="exact" w:line="600"/>
              <w:jc w:val="center"/>
            </w:pPr>
            <w:r/>
            <w:r>
              <w:rPr>
                <w:rFonts w:ascii="仿宋_GB2312" w:hAnsi="仿宋_GB2312" w:eastAsia="仿宋_GB2312"/>
                <w:b w:val="0"/>
                <w:color w:val="000000"/>
                <w:sz w:val="32"/>
              </w:rPr>
              <w:t>制造业企业数量</w:t>
            </w:r>
          </w:p>
        </w:tc>
        <w:tc>
          <w:tcPr>
            <w:tcW w:type="dxa" w:w="3118"/>
          </w:tcPr>
          <w:p>
            <w:pPr>
              <w:spacing w:lineRule="exact" w:line="600"/>
              <w:jc w:val="center"/>
            </w:pPr>
            <w:r/>
            <w:r>
              <w:rPr>
                <w:rFonts w:ascii="仿宋_GB2312" w:hAnsi="仿宋_GB2312" w:eastAsia="仿宋_GB2312"/>
                <w:b w:val="0"/>
                <w:color w:val="000000"/>
                <w:sz w:val="32"/>
              </w:rPr>
              <w:t>2900多家</w:t>
            </w:r>
          </w:p>
        </w:tc>
        <w:tc>
          <w:tcPr>
            <w:tcW w:type="dxa" w:w="2551"/>
          </w:tcPr>
          <w:p>
            <w:pPr>
              <w:spacing w:lineRule="exact" w:line="600"/>
              <w:jc w:val="center"/>
            </w:pPr>
            <w:r/>
            <w:r>
              <w:rPr>
                <w:rFonts w:ascii="仿宋_GB2312" w:hAnsi="仿宋_GB2312" w:eastAsia="仿宋_GB2312"/>
                <w:b w:val="0"/>
                <w:color w:val="000000"/>
                <w:sz w:val="32"/>
              </w:rPr>
              <w:t>立市之本</w:t>
            </w:r>
          </w:p>
        </w:tc>
      </w:tr>
      <w:tr>
        <w:tc>
          <w:tcPr>
            <w:tcW w:type="dxa" w:w="2835"/>
          </w:tcPr>
          <w:p>
            <w:pPr>
              <w:spacing w:lineRule="exact" w:line="600"/>
              <w:jc w:val="center"/>
            </w:pPr>
            <w:r/>
            <w:r>
              <w:rPr>
                <w:rFonts w:ascii="仿宋_GB2312" w:hAnsi="仿宋_GB2312" w:eastAsia="仿宋_GB2312"/>
                <w:b w:val="0"/>
                <w:color w:val="000000"/>
                <w:sz w:val="32"/>
              </w:rPr>
              <w:t>高新技术产业产值占比</w:t>
            </w:r>
          </w:p>
        </w:tc>
        <w:tc>
          <w:tcPr>
            <w:tcW w:type="dxa" w:w="3118"/>
          </w:tcPr>
          <w:p>
            <w:pPr>
              <w:spacing w:lineRule="exact" w:line="600"/>
              <w:jc w:val="center"/>
            </w:pPr>
            <w:r/>
            <w:r>
              <w:rPr>
                <w:rFonts w:ascii="仿宋_GB2312" w:hAnsi="仿宋_GB2312" w:eastAsia="仿宋_GB2312"/>
                <w:b w:val="0"/>
                <w:color w:val="000000"/>
                <w:sz w:val="32"/>
              </w:rPr>
              <w:t>超60%</w:t>
            </w:r>
          </w:p>
        </w:tc>
        <w:tc>
          <w:tcPr>
            <w:tcW w:type="dxa" w:w="2551"/>
          </w:tcPr>
          <w:p>
            <w:pPr>
              <w:spacing w:lineRule="exact" w:line="600"/>
              <w:jc w:val="center"/>
            </w:pPr>
            <w:r/>
            <w:r>
              <w:rPr>
                <w:rFonts w:ascii="仿宋_GB2312" w:hAnsi="仿宋_GB2312" w:eastAsia="仿宋_GB2312"/>
                <w:b w:val="0"/>
                <w:color w:val="000000"/>
                <w:sz w:val="32"/>
              </w:rPr>
              <w:t>新动能主导</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（一）上游原辅材料</w:t>
      </w:r>
    </w:p>
    <w:p>
      <w:pPr>
        <w:spacing w:lineRule="exact" w:line="600" w:before="0" w:after="0"/>
        <w:ind w:firstLine="420"/>
        <w:jc w:val="both"/>
      </w:pPr>
      <w:r>
        <w:rPr>
          <w:rFonts w:ascii="仿宋_GB2312" w:hAnsi="仿宋_GB2312" w:eastAsia="仿宋_GB2312"/>
          <w:b w:val="0"/>
          <w:color w:val="000000"/>
          <w:sz w:val="32"/>
        </w:rPr>
        <w:t>氨纶上游为PTMEG、MDI等，芳纶上游为间苯二胺、对苯二胺、间苯二甲酰氯等芳香族单体。泰和新材2024年采购间苯二胺5393吨、间苯二甲酰氯9941吨、对苯二胺3389吨、对苯二甲酰氯6733吨，显示上游原料国产化配套逐步完善。芳纶纸上游为芳纶纤维（间位/对位），由泰和自给并外采，民士达完成纤维—纸一体化。</w:t>
      </w:r>
    </w:p>
    <w:p>
      <w:pPr>
        <w:spacing w:lineRule="exact" w:line="600" w:before="120" w:after="120"/>
        <w:ind w:firstLine="420"/>
        <w:jc w:val="left"/>
      </w:pPr>
      <w:r>
        <w:rPr>
          <w:rFonts w:ascii="楷体_GB2312" w:hAnsi="楷体_GB2312" w:eastAsia="楷体_GB2312"/>
          <w:b w:val="0"/>
          <w:color w:val="000000"/>
          <w:sz w:val="32"/>
        </w:rPr>
        <w:t>（二）中游纤维与复合纸制造</w:t>
      </w:r>
    </w:p>
    <w:p>
      <w:pPr>
        <w:spacing w:lineRule="exact" w:line="600" w:before="0" w:after="0"/>
        <w:ind w:firstLine="420"/>
        <w:jc w:val="both"/>
      </w:pPr>
      <w:r>
        <w:rPr>
          <w:rFonts w:ascii="仿宋_GB2312" w:hAnsi="仿宋_GB2312" w:eastAsia="仿宋_GB2312"/>
          <w:b w:val="0"/>
          <w:color w:val="000000"/>
          <w:sz w:val="32"/>
        </w:rPr>
        <w:t>中游为高性能纤维纺丝与复合纸制造。泰和新材氨纶名义产能10万吨（烟台园区15%、宁东85%），芳纶名义3.2万吨（间位、对位各1.6万吨）；民士达芳纶纸采用湿法抄造+低温增塑热压，拥有国内唯一高性能多叠网湿法装备，2025年6月1500吨新线投产后总产能4500吨/年。美瑞新材TPU产能近20万吨，涵盖聚酯/聚醚/脂肪族耐候等上千牌号。</w:t>
      </w:r>
    </w:p>
    <w:p>
      <w:pPr>
        <w:spacing w:lineRule="exact" w:line="600" w:before="120" w:after="120"/>
        <w:ind w:firstLine="420"/>
        <w:jc w:val="left"/>
      </w:pPr>
      <w:r>
        <w:rPr>
          <w:rFonts w:ascii="楷体_GB2312" w:hAnsi="楷体_GB2312" w:eastAsia="楷体_GB2312"/>
          <w:b w:val="0"/>
          <w:color w:val="000000"/>
          <w:sz w:val="32"/>
        </w:rPr>
        <w:t>（三）下游复合与制品</w:t>
      </w:r>
    </w:p>
    <w:p>
      <w:pPr>
        <w:spacing w:lineRule="exact" w:line="600" w:before="0" w:after="0"/>
        <w:ind w:firstLine="420"/>
        <w:jc w:val="both"/>
      </w:pPr>
      <w:r>
        <w:rPr>
          <w:rFonts w:ascii="仿宋_GB2312" w:hAnsi="仿宋_GB2312" w:eastAsia="仿宋_GB2312"/>
          <w:b w:val="0"/>
          <w:color w:val="000000"/>
          <w:sz w:val="32"/>
        </w:rPr>
        <w:t>下游将纤维与芳纶纸加工为蜂窝芯材、刹车片、涂覆隔膜、防护服装、绝缘件等。民士达芳纶纸制蜂窝芯材用于机翼、高铁内饰（降噪15分贝）；泰和新材芳纶涂覆隔膜（SAFEBM）提升锂电池安全；泰普龙纤维刹车片以5%添加量达传统石棉20%效果。下游跨轨道交通、航空航天、新能源、防护、信息通信多领域。</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产品/产能</w:t>
            </w:r>
          </w:p>
        </w:tc>
        <w:tc>
          <w:tcPr>
            <w:tcW w:type="dxa" w:w="3685"/>
          </w:tcPr>
          <w:p>
            <w:pPr>
              <w:spacing w:lineRule="exact" w:line="600"/>
              <w:jc w:val="center"/>
            </w:pPr>
            <w:r/>
            <w:r>
              <w:rPr>
                <w:rFonts w:ascii="黑体" w:hAnsi="黑体" w:eastAsia="黑体"/>
                <w:b/>
                <w:color w:val="000000"/>
                <w:sz w:val="32"/>
              </w:rPr>
              <w:t>代表企业</w:t>
            </w:r>
          </w:p>
        </w:tc>
      </w:tr>
      <w:tr>
        <w:tc>
          <w:tcPr>
            <w:tcW w:type="dxa" w:w="1701"/>
          </w:tcPr>
          <w:p>
            <w:pPr>
              <w:spacing w:lineRule="exact" w:line="600"/>
              <w:jc w:val="center"/>
            </w:pPr>
            <w:r/>
            <w:r>
              <w:rPr>
                <w:rFonts w:ascii="仿宋_GB2312" w:hAnsi="仿宋_GB2312" w:eastAsia="仿宋_GB2312"/>
                <w:b w:val="0"/>
                <w:color w:val="000000"/>
                <w:sz w:val="32"/>
              </w:rPr>
              <w:t>上游单体</w:t>
            </w:r>
          </w:p>
        </w:tc>
        <w:tc>
          <w:tcPr>
            <w:tcW w:type="dxa" w:w="3685"/>
          </w:tcPr>
          <w:p>
            <w:pPr>
              <w:spacing w:lineRule="exact" w:line="600"/>
              <w:jc w:val="center"/>
            </w:pPr>
            <w:r/>
            <w:r>
              <w:rPr>
                <w:rFonts w:ascii="仿宋_GB2312" w:hAnsi="仿宋_GB2312" w:eastAsia="仿宋_GB2312"/>
                <w:b w:val="0"/>
                <w:color w:val="000000"/>
                <w:sz w:val="32"/>
              </w:rPr>
              <w:t>间苯二胺/对苯二胺等</w:t>
            </w:r>
          </w:p>
        </w:tc>
        <w:tc>
          <w:tcPr>
            <w:tcW w:type="dxa" w:w="3685"/>
          </w:tcPr>
          <w:p>
            <w:pPr>
              <w:spacing w:lineRule="exact" w:line="600"/>
              <w:jc w:val="center"/>
            </w:pPr>
            <w:r/>
            <w:r>
              <w:rPr>
                <w:rFonts w:ascii="仿宋_GB2312" w:hAnsi="仿宋_GB2312" w:eastAsia="仿宋_GB2312"/>
                <w:b w:val="0"/>
                <w:color w:val="000000"/>
                <w:sz w:val="32"/>
              </w:rPr>
              <w:t>泰和供应链</w:t>
            </w:r>
          </w:p>
        </w:tc>
      </w:tr>
      <w:tr>
        <w:tc>
          <w:tcPr>
            <w:tcW w:type="dxa" w:w="1701"/>
          </w:tcPr>
          <w:p>
            <w:pPr>
              <w:spacing w:lineRule="exact" w:line="600"/>
              <w:jc w:val="center"/>
            </w:pPr>
            <w:r/>
            <w:r>
              <w:rPr>
                <w:rFonts w:ascii="仿宋_GB2312" w:hAnsi="仿宋_GB2312" w:eastAsia="仿宋_GB2312"/>
                <w:b w:val="0"/>
                <w:color w:val="000000"/>
                <w:sz w:val="32"/>
              </w:rPr>
              <w:t>中游纤维</w:t>
            </w:r>
          </w:p>
        </w:tc>
        <w:tc>
          <w:tcPr>
            <w:tcW w:type="dxa" w:w="3685"/>
          </w:tcPr>
          <w:p>
            <w:pPr>
              <w:spacing w:lineRule="exact" w:line="600"/>
              <w:jc w:val="center"/>
            </w:pPr>
            <w:r/>
            <w:r>
              <w:rPr>
                <w:rFonts w:ascii="仿宋_GB2312" w:hAnsi="仿宋_GB2312" w:eastAsia="仿宋_GB2312"/>
                <w:b w:val="0"/>
                <w:color w:val="000000"/>
                <w:sz w:val="32"/>
              </w:rPr>
              <w:t>氨纶10万/芳纶3.2万吨</w:t>
            </w:r>
          </w:p>
        </w:tc>
        <w:tc>
          <w:tcPr>
            <w:tcW w:type="dxa" w:w="3685"/>
          </w:tcPr>
          <w:p>
            <w:pPr>
              <w:spacing w:lineRule="exact" w:line="600"/>
              <w:jc w:val="center"/>
            </w:pPr>
            <w:r/>
            <w:r>
              <w:rPr>
                <w:rFonts w:ascii="仿宋_GB2312" w:hAnsi="仿宋_GB2312" w:eastAsia="仿宋_GB2312"/>
                <w:b w:val="0"/>
                <w:color w:val="000000"/>
                <w:sz w:val="32"/>
              </w:rPr>
              <w:t>泰和新材</w:t>
            </w:r>
          </w:p>
        </w:tc>
      </w:tr>
      <w:tr>
        <w:tc>
          <w:tcPr>
            <w:tcW w:type="dxa" w:w="1701"/>
          </w:tcPr>
          <w:p>
            <w:pPr>
              <w:spacing w:lineRule="exact" w:line="600"/>
              <w:jc w:val="center"/>
            </w:pPr>
            <w:r/>
            <w:r>
              <w:rPr>
                <w:rFonts w:ascii="仿宋_GB2312" w:hAnsi="仿宋_GB2312" w:eastAsia="仿宋_GB2312"/>
                <w:b w:val="0"/>
                <w:color w:val="000000"/>
                <w:sz w:val="32"/>
              </w:rPr>
              <w:t>中游复合纸</w:t>
            </w:r>
          </w:p>
        </w:tc>
        <w:tc>
          <w:tcPr>
            <w:tcW w:type="dxa" w:w="3685"/>
          </w:tcPr>
          <w:p>
            <w:pPr>
              <w:spacing w:lineRule="exact" w:line="600"/>
              <w:jc w:val="center"/>
            </w:pPr>
            <w:r/>
            <w:r>
              <w:rPr>
                <w:rFonts w:ascii="仿宋_GB2312" w:hAnsi="仿宋_GB2312" w:eastAsia="仿宋_GB2312"/>
                <w:b w:val="0"/>
                <w:color w:val="000000"/>
                <w:sz w:val="32"/>
              </w:rPr>
              <w:t>芳纶纸4500吨/年</w:t>
            </w:r>
          </w:p>
        </w:tc>
        <w:tc>
          <w:tcPr>
            <w:tcW w:type="dxa" w:w="3685"/>
          </w:tcPr>
          <w:p>
            <w:pPr>
              <w:spacing w:lineRule="exact" w:line="600"/>
              <w:jc w:val="center"/>
            </w:pPr>
            <w:r/>
            <w:r>
              <w:rPr>
                <w:rFonts w:ascii="仿宋_GB2312" w:hAnsi="仿宋_GB2312" w:eastAsia="仿宋_GB2312"/>
                <w:b w:val="0"/>
                <w:color w:val="000000"/>
                <w:sz w:val="32"/>
              </w:rPr>
              <w:t>民士达</w:t>
            </w:r>
          </w:p>
        </w:tc>
      </w:tr>
      <w:tr>
        <w:tc>
          <w:tcPr>
            <w:tcW w:type="dxa" w:w="1701"/>
          </w:tcPr>
          <w:p>
            <w:pPr>
              <w:spacing w:lineRule="exact" w:line="600"/>
              <w:jc w:val="center"/>
            </w:pPr>
            <w:r/>
            <w:r>
              <w:rPr>
                <w:rFonts w:ascii="仿宋_GB2312" w:hAnsi="仿宋_GB2312" w:eastAsia="仿宋_GB2312"/>
                <w:b w:val="0"/>
                <w:color w:val="000000"/>
                <w:sz w:val="32"/>
              </w:rPr>
              <w:t>中游弹性体</w:t>
            </w:r>
          </w:p>
        </w:tc>
        <w:tc>
          <w:tcPr>
            <w:tcW w:type="dxa" w:w="3685"/>
          </w:tcPr>
          <w:p>
            <w:pPr>
              <w:spacing w:lineRule="exact" w:line="600"/>
              <w:jc w:val="center"/>
            </w:pPr>
            <w:r/>
            <w:r>
              <w:rPr>
                <w:rFonts w:ascii="仿宋_GB2312" w:hAnsi="仿宋_GB2312" w:eastAsia="仿宋_GB2312"/>
                <w:b w:val="0"/>
                <w:color w:val="000000"/>
                <w:sz w:val="32"/>
              </w:rPr>
              <w:t>TPU近20万吨</w:t>
            </w:r>
          </w:p>
        </w:tc>
        <w:tc>
          <w:tcPr>
            <w:tcW w:type="dxa" w:w="3685"/>
          </w:tcPr>
          <w:p>
            <w:pPr>
              <w:spacing w:lineRule="exact" w:line="600"/>
              <w:jc w:val="center"/>
            </w:pPr>
            <w:r/>
            <w:r>
              <w:rPr>
                <w:rFonts w:ascii="仿宋_GB2312" w:hAnsi="仿宋_GB2312" w:eastAsia="仿宋_GB2312"/>
                <w:b w:val="0"/>
                <w:color w:val="000000"/>
                <w:sz w:val="32"/>
              </w:rPr>
              <w:t>美瑞新材</w:t>
            </w:r>
          </w:p>
        </w:tc>
      </w:tr>
      <w:tr>
        <w:tc>
          <w:tcPr>
            <w:tcW w:type="dxa" w:w="1701"/>
          </w:tcPr>
          <w:p>
            <w:pPr>
              <w:spacing w:lineRule="exact" w:line="600"/>
              <w:jc w:val="center"/>
            </w:pPr>
            <w:r/>
            <w:r>
              <w:rPr>
                <w:rFonts w:ascii="仿宋_GB2312" w:hAnsi="仿宋_GB2312" w:eastAsia="仿宋_GB2312"/>
                <w:b w:val="0"/>
                <w:color w:val="000000"/>
                <w:sz w:val="32"/>
              </w:rPr>
              <w:t>下游制品</w:t>
            </w:r>
          </w:p>
        </w:tc>
        <w:tc>
          <w:tcPr>
            <w:tcW w:type="dxa" w:w="3685"/>
          </w:tcPr>
          <w:p>
            <w:pPr>
              <w:spacing w:lineRule="exact" w:line="600"/>
              <w:jc w:val="center"/>
            </w:pPr>
            <w:r/>
            <w:r>
              <w:rPr>
                <w:rFonts w:ascii="仿宋_GB2312" w:hAnsi="仿宋_GB2312" w:eastAsia="仿宋_GB2312"/>
                <w:b w:val="0"/>
                <w:color w:val="000000"/>
                <w:sz w:val="32"/>
              </w:rPr>
              <w:t>蜂窝/隔膜/防护</w:t>
            </w:r>
          </w:p>
        </w:tc>
        <w:tc>
          <w:tcPr>
            <w:tcW w:type="dxa" w:w="3685"/>
          </w:tcPr>
          <w:p>
            <w:pPr>
              <w:spacing w:lineRule="exact" w:line="600"/>
              <w:jc w:val="center"/>
            </w:pPr>
            <w:r/>
            <w:r>
              <w:rPr>
                <w:rFonts w:ascii="仿宋_GB2312" w:hAnsi="仿宋_GB2312" w:eastAsia="仿宋_GB2312"/>
                <w:b w:val="0"/>
                <w:color w:val="000000"/>
                <w:sz w:val="32"/>
              </w:rPr>
              <w:t>民士达/泰和</w:t>
            </w:r>
          </w:p>
        </w:tc>
      </w:tr>
    </w:tbl>
    <w:p>
      <w:pPr>
        <w:spacing w:lineRule="exact" w:line="600" w:before="120" w:after="120"/>
        <w:ind w:firstLine="420"/>
        <w:jc w:val="left"/>
      </w:pPr>
      <w:r>
        <w:rPr>
          <w:rFonts w:ascii="楷体_GB2312" w:hAnsi="楷体_GB2312" w:eastAsia="楷体_GB2312"/>
          <w:b w:val="0"/>
          <w:color w:val="000000"/>
          <w:sz w:val="32"/>
        </w:rPr>
        <w:t>从炼化到新材料的链式集群（本批真实数据补充·来源见正文）</w:t>
      </w:r>
    </w:p>
    <w:p>
      <w:pPr>
        <w:spacing w:lineRule="exact" w:line="600" w:before="0" w:after="0"/>
        <w:ind w:firstLine="420"/>
        <w:jc w:val="both"/>
      </w:pPr>
      <w:r>
        <w:rPr>
          <w:rFonts w:ascii="仿宋_GB2312" w:hAnsi="仿宋_GB2312" w:eastAsia="仿宋_GB2312"/>
          <w:b w:val="0"/>
          <w:color w:val="000000"/>
          <w:sz w:val="32"/>
        </w:rPr>
        <w:t>烟台依托万华化学、裕龙石化两大链主，布局裕龙石化、烟台化工、万华（蓬莱）新材料三大千亿级园区，形成“炼化—烯烃/芳烃—高端化工新材料”全产业链。烟台石化及化工新材料产业链规上企业由2021年底248家增至2024年328家，产值由953亿元增至1854亿元、年均增长19.1%。（来源：新华网2024、齐鲁网2025烟台绿色石化报道）</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环节/项目</w:t>
            </w:r>
          </w:p>
        </w:tc>
        <w:tc>
          <w:tcPr>
            <w:tcW w:type="dxa" w:w="3402"/>
          </w:tcPr>
          <w:p>
            <w:pPr>
              <w:spacing w:lineRule="exact" w:line="600"/>
              <w:jc w:val="center"/>
            </w:pPr>
            <w:r/>
            <w:r>
              <w:rPr>
                <w:rFonts w:ascii="黑体" w:hAnsi="黑体" w:eastAsia="黑体"/>
                <w:b/>
                <w:color w:val="000000"/>
                <w:sz w:val="32"/>
              </w:rPr>
              <w:t>规模</w:t>
            </w:r>
          </w:p>
        </w:tc>
        <w:tc>
          <w:tcPr>
            <w:tcW w:type="dxa" w:w="2268"/>
          </w:tcPr>
          <w:p>
            <w:pPr>
              <w:spacing w:lineRule="exact" w:line="600"/>
              <w:jc w:val="center"/>
            </w:pPr>
            <w:r/>
            <w:r>
              <w:rPr>
                <w:rFonts w:ascii="黑体" w:hAnsi="黑体" w:eastAsia="黑体"/>
                <w:b/>
                <w:color w:val="000000"/>
                <w:sz w:val="32"/>
              </w:rPr>
              <w:t>状态</w:t>
            </w:r>
          </w:p>
        </w:tc>
      </w:tr>
      <w:tr>
        <w:tc>
          <w:tcPr>
            <w:tcW w:type="dxa" w:w="3118"/>
          </w:tcPr>
          <w:p>
            <w:pPr>
              <w:spacing w:lineRule="exact" w:line="600"/>
              <w:jc w:val="center"/>
            </w:pPr>
            <w:r/>
            <w:r>
              <w:rPr>
                <w:rFonts w:ascii="仿宋_GB2312" w:hAnsi="仿宋_GB2312" w:eastAsia="仿宋_GB2312"/>
                <w:b w:val="0"/>
                <w:color w:val="000000"/>
                <w:sz w:val="32"/>
              </w:rPr>
              <w:t>产业链规上企业</w:t>
            </w:r>
          </w:p>
        </w:tc>
        <w:tc>
          <w:tcPr>
            <w:tcW w:type="dxa" w:w="3402"/>
          </w:tcPr>
          <w:p>
            <w:pPr>
              <w:spacing w:lineRule="exact" w:line="600"/>
              <w:jc w:val="center"/>
            </w:pPr>
            <w:r/>
            <w:r>
              <w:rPr>
                <w:rFonts w:ascii="仿宋_GB2312" w:hAnsi="仿宋_GB2312" w:eastAsia="仿宋_GB2312"/>
                <w:b w:val="0"/>
                <w:color w:val="000000"/>
                <w:sz w:val="32"/>
              </w:rPr>
              <w:t>328家（2024）</w:t>
            </w:r>
          </w:p>
        </w:tc>
        <w:tc>
          <w:tcPr>
            <w:tcW w:type="dxa" w:w="2268"/>
          </w:tcPr>
          <w:p>
            <w:pPr>
              <w:spacing w:lineRule="exact" w:line="600"/>
              <w:jc w:val="center"/>
            </w:pPr>
            <w:r/>
            <w:r>
              <w:rPr>
                <w:rFonts w:ascii="仿宋_GB2312" w:hAnsi="仿宋_GB2312" w:eastAsia="仿宋_GB2312"/>
                <w:b w:val="0"/>
                <w:color w:val="000000"/>
                <w:sz w:val="32"/>
              </w:rPr>
              <w:t>2021年为248家</w:t>
            </w:r>
          </w:p>
        </w:tc>
      </w:tr>
      <w:tr>
        <w:tc>
          <w:tcPr>
            <w:tcW w:type="dxa" w:w="3118"/>
          </w:tcPr>
          <w:p>
            <w:pPr>
              <w:spacing w:lineRule="exact" w:line="600"/>
              <w:jc w:val="center"/>
            </w:pPr>
            <w:r/>
            <w:r>
              <w:rPr>
                <w:rFonts w:ascii="仿宋_GB2312" w:hAnsi="仿宋_GB2312" w:eastAsia="仿宋_GB2312"/>
                <w:b w:val="0"/>
                <w:color w:val="000000"/>
                <w:sz w:val="32"/>
              </w:rPr>
              <w:t>产业链产值</w:t>
            </w:r>
          </w:p>
        </w:tc>
        <w:tc>
          <w:tcPr>
            <w:tcW w:type="dxa" w:w="3402"/>
          </w:tcPr>
          <w:p>
            <w:pPr>
              <w:spacing w:lineRule="exact" w:line="600"/>
              <w:jc w:val="center"/>
            </w:pPr>
            <w:r/>
            <w:r>
              <w:rPr>
                <w:rFonts w:ascii="仿宋_GB2312" w:hAnsi="仿宋_GB2312" w:eastAsia="仿宋_GB2312"/>
                <w:b w:val="0"/>
                <w:color w:val="000000"/>
                <w:sz w:val="32"/>
              </w:rPr>
              <w:t>1854亿元（2024）</w:t>
            </w:r>
          </w:p>
        </w:tc>
        <w:tc>
          <w:tcPr>
            <w:tcW w:type="dxa" w:w="2268"/>
          </w:tcPr>
          <w:p>
            <w:pPr>
              <w:spacing w:lineRule="exact" w:line="600"/>
              <w:jc w:val="center"/>
            </w:pPr>
            <w:r/>
            <w:r>
              <w:rPr>
                <w:rFonts w:ascii="仿宋_GB2312" w:hAnsi="仿宋_GB2312" w:eastAsia="仿宋_GB2312"/>
                <w:b w:val="0"/>
                <w:color w:val="000000"/>
                <w:sz w:val="32"/>
              </w:rPr>
              <w:t>年均增19.1%</w:t>
            </w:r>
          </w:p>
        </w:tc>
      </w:tr>
      <w:tr>
        <w:tc>
          <w:tcPr>
            <w:tcW w:type="dxa" w:w="3118"/>
          </w:tcPr>
          <w:p>
            <w:pPr>
              <w:spacing w:lineRule="exact" w:line="600"/>
              <w:jc w:val="center"/>
            </w:pPr>
            <w:r/>
            <w:r>
              <w:rPr>
                <w:rFonts w:ascii="仿宋_GB2312" w:hAnsi="仿宋_GB2312" w:eastAsia="仿宋_GB2312"/>
                <w:b w:val="0"/>
                <w:color w:val="000000"/>
                <w:sz w:val="32"/>
              </w:rPr>
              <w:t>万华新材料低碳产业园</w:t>
            </w:r>
          </w:p>
        </w:tc>
        <w:tc>
          <w:tcPr>
            <w:tcW w:type="dxa" w:w="3402"/>
          </w:tcPr>
          <w:p>
            <w:pPr>
              <w:spacing w:lineRule="exact" w:line="600"/>
              <w:jc w:val="center"/>
            </w:pPr>
            <w:r/>
            <w:r>
              <w:rPr>
                <w:rFonts w:ascii="仿宋_GB2312" w:hAnsi="仿宋_GB2312" w:eastAsia="仿宋_GB2312"/>
                <w:b w:val="0"/>
                <w:color w:val="000000"/>
                <w:sz w:val="32"/>
              </w:rPr>
              <w:t>规划投资1260亿元</w:t>
            </w:r>
          </w:p>
        </w:tc>
        <w:tc>
          <w:tcPr>
            <w:tcW w:type="dxa" w:w="2268"/>
          </w:tcPr>
          <w:p>
            <w:pPr>
              <w:spacing w:lineRule="exact" w:line="600"/>
              <w:jc w:val="center"/>
            </w:pPr>
            <w:r/>
            <w:r>
              <w:rPr>
                <w:rFonts w:ascii="仿宋_GB2312" w:hAnsi="仿宋_GB2312" w:eastAsia="仿宋_GB2312"/>
                <w:b w:val="0"/>
                <w:color w:val="000000"/>
                <w:sz w:val="32"/>
              </w:rPr>
              <w:t>预计总产值1350亿元</w:t>
            </w:r>
          </w:p>
        </w:tc>
      </w:tr>
      <w:tr>
        <w:tc>
          <w:tcPr>
            <w:tcW w:type="dxa" w:w="3118"/>
          </w:tcPr>
          <w:p>
            <w:pPr>
              <w:spacing w:lineRule="exact" w:line="600"/>
              <w:jc w:val="center"/>
            </w:pPr>
            <w:r/>
            <w:r>
              <w:rPr>
                <w:rFonts w:ascii="仿宋_GB2312" w:hAnsi="仿宋_GB2312" w:eastAsia="仿宋_GB2312"/>
                <w:b w:val="0"/>
                <w:color w:val="000000"/>
                <w:sz w:val="32"/>
              </w:rPr>
              <w:t>裕龙岛炼化一体化</w:t>
            </w:r>
          </w:p>
        </w:tc>
        <w:tc>
          <w:tcPr>
            <w:tcW w:type="dxa" w:w="3402"/>
          </w:tcPr>
          <w:p>
            <w:pPr>
              <w:spacing w:lineRule="exact" w:line="600"/>
              <w:jc w:val="center"/>
            </w:pPr>
            <w:r/>
            <w:r>
              <w:rPr>
                <w:rFonts w:ascii="仿宋_GB2312" w:hAnsi="仿宋_GB2312" w:eastAsia="仿宋_GB2312"/>
                <w:b w:val="0"/>
                <w:color w:val="000000"/>
                <w:sz w:val="32"/>
              </w:rPr>
              <w:t>一期核准1168亿元</w:t>
            </w:r>
          </w:p>
        </w:tc>
        <w:tc>
          <w:tcPr>
            <w:tcW w:type="dxa" w:w="2268"/>
          </w:tcPr>
          <w:p>
            <w:pPr>
              <w:spacing w:lineRule="exact" w:line="600"/>
              <w:jc w:val="center"/>
            </w:pPr>
            <w:r/>
            <w:r>
              <w:rPr>
                <w:rFonts w:ascii="仿宋_GB2312" w:hAnsi="仿宋_GB2312" w:eastAsia="仿宋_GB2312"/>
                <w:b w:val="0"/>
                <w:color w:val="000000"/>
                <w:sz w:val="32"/>
              </w:rPr>
              <w:t>炼油2000万吨/年</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（一）需求规模</w:t>
      </w:r>
    </w:p>
    <w:p>
      <w:pPr>
        <w:spacing w:lineRule="exact" w:line="600" w:before="0" w:after="0"/>
        <w:ind w:firstLine="420"/>
        <w:jc w:val="both"/>
      </w:pPr>
      <w:r>
        <w:rPr>
          <w:rFonts w:ascii="仿宋_GB2312" w:hAnsi="仿宋_GB2312" w:eastAsia="仿宋_GB2312"/>
          <w:b w:val="0"/>
          <w:color w:val="000000"/>
          <w:sz w:val="32"/>
        </w:rPr>
        <w:t>氨纶受户外与休闲带动需求恢复，但行业新增产能多、供需失衡；2024年9月国内氨纶产能134.54万吨、产量79.13万吨、表观消费量77.14万吨、库存15.16万吨，价格持续走低（市场价约2.43万元/吨）。芳纶长期需求复合增速5—10%，新能源驱动电机耐电晕芳纶纸2025年市场规模突破4.7亿元、年均增速31.2%；低空经济芳纶蜂窝芯2025年国内市场规模28亿元、同比+11.2%。</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氨纶国内产能过剩、竞争充分，泰和约10万吨产能居前但价格承压。芳纶呈寡头格局：泰和间位芳纶产能全球第二、对位第三，国内市占率约50—60%；民士达芳纶纸全球第二（仅次于杜邦），2025年国内总产能破4000吨、产量6950吨、占全球消费38.6%，国产化率突破58%，中国成全球第一大芳纶纸消费市场。美瑞TPU国内第一梯队、差异化路线避开低价竞争。</w:t>
      </w:r>
    </w:p>
    <w:p>
      <w:pPr>
        <w:spacing w:lineRule="exact" w:line="600" w:before="120" w:after="120"/>
        <w:ind w:firstLine="420"/>
        <w:jc w:val="left"/>
      </w:pPr>
      <w:r>
        <w:rPr>
          <w:rFonts w:ascii="楷体_GB2312" w:hAnsi="楷体_GB2312" w:eastAsia="楷体_GB2312"/>
          <w:b w:val="0"/>
          <w:color w:val="000000"/>
          <w:sz w:val="32"/>
        </w:rPr>
        <w:t>（三）价格与盈利</w:t>
      </w:r>
    </w:p>
    <w:p>
      <w:pPr>
        <w:spacing w:lineRule="exact" w:line="600" w:before="0" w:after="0"/>
        <w:ind w:firstLine="420"/>
        <w:jc w:val="both"/>
      </w:pPr>
      <w:r>
        <w:rPr>
          <w:rFonts w:ascii="仿宋_GB2312" w:hAnsi="仿宋_GB2312" w:eastAsia="仿宋_GB2312"/>
          <w:b w:val="0"/>
          <w:color w:val="000000"/>
          <w:sz w:val="32"/>
        </w:rPr>
        <w:t>2024年氨纶价格持续下行、芳纶价格下降，泰和新材「增收不增利」：营收39.29亿元但归母净利仅8953.71万元、同比-73.12%，扣非净利310万元、同比-98.7%；氨纶板块经营亏损。民士达凭借高端芳纶纸维持较好盈利。显示高性能纤维盈利对价格高度敏感。</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市场指标</w:t>
            </w:r>
          </w:p>
        </w:tc>
        <w:tc>
          <w:tcPr>
            <w:tcW w:type="dxa" w:w="3402"/>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泰和2024营收</w:t>
            </w:r>
          </w:p>
        </w:tc>
        <w:tc>
          <w:tcPr>
            <w:tcW w:type="dxa" w:w="3402"/>
          </w:tcPr>
          <w:p>
            <w:pPr>
              <w:spacing w:lineRule="exact" w:line="600"/>
              <w:jc w:val="center"/>
            </w:pPr>
            <w:r/>
            <w:r>
              <w:rPr>
                <w:rFonts w:ascii="仿宋_GB2312" w:hAnsi="仿宋_GB2312" w:eastAsia="仿宋_GB2312"/>
                <w:b w:val="0"/>
                <w:color w:val="000000"/>
                <w:sz w:val="32"/>
              </w:rPr>
              <w:t>39.29亿元</w:t>
            </w:r>
          </w:p>
        </w:tc>
        <w:tc>
          <w:tcPr>
            <w:tcW w:type="dxa" w:w="3118"/>
          </w:tcPr>
          <w:p>
            <w:pPr>
              <w:spacing w:lineRule="exact" w:line="600"/>
              <w:jc w:val="center"/>
            </w:pPr>
            <w:r/>
            <w:r>
              <w:rPr>
                <w:rFonts w:ascii="仿宋_GB2312" w:hAnsi="仿宋_GB2312" w:eastAsia="仿宋_GB2312"/>
                <w:b w:val="0"/>
                <w:color w:val="000000"/>
                <w:sz w:val="32"/>
              </w:rPr>
              <w:t>泰和新材，2024</w:t>
            </w:r>
          </w:p>
        </w:tc>
      </w:tr>
      <w:tr>
        <w:tc>
          <w:tcPr>
            <w:tcW w:type="dxa" w:w="2551"/>
          </w:tcPr>
          <w:p>
            <w:pPr>
              <w:spacing w:lineRule="exact" w:line="600"/>
              <w:jc w:val="center"/>
            </w:pPr>
            <w:r/>
            <w:r>
              <w:rPr>
                <w:rFonts w:ascii="仿宋_GB2312" w:hAnsi="仿宋_GB2312" w:eastAsia="仿宋_GB2312"/>
                <w:b w:val="0"/>
                <w:color w:val="000000"/>
                <w:sz w:val="32"/>
              </w:rPr>
              <w:t>泰和归母净利</w:t>
            </w:r>
          </w:p>
        </w:tc>
        <w:tc>
          <w:tcPr>
            <w:tcW w:type="dxa" w:w="3402"/>
          </w:tcPr>
          <w:p>
            <w:pPr>
              <w:spacing w:lineRule="exact" w:line="600"/>
              <w:jc w:val="center"/>
            </w:pPr>
            <w:r/>
            <w:r>
              <w:rPr>
                <w:rFonts w:ascii="仿宋_GB2312" w:hAnsi="仿宋_GB2312" w:eastAsia="仿宋_GB2312"/>
                <w:b w:val="0"/>
                <w:color w:val="000000"/>
                <w:sz w:val="32"/>
              </w:rPr>
              <w:t>8953.71万元/-73.12%</w:t>
            </w:r>
          </w:p>
        </w:tc>
        <w:tc>
          <w:tcPr>
            <w:tcW w:type="dxa" w:w="3118"/>
          </w:tcPr>
          <w:p>
            <w:pPr>
              <w:spacing w:lineRule="exact" w:line="600"/>
              <w:jc w:val="center"/>
            </w:pPr>
            <w:r/>
            <w:r>
              <w:rPr>
                <w:rFonts w:ascii="仿宋_GB2312" w:hAnsi="仿宋_GB2312" w:eastAsia="仿宋_GB2312"/>
                <w:b w:val="0"/>
                <w:color w:val="000000"/>
                <w:sz w:val="32"/>
              </w:rPr>
              <w:t>泰和新材，2024</w:t>
            </w:r>
          </w:p>
        </w:tc>
      </w:tr>
      <w:tr>
        <w:tc>
          <w:tcPr>
            <w:tcW w:type="dxa" w:w="2551"/>
          </w:tcPr>
          <w:p>
            <w:pPr>
              <w:spacing w:lineRule="exact" w:line="600"/>
              <w:jc w:val="center"/>
            </w:pPr>
            <w:r/>
            <w:r>
              <w:rPr>
                <w:rFonts w:ascii="仿宋_GB2312" w:hAnsi="仿宋_GB2312" w:eastAsia="仿宋_GB2312"/>
                <w:b w:val="0"/>
                <w:color w:val="000000"/>
                <w:sz w:val="32"/>
              </w:rPr>
              <w:t>氨纶产能（国内）</w:t>
            </w:r>
          </w:p>
        </w:tc>
        <w:tc>
          <w:tcPr>
            <w:tcW w:type="dxa" w:w="3402"/>
          </w:tcPr>
          <w:p>
            <w:pPr>
              <w:spacing w:lineRule="exact" w:line="600"/>
              <w:jc w:val="center"/>
            </w:pPr>
            <w:r/>
            <w:r>
              <w:rPr>
                <w:rFonts w:ascii="仿宋_GB2312" w:hAnsi="仿宋_GB2312" w:eastAsia="仿宋_GB2312"/>
                <w:b w:val="0"/>
                <w:color w:val="000000"/>
                <w:sz w:val="32"/>
              </w:rPr>
              <w:t>134.54万吨</w:t>
            </w:r>
          </w:p>
        </w:tc>
        <w:tc>
          <w:tcPr>
            <w:tcW w:type="dxa" w:w="3118"/>
          </w:tcPr>
          <w:p>
            <w:pPr>
              <w:spacing w:lineRule="exact" w:line="600"/>
              <w:jc w:val="center"/>
            </w:pPr>
            <w:r/>
            <w:r>
              <w:rPr>
                <w:rFonts w:ascii="仿宋_GB2312" w:hAnsi="仿宋_GB2312" w:eastAsia="仿宋_GB2312"/>
                <w:b w:val="0"/>
                <w:color w:val="000000"/>
                <w:sz w:val="32"/>
              </w:rPr>
              <w:t>百川盈孚，2024</w:t>
            </w:r>
          </w:p>
        </w:tc>
      </w:tr>
      <w:tr>
        <w:tc>
          <w:tcPr>
            <w:tcW w:type="dxa" w:w="2551"/>
          </w:tcPr>
          <w:p>
            <w:pPr>
              <w:spacing w:lineRule="exact" w:line="600"/>
              <w:jc w:val="center"/>
            </w:pPr>
            <w:r/>
            <w:r>
              <w:rPr>
                <w:rFonts w:ascii="仿宋_GB2312" w:hAnsi="仿宋_GB2312" w:eastAsia="仿宋_GB2312"/>
                <w:b w:val="0"/>
                <w:color w:val="000000"/>
                <w:sz w:val="32"/>
              </w:rPr>
              <w:t>民士达总产能</w:t>
            </w:r>
          </w:p>
        </w:tc>
        <w:tc>
          <w:tcPr>
            <w:tcW w:type="dxa" w:w="3402"/>
          </w:tcPr>
          <w:p>
            <w:pPr>
              <w:spacing w:lineRule="exact" w:line="600"/>
              <w:jc w:val="center"/>
            </w:pPr>
            <w:r/>
            <w:r>
              <w:rPr>
                <w:rFonts w:ascii="仿宋_GB2312" w:hAnsi="仿宋_GB2312" w:eastAsia="仿宋_GB2312"/>
                <w:b w:val="0"/>
                <w:color w:val="000000"/>
                <w:sz w:val="32"/>
              </w:rPr>
              <w:t>4500吨/年</w:t>
            </w:r>
          </w:p>
        </w:tc>
        <w:tc>
          <w:tcPr>
            <w:tcW w:type="dxa" w:w="3118"/>
          </w:tcPr>
          <w:p>
            <w:pPr>
              <w:spacing w:lineRule="exact" w:line="600"/>
              <w:jc w:val="center"/>
            </w:pPr>
            <w:r/>
            <w:r>
              <w:rPr>
                <w:rFonts w:ascii="仿宋_GB2312" w:hAnsi="仿宋_GB2312" w:eastAsia="仿宋_GB2312"/>
                <w:b w:val="0"/>
                <w:color w:val="000000"/>
                <w:sz w:val="32"/>
              </w:rPr>
              <w:t>民士达，2025</w:t>
            </w:r>
          </w:p>
        </w:tc>
      </w:tr>
      <w:tr>
        <w:tc>
          <w:tcPr>
            <w:tcW w:type="dxa" w:w="2551"/>
          </w:tcPr>
          <w:p>
            <w:pPr>
              <w:spacing w:lineRule="exact" w:line="600"/>
              <w:jc w:val="center"/>
            </w:pPr>
            <w:r/>
            <w:r>
              <w:rPr>
                <w:rFonts w:ascii="仿宋_GB2312" w:hAnsi="仿宋_GB2312" w:eastAsia="仿宋_GB2312"/>
                <w:b w:val="0"/>
                <w:color w:val="000000"/>
                <w:sz w:val="32"/>
              </w:rPr>
              <w:t>芳纶纸国产化率</w:t>
            </w:r>
          </w:p>
        </w:tc>
        <w:tc>
          <w:tcPr>
            <w:tcW w:type="dxa" w:w="3402"/>
          </w:tcPr>
          <w:p>
            <w:pPr>
              <w:spacing w:lineRule="exact" w:line="600"/>
              <w:jc w:val="center"/>
            </w:pPr>
            <w:r/>
            <w:r>
              <w:rPr>
                <w:rFonts w:ascii="仿宋_GB2312" w:hAnsi="仿宋_GB2312" w:eastAsia="仿宋_GB2312"/>
                <w:b w:val="0"/>
                <w:color w:val="000000"/>
                <w:sz w:val="32"/>
              </w:rPr>
              <w:t>突破58%</w:t>
            </w:r>
          </w:p>
        </w:tc>
        <w:tc>
          <w:tcPr>
            <w:tcW w:type="dxa" w:w="3118"/>
          </w:tcPr>
          <w:p>
            <w:pPr>
              <w:spacing w:lineRule="exact" w:line="600"/>
              <w:jc w:val="center"/>
            </w:pPr>
            <w:r/>
            <w:r>
              <w:rPr>
                <w:rFonts w:ascii="仿宋_GB2312" w:hAnsi="仿宋_GB2312" w:eastAsia="仿宋_GB2312"/>
                <w:b w:val="0"/>
                <w:color w:val="000000"/>
                <w:sz w:val="32"/>
              </w:rPr>
              <w:t>行业数据，2025</w:t>
            </w:r>
          </w:p>
        </w:tc>
      </w:tr>
      <w:tr>
        <w:tc>
          <w:tcPr>
            <w:tcW w:type="dxa" w:w="2551"/>
          </w:tcPr>
          <w:p>
            <w:pPr>
              <w:spacing w:lineRule="exact" w:line="600"/>
              <w:jc w:val="center"/>
            </w:pPr>
            <w:r/>
            <w:r>
              <w:rPr>
                <w:rFonts w:ascii="仿宋_GB2312" w:hAnsi="仿宋_GB2312" w:eastAsia="仿宋_GB2312"/>
                <w:b w:val="0"/>
                <w:color w:val="000000"/>
                <w:sz w:val="32"/>
              </w:rPr>
              <w:t>低空蜂窝市场</w:t>
            </w:r>
          </w:p>
        </w:tc>
        <w:tc>
          <w:tcPr>
            <w:tcW w:type="dxa" w:w="3402"/>
          </w:tcPr>
          <w:p>
            <w:pPr>
              <w:spacing w:lineRule="exact" w:line="600"/>
              <w:jc w:val="center"/>
            </w:pPr>
            <w:r/>
            <w:r>
              <w:rPr>
                <w:rFonts w:ascii="仿宋_GB2312" w:hAnsi="仿宋_GB2312" w:eastAsia="仿宋_GB2312"/>
                <w:b w:val="0"/>
                <w:color w:val="000000"/>
                <w:sz w:val="32"/>
              </w:rPr>
              <w:t>28亿元/+11.2%</w:t>
            </w:r>
          </w:p>
        </w:tc>
        <w:tc>
          <w:tcPr>
            <w:tcW w:type="dxa" w:w="3118"/>
          </w:tcPr>
          <w:p>
            <w:pPr>
              <w:spacing w:lineRule="exact" w:line="600"/>
              <w:jc w:val="center"/>
            </w:pPr>
            <w:r/>
            <w:r>
              <w:rPr>
                <w:rFonts w:ascii="仿宋_GB2312" w:hAnsi="仿宋_GB2312" w:eastAsia="仿宋_GB2312"/>
                <w:b w:val="0"/>
                <w:color w:val="000000"/>
                <w:sz w:val="32"/>
              </w:rPr>
              <w:t>行业数据，2025</w:t>
            </w:r>
          </w:p>
        </w:tc>
      </w:tr>
    </w:tbl>
    <w:p>
      <w:pPr>
        <w:spacing w:lineRule="exact" w:line="600" w:before="120" w:after="120"/>
        <w:ind w:firstLine="420"/>
        <w:jc w:val="left"/>
      </w:pPr>
      <w:r>
        <w:rPr>
          <w:rFonts w:ascii="楷体_GB2312" w:hAnsi="楷体_GB2312" w:eastAsia="楷体_GB2312"/>
          <w:b w:val="0"/>
          <w:color w:val="000000"/>
          <w:sz w:val="32"/>
        </w:rPr>
        <w:t>链主带动与梯次培育（本批真实数据补充·来源见正文）</w:t>
      </w:r>
    </w:p>
    <w:p>
      <w:pPr>
        <w:spacing w:lineRule="exact" w:line="600" w:before="0" w:after="0"/>
        <w:ind w:firstLine="420"/>
        <w:jc w:val="both"/>
      </w:pPr>
      <w:r>
        <w:rPr>
          <w:rFonts w:ascii="仿宋_GB2312" w:hAnsi="仿宋_GB2312" w:eastAsia="仿宋_GB2312"/>
          <w:b w:val="0"/>
          <w:color w:val="000000"/>
          <w:sz w:val="32"/>
        </w:rPr>
        <w:t>烟台发挥“链主”企业辐射力，梯度培育出9家国家级制造业单项冠军、17家专精特新“小巨人”、2家省级独角兽、18家制造业单项冠军、39家瞪羚、92家专精特新中小企业。2024年上半年石化化工产业实现利润104.9亿元、占全市规上工业34.2%。（来源：新华网2024烟台石化报道）</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企业类型</w:t>
            </w:r>
          </w:p>
        </w:tc>
        <w:tc>
          <w:tcPr>
            <w:tcW w:type="dxa" w:w="2835"/>
          </w:tcPr>
          <w:p>
            <w:pPr>
              <w:spacing w:lineRule="exact" w:line="600"/>
              <w:jc w:val="center"/>
            </w:pPr>
            <w:r/>
            <w:r>
              <w:rPr>
                <w:rFonts w:ascii="黑体" w:hAnsi="黑体" w:eastAsia="黑体"/>
                <w:b/>
                <w:color w:val="000000"/>
                <w:sz w:val="32"/>
              </w:rPr>
              <w:t>数量</w:t>
            </w:r>
          </w:p>
        </w:tc>
        <w:tc>
          <w:tcPr>
            <w:tcW w:type="dxa" w:w="2835"/>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国家级制造业单项冠军</w:t>
            </w:r>
          </w:p>
        </w:tc>
        <w:tc>
          <w:tcPr>
            <w:tcW w:type="dxa" w:w="2835"/>
          </w:tcPr>
          <w:p>
            <w:pPr>
              <w:spacing w:lineRule="exact" w:line="600"/>
              <w:jc w:val="center"/>
            </w:pPr>
            <w:r/>
            <w:r>
              <w:rPr>
                <w:rFonts w:ascii="仿宋_GB2312" w:hAnsi="仿宋_GB2312" w:eastAsia="仿宋_GB2312"/>
                <w:b w:val="0"/>
                <w:color w:val="000000"/>
                <w:sz w:val="32"/>
              </w:rPr>
              <w:t>9家</w:t>
            </w:r>
          </w:p>
        </w:tc>
        <w:tc>
          <w:tcPr>
            <w:tcW w:type="dxa" w:w="2835"/>
          </w:tcPr>
          <w:p>
            <w:pPr>
              <w:spacing w:lineRule="exact" w:line="600"/>
              <w:jc w:val="center"/>
            </w:pPr>
            <w:r/>
            <w:r>
              <w:rPr>
                <w:rFonts w:ascii="仿宋_GB2312" w:hAnsi="仿宋_GB2312" w:eastAsia="仿宋_GB2312"/>
                <w:b w:val="0"/>
                <w:color w:val="000000"/>
                <w:sz w:val="32"/>
              </w:rPr>
              <w:t>国家级</w:t>
            </w:r>
          </w:p>
        </w:tc>
      </w:tr>
      <w:tr>
        <w:tc>
          <w:tcPr>
            <w:tcW w:type="dxa" w:w="3118"/>
          </w:tcPr>
          <w:p>
            <w:pPr>
              <w:spacing w:lineRule="exact" w:line="600"/>
              <w:jc w:val="center"/>
            </w:pPr>
            <w:r/>
            <w:r>
              <w:rPr>
                <w:rFonts w:ascii="仿宋_GB2312" w:hAnsi="仿宋_GB2312" w:eastAsia="仿宋_GB2312"/>
                <w:b w:val="0"/>
                <w:color w:val="000000"/>
                <w:sz w:val="32"/>
              </w:rPr>
              <w:t>专精特新“小巨人”</w:t>
            </w:r>
          </w:p>
        </w:tc>
        <w:tc>
          <w:tcPr>
            <w:tcW w:type="dxa" w:w="2835"/>
          </w:tcPr>
          <w:p>
            <w:pPr>
              <w:spacing w:lineRule="exact" w:line="600"/>
              <w:jc w:val="center"/>
            </w:pPr>
            <w:r/>
            <w:r>
              <w:rPr>
                <w:rFonts w:ascii="仿宋_GB2312" w:hAnsi="仿宋_GB2312" w:eastAsia="仿宋_GB2312"/>
                <w:b w:val="0"/>
                <w:color w:val="000000"/>
                <w:sz w:val="32"/>
              </w:rPr>
              <w:t>17家</w:t>
            </w:r>
          </w:p>
        </w:tc>
        <w:tc>
          <w:tcPr>
            <w:tcW w:type="dxa" w:w="2835"/>
          </w:tcPr>
          <w:p>
            <w:pPr>
              <w:spacing w:lineRule="exact" w:line="600"/>
              <w:jc w:val="center"/>
            </w:pPr>
            <w:r/>
            <w:r>
              <w:rPr>
                <w:rFonts w:ascii="仿宋_GB2312" w:hAnsi="仿宋_GB2312" w:eastAsia="仿宋_GB2312"/>
                <w:b w:val="0"/>
                <w:color w:val="000000"/>
                <w:sz w:val="32"/>
              </w:rPr>
              <w:t>国家级</w:t>
            </w:r>
          </w:p>
        </w:tc>
      </w:tr>
      <w:tr>
        <w:tc>
          <w:tcPr>
            <w:tcW w:type="dxa" w:w="3118"/>
          </w:tcPr>
          <w:p>
            <w:pPr>
              <w:spacing w:lineRule="exact" w:line="600"/>
              <w:jc w:val="center"/>
            </w:pPr>
            <w:r/>
            <w:r>
              <w:rPr>
                <w:rFonts w:ascii="仿宋_GB2312" w:hAnsi="仿宋_GB2312" w:eastAsia="仿宋_GB2312"/>
                <w:b w:val="0"/>
                <w:color w:val="000000"/>
                <w:sz w:val="32"/>
              </w:rPr>
              <w:t>省级独角兽企业</w:t>
            </w:r>
          </w:p>
        </w:tc>
        <w:tc>
          <w:tcPr>
            <w:tcW w:type="dxa" w:w="2835"/>
          </w:tcPr>
          <w:p>
            <w:pPr>
              <w:spacing w:lineRule="exact" w:line="600"/>
              <w:jc w:val="center"/>
            </w:pPr>
            <w:r/>
            <w:r>
              <w:rPr>
                <w:rFonts w:ascii="仿宋_GB2312" w:hAnsi="仿宋_GB2312" w:eastAsia="仿宋_GB2312"/>
                <w:b w:val="0"/>
                <w:color w:val="000000"/>
                <w:sz w:val="32"/>
              </w:rPr>
              <w:t>2家</w:t>
            </w:r>
          </w:p>
        </w:tc>
        <w:tc>
          <w:tcPr>
            <w:tcW w:type="dxa" w:w="2835"/>
          </w:tcPr>
          <w:p>
            <w:pPr>
              <w:spacing w:lineRule="exact" w:line="600"/>
              <w:jc w:val="center"/>
            </w:pPr>
            <w:r/>
            <w:r>
              <w:rPr>
                <w:rFonts w:ascii="仿宋_GB2312" w:hAnsi="仿宋_GB2312" w:eastAsia="仿宋_GB2312"/>
                <w:b w:val="0"/>
                <w:color w:val="000000"/>
                <w:sz w:val="32"/>
              </w:rPr>
              <w:t>省级</w:t>
            </w:r>
          </w:p>
        </w:tc>
      </w:tr>
      <w:tr>
        <w:tc>
          <w:tcPr>
            <w:tcW w:type="dxa" w:w="3118"/>
          </w:tcPr>
          <w:p>
            <w:pPr>
              <w:spacing w:lineRule="exact" w:line="600"/>
              <w:jc w:val="center"/>
            </w:pPr>
            <w:r/>
            <w:r>
              <w:rPr>
                <w:rFonts w:ascii="仿宋_GB2312" w:hAnsi="仿宋_GB2312" w:eastAsia="仿宋_GB2312"/>
                <w:b w:val="0"/>
                <w:color w:val="000000"/>
                <w:sz w:val="32"/>
              </w:rPr>
              <w:t>瞪羚企业</w:t>
            </w:r>
          </w:p>
        </w:tc>
        <w:tc>
          <w:tcPr>
            <w:tcW w:type="dxa" w:w="2835"/>
          </w:tcPr>
          <w:p>
            <w:pPr>
              <w:spacing w:lineRule="exact" w:line="600"/>
              <w:jc w:val="center"/>
            </w:pPr>
            <w:r/>
            <w:r>
              <w:rPr>
                <w:rFonts w:ascii="仿宋_GB2312" w:hAnsi="仿宋_GB2312" w:eastAsia="仿宋_GB2312"/>
                <w:b w:val="0"/>
                <w:color w:val="000000"/>
                <w:sz w:val="32"/>
              </w:rPr>
              <w:t>39家</w:t>
            </w:r>
          </w:p>
        </w:tc>
        <w:tc>
          <w:tcPr>
            <w:tcW w:type="dxa" w:w="2835"/>
          </w:tcPr>
          <w:p>
            <w:pPr>
              <w:spacing w:lineRule="exact" w:line="600"/>
              <w:jc w:val="center"/>
            </w:pPr>
            <w:r/>
            <w:r>
              <w:rPr>
                <w:rFonts w:ascii="仿宋_GB2312" w:hAnsi="仿宋_GB2312" w:eastAsia="仿宋_GB2312"/>
                <w:b w:val="0"/>
                <w:color w:val="000000"/>
                <w:sz w:val="32"/>
              </w:rPr>
              <w:t>省级</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（一）集群生态</w:t>
      </w:r>
    </w:p>
    <w:p>
      <w:pPr>
        <w:spacing w:lineRule="exact" w:line="600" w:before="0" w:after="0"/>
        <w:ind w:firstLine="420"/>
        <w:jc w:val="both"/>
      </w:pPr>
      <w:r>
        <w:rPr>
          <w:rFonts w:ascii="仿宋_GB2312" w:hAnsi="仿宋_GB2312" w:eastAsia="仿宋_GB2312"/>
          <w:b w:val="0"/>
          <w:color w:val="000000"/>
          <w:sz w:val="32"/>
        </w:rPr>
        <w:t>烟台高分子复合材料以泰和新材为链主，联合民士达（芳纶纸）、美瑞新材（TPU）及道恩（龙口改性塑料）形成「纤维—纸—弹性体—改性」协同。烟台先进结构材料集群为国家战略性新兴产业集群，拥有国家级制造业单项冠军企业、省级单项冠军若干，是全球领先的聚氨酯与高性能纤维研发制造基地之一。</w:t>
      </w:r>
    </w:p>
    <w:p>
      <w:pPr>
        <w:spacing w:lineRule="exact" w:line="600" w:before="120" w:after="120"/>
        <w:ind w:firstLine="420"/>
        <w:jc w:val="left"/>
      </w:pPr>
      <w:r>
        <w:rPr>
          <w:rFonts w:ascii="楷体_GB2312" w:hAnsi="楷体_GB2312" w:eastAsia="楷体_GB2312"/>
          <w:b w:val="0"/>
          <w:color w:val="000000"/>
          <w:sz w:val="32"/>
        </w:rPr>
        <w:t>（二）代表企业</w:t>
      </w:r>
    </w:p>
    <w:p>
      <w:pPr>
        <w:spacing w:lineRule="exact" w:line="600" w:before="0" w:after="0"/>
        <w:ind w:firstLine="420"/>
        <w:jc w:val="both"/>
      </w:pPr>
      <w:r>
        <w:rPr>
          <w:rFonts w:ascii="仿宋_GB2312" w:hAnsi="仿宋_GB2312" w:eastAsia="仿宋_GB2312"/>
          <w:b w:val="0"/>
          <w:color w:val="000000"/>
          <w:sz w:val="32"/>
        </w:rPr>
        <w:t>泰和新材（002254）前身为烟台氨纶股份，2008年上市，国家级高新技术企业，率先实现氨纶、间位/对位芳纶产业化；民士达（920394）2023年北交所上市，芳纶纸全球第二；美瑞新材（300848）国家级专精特新小巨人、TPU国内第一梯队。三家企业构成烟台高分子复合材料「主板—北交—创业板」资本市场梯队。</w:t>
      </w:r>
    </w:p>
    <w:p>
      <w:pPr>
        <w:spacing w:lineRule="exact" w:line="600" w:before="120" w:after="120"/>
        <w:ind w:firstLine="420"/>
        <w:jc w:val="left"/>
      </w:pPr>
      <w:r>
        <w:rPr>
          <w:rFonts w:ascii="楷体_GB2312" w:hAnsi="楷体_GB2312" w:eastAsia="楷体_GB2312"/>
          <w:b w:val="0"/>
          <w:color w:val="000000"/>
          <w:sz w:val="32"/>
        </w:rPr>
        <w:t>（三）平台与协同</w:t>
      </w:r>
    </w:p>
    <w:p>
      <w:pPr>
        <w:spacing w:lineRule="exact" w:line="600" w:before="0" w:after="0"/>
        <w:ind w:firstLine="420"/>
        <w:jc w:val="both"/>
      </w:pPr>
      <w:r>
        <w:rPr>
          <w:rFonts w:ascii="仿宋_GB2312" w:hAnsi="仿宋_GB2312" w:eastAsia="仿宋_GB2312"/>
          <w:b w:val="0"/>
          <w:color w:val="000000"/>
          <w:sz w:val="32"/>
        </w:rPr>
        <w:t>集群拥有国家芳纶工程技术研究中心、国家级企业技术中心，芳纶与聚氨酯两大省级创新战略联盟，市级以上研发平台50余个。泰和民士达上下游一体化（纤维自给+纸制造），与下游航空、高铁、新能源企业联合研发（如航空级蜂窝用间位芳纶纸0.04—0.10mm），形成「研发—中试—产业化」闭环。</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685"/>
          </w:tcPr>
          <w:p>
            <w:pPr>
              <w:spacing w:lineRule="exact" w:line="600"/>
              <w:jc w:val="center"/>
            </w:pPr>
            <w:r/>
            <w:r>
              <w:rPr>
                <w:rFonts w:ascii="黑体" w:hAnsi="黑体" w:eastAsia="黑体"/>
                <w:b/>
                <w:color w:val="000000"/>
                <w:sz w:val="32"/>
              </w:rPr>
              <w:t>产品/产能</w:t>
            </w:r>
          </w:p>
        </w:tc>
        <w:tc>
          <w:tcPr>
            <w:tcW w:type="dxa" w:w="3402"/>
          </w:tcPr>
          <w:p>
            <w:pPr>
              <w:spacing w:lineRule="exact" w:line="600"/>
              <w:jc w:val="center"/>
            </w:pPr>
            <w:r/>
            <w:r>
              <w:rPr>
                <w:rFonts w:ascii="黑体" w:hAnsi="黑体" w:eastAsia="黑体"/>
                <w:b/>
                <w:color w:val="000000"/>
                <w:sz w:val="32"/>
              </w:rPr>
              <w:t>资本/资质</w:t>
            </w:r>
          </w:p>
        </w:tc>
      </w:tr>
      <w:tr>
        <w:tc>
          <w:tcPr>
            <w:tcW w:type="dxa" w:w="1984"/>
          </w:tcPr>
          <w:p>
            <w:pPr>
              <w:spacing w:lineRule="exact" w:line="600"/>
              <w:jc w:val="center"/>
            </w:pPr>
            <w:r/>
            <w:r>
              <w:rPr>
                <w:rFonts w:ascii="仿宋_GB2312" w:hAnsi="仿宋_GB2312" w:eastAsia="仿宋_GB2312"/>
                <w:b w:val="0"/>
                <w:color w:val="000000"/>
                <w:sz w:val="32"/>
              </w:rPr>
              <w:t>泰和新材</w:t>
            </w:r>
          </w:p>
        </w:tc>
        <w:tc>
          <w:tcPr>
            <w:tcW w:type="dxa" w:w="3685"/>
          </w:tcPr>
          <w:p>
            <w:pPr>
              <w:spacing w:lineRule="exact" w:line="600"/>
              <w:jc w:val="center"/>
            </w:pPr>
            <w:r/>
            <w:r>
              <w:rPr>
                <w:rFonts w:ascii="仿宋_GB2312" w:hAnsi="仿宋_GB2312" w:eastAsia="仿宋_GB2312"/>
                <w:b w:val="0"/>
                <w:color w:val="000000"/>
                <w:sz w:val="32"/>
              </w:rPr>
              <w:t>氨纶10万/芳纶3.2万吨</w:t>
            </w:r>
          </w:p>
        </w:tc>
        <w:tc>
          <w:tcPr>
            <w:tcW w:type="dxa" w:w="3402"/>
          </w:tcPr>
          <w:p>
            <w:pPr>
              <w:spacing w:lineRule="exact" w:line="600"/>
              <w:jc w:val="center"/>
            </w:pPr>
            <w:r/>
            <w:r>
              <w:rPr>
                <w:rFonts w:ascii="仿宋_GB2312" w:hAnsi="仿宋_GB2312" w:eastAsia="仿宋_GB2312"/>
                <w:b w:val="0"/>
                <w:color w:val="000000"/>
                <w:sz w:val="32"/>
              </w:rPr>
              <w:t>002254/国家高新</w:t>
            </w:r>
          </w:p>
        </w:tc>
      </w:tr>
      <w:tr>
        <w:tc>
          <w:tcPr>
            <w:tcW w:type="dxa" w:w="1984"/>
          </w:tcPr>
          <w:p>
            <w:pPr>
              <w:spacing w:lineRule="exact" w:line="600"/>
              <w:jc w:val="center"/>
            </w:pPr>
            <w:r/>
            <w:r>
              <w:rPr>
                <w:rFonts w:ascii="仿宋_GB2312" w:hAnsi="仿宋_GB2312" w:eastAsia="仿宋_GB2312"/>
                <w:b w:val="0"/>
                <w:color w:val="000000"/>
                <w:sz w:val="32"/>
              </w:rPr>
              <w:t>民士达</w:t>
            </w:r>
          </w:p>
        </w:tc>
        <w:tc>
          <w:tcPr>
            <w:tcW w:type="dxa" w:w="3685"/>
          </w:tcPr>
          <w:p>
            <w:pPr>
              <w:spacing w:lineRule="exact" w:line="600"/>
              <w:jc w:val="center"/>
            </w:pPr>
            <w:r/>
            <w:r>
              <w:rPr>
                <w:rFonts w:ascii="仿宋_GB2312" w:hAnsi="仿宋_GB2312" w:eastAsia="仿宋_GB2312"/>
                <w:b w:val="0"/>
                <w:color w:val="000000"/>
                <w:sz w:val="32"/>
              </w:rPr>
              <w:t>芳纶纸4500吨/年</w:t>
            </w:r>
          </w:p>
        </w:tc>
        <w:tc>
          <w:tcPr>
            <w:tcW w:type="dxa" w:w="3402"/>
          </w:tcPr>
          <w:p>
            <w:pPr>
              <w:spacing w:lineRule="exact" w:line="600"/>
              <w:jc w:val="center"/>
            </w:pPr>
            <w:r/>
            <w:r>
              <w:rPr>
                <w:rFonts w:ascii="仿宋_GB2312" w:hAnsi="仿宋_GB2312" w:eastAsia="仿宋_GB2312"/>
                <w:b w:val="0"/>
                <w:color w:val="000000"/>
                <w:sz w:val="32"/>
              </w:rPr>
              <w:t>920394/北交所</w:t>
            </w:r>
          </w:p>
        </w:tc>
      </w:tr>
      <w:tr>
        <w:tc>
          <w:tcPr>
            <w:tcW w:type="dxa" w:w="1984"/>
          </w:tcPr>
          <w:p>
            <w:pPr>
              <w:spacing w:lineRule="exact" w:line="600"/>
              <w:jc w:val="center"/>
            </w:pPr>
            <w:r/>
            <w:r>
              <w:rPr>
                <w:rFonts w:ascii="仿宋_GB2312" w:hAnsi="仿宋_GB2312" w:eastAsia="仿宋_GB2312"/>
                <w:b w:val="0"/>
                <w:color w:val="000000"/>
                <w:sz w:val="32"/>
              </w:rPr>
              <w:t>美瑞新材</w:t>
            </w:r>
          </w:p>
        </w:tc>
        <w:tc>
          <w:tcPr>
            <w:tcW w:type="dxa" w:w="3685"/>
          </w:tcPr>
          <w:p>
            <w:pPr>
              <w:spacing w:lineRule="exact" w:line="600"/>
              <w:jc w:val="center"/>
            </w:pPr>
            <w:r/>
            <w:r>
              <w:rPr>
                <w:rFonts w:ascii="仿宋_GB2312" w:hAnsi="仿宋_GB2312" w:eastAsia="仿宋_GB2312"/>
                <w:b w:val="0"/>
                <w:color w:val="000000"/>
                <w:sz w:val="32"/>
              </w:rPr>
              <w:t>TPU近20万吨</w:t>
            </w:r>
          </w:p>
        </w:tc>
        <w:tc>
          <w:tcPr>
            <w:tcW w:type="dxa" w:w="3402"/>
          </w:tcPr>
          <w:p>
            <w:pPr>
              <w:spacing w:lineRule="exact" w:line="600"/>
              <w:jc w:val="center"/>
            </w:pPr>
            <w:r/>
            <w:r>
              <w:rPr>
                <w:rFonts w:ascii="仿宋_GB2312" w:hAnsi="仿宋_GB2312" w:eastAsia="仿宋_GB2312"/>
                <w:b w:val="0"/>
                <w:color w:val="000000"/>
                <w:sz w:val="32"/>
              </w:rPr>
              <w:t>300848/小巨人</w:t>
            </w:r>
          </w:p>
        </w:tc>
      </w:tr>
      <w:tr>
        <w:tc>
          <w:tcPr>
            <w:tcW w:type="dxa" w:w="1984"/>
          </w:tcPr>
          <w:p>
            <w:pPr>
              <w:spacing w:lineRule="exact" w:line="600"/>
              <w:jc w:val="center"/>
            </w:pPr>
            <w:r/>
            <w:r>
              <w:rPr>
                <w:rFonts w:ascii="仿宋_GB2312" w:hAnsi="仿宋_GB2312" w:eastAsia="仿宋_GB2312"/>
                <w:b w:val="0"/>
                <w:color w:val="000000"/>
                <w:sz w:val="32"/>
              </w:rPr>
              <w:t>道恩集团</w:t>
            </w:r>
          </w:p>
        </w:tc>
        <w:tc>
          <w:tcPr>
            <w:tcW w:type="dxa" w:w="3685"/>
          </w:tcPr>
          <w:p>
            <w:pPr>
              <w:spacing w:lineRule="exact" w:line="600"/>
              <w:jc w:val="center"/>
            </w:pPr>
            <w:r/>
            <w:r>
              <w:rPr>
                <w:rFonts w:ascii="仿宋_GB2312" w:hAnsi="仿宋_GB2312" w:eastAsia="仿宋_GB2312"/>
                <w:b w:val="0"/>
                <w:color w:val="000000"/>
                <w:sz w:val="32"/>
              </w:rPr>
              <w:t>改性工程塑料</w:t>
            </w:r>
          </w:p>
        </w:tc>
        <w:tc>
          <w:tcPr>
            <w:tcW w:type="dxa" w:w="3402"/>
          </w:tcPr>
          <w:p>
            <w:pPr>
              <w:spacing w:lineRule="exact" w:line="600"/>
              <w:jc w:val="center"/>
            </w:pPr>
            <w:r/>
            <w:r>
              <w:rPr>
                <w:rFonts w:ascii="仿宋_GB2312" w:hAnsi="仿宋_GB2312" w:eastAsia="仿宋_GB2312"/>
                <w:b w:val="0"/>
                <w:color w:val="000000"/>
                <w:sz w:val="32"/>
              </w:rPr>
              <w:t>龙口集聚区</w:t>
            </w:r>
          </w:p>
        </w:tc>
      </w:tr>
      <w:tr>
        <w:tc>
          <w:tcPr>
            <w:tcW w:type="dxa" w:w="1984"/>
          </w:tcPr>
          <w:p>
            <w:pPr>
              <w:spacing w:lineRule="exact" w:line="600"/>
              <w:jc w:val="center"/>
            </w:pPr>
            <w:r/>
            <w:r>
              <w:rPr>
                <w:rFonts w:ascii="仿宋_GB2312" w:hAnsi="仿宋_GB2312" w:eastAsia="仿宋_GB2312"/>
                <w:b w:val="0"/>
                <w:color w:val="000000"/>
                <w:sz w:val="32"/>
              </w:rPr>
              <w:t>平台</w:t>
            </w:r>
          </w:p>
        </w:tc>
        <w:tc>
          <w:tcPr>
            <w:tcW w:type="dxa" w:w="3685"/>
          </w:tcPr>
          <w:p>
            <w:pPr>
              <w:spacing w:lineRule="exact" w:line="600"/>
              <w:jc w:val="center"/>
            </w:pPr>
            <w:r/>
            <w:r>
              <w:rPr>
                <w:rFonts w:ascii="仿宋_GB2312" w:hAnsi="仿宋_GB2312" w:eastAsia="仿宋_GB2312"/>
                <w:b w:val="0"/>
                <w:color w:val="000000"/>
                <w:sz w:val="32"/>
              </w:rPr>
              <w:t>芳纶工程中心等</w:t>
            </w:r>
          </w:p>
        </w:tc>
        <w:tc>
          <w:tcPr>
            <w:tcW w:type="dxa" w:w="3402"/>
          </w:tcPr>
          <w:p>
            <w:pPr>
              <w:spacing w:lineRule="exact" w:line="600"/>
              <w:jc w:val="center"/>
            </w:pPr>
            <w:r/>
            <w:r>
              <w:rPr>
                <w:rFonts w:ascii="仿宋_GB2312" w:hAnsi="仿宋_GB2312" w:eastAsia="仿宋_GB2312"/>
                <w:b w:val="0"/>
                <w:color w:val="000000"/>
                <w:sz w:val="32"/>
              </w:rPr>
              <w:t>国家级</w:t>
            </w:r>
          </w:p>
        </w:tc>
      </w:tr>
    </w:tbl>
    <w:p>
      <w:pPr>
        <w:spacing w:lineRule="exact" w:line="600" w:before="120" w:after="120"/>
        <w:ind w:firstLine="420"/>
        <w:jc w:val="left"/>
      </w:pPr>
      <w:r>
        <w:rPr>
          <w:rFonts w:ascii="楷体_GB2312" w:hAnsi="楷体_GB2312" w:eastAsia="楷体_GB2312"/>
          <w:b w:val="0"/>
          <w:color w:val="000000"/>
          <w:sz w:val="32"/>
        </w:rPr>
        <w:t>园区载体与链主企业（本批真实数据补充·来源见正文）</w:t>
      </w:r>
    </w:p>
    <w:p>
      <w:pPr>
        <w:spacing w:lineRule="exact" w:line="600" w:before="0" w:after="0"/>
        <w:ind w:firstLine="420"/>
        <w:jc w:val="both"/>
      </w:pPr>
      <w:r>
        <w:rPr>
          <w:rFonts w:ascii="仿宋_GB2312" w:hAnsi="仿宋_GB2312" w:eastAsia="仿宋_GB2312"/>
          <w:b w:val="0"/>
          <w:color w:val="000000"/>
          <w:sz w:val="32"/>
        </w:rPr>
        <w:t>万华化学集团为全球化国有控股上市公司，国内外员工1.7万人；万华（蓬莱）新材料低碳产业园一期投资232亿元，建成后年产值约270亿元、利税约55亿元。裕龙岛炼化一体化全面投产后预计年销售收入1100亿元以上。到2024年底上游形成520万吨/年乙烯、448万吨/年丙烯产能。（来源：烟台投资促进局、新华网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主体/项目</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万华化学员工</w:t>
            </w:r>
          </w:p>
        </w:tc>
        <w:tc>
          <w:tcPr>
            <w:tcW w:type="dxa" w:w="3118"/>
          </w:tcPr>
          <w:p>
            <w:pPr>
              <w:spacing w:lineRule="exact" w:line="600"/>
              <w:jc w:val="center"/>
            </w:pPr>
            <w:r/>
            <w:r>
              <w:rPr>
                <w:rFonts w:ascii="仿宋_GB2312" w:hAnsi="仿宋_GB2312" w:eastAsia="仿宋_GB2312"/>
                <w:b w:val="0"/>
                <w:color w:val="000000"/>
                <w:sz w:val="32"/>
              </w:rPr>
              <w:t>1.7万人</w:t>
            </w:r>
          </w:p>
        </w:tc>
        <w:tc>
          <w:tcPr>
            <w:tcW w:type="dxa" w:w="2551"/>
          </w:tcPr>
          <w:p>
            <w:pPr>
              <w:spacing w:lineRule="exact" w:line="600"/>
              <w:jc w:val="center"/>
            </w:pPr>
            <w:r/>
            <w:r>
              <w:rPr>
                <w:rFonts w:ascii="仿宋_GB2312" w:hAnsi="仿宋_GB2312" w:eastAsia="仿宋_GB2312"/>
                <w:b w:val="0"/>
                <w:color w:val="000000"/>
                <w:sz w:val="32"/>
              </w:rPr>
              <w:t>全球化运营</w:t>
            </w:r>
          </w:p>
        </w:tc>
      </w:tr>
      <w:tr>
        <w:tc>
          <w:tcPr>
            <w:tcW w:type="dxa" w:w="3118"/>
          </w:tcPr>
          <w:p>
            <w:pPr>
              <w:spacing w:lineRule="exact" w:line="600"/>
              <w:jc w:val="center"/>
            </w:pPr>
            <w:r/>
            <w:r>
              <w:rPr>
                <w:rFonts w:ascii="仿宋_GB2312" w:hAnsi="仿宋_GB2312" w:eastAsia="仿宋_GB2312"/>
                <w:b w:val="0"/>
                <w:color w:val="000000"/>
                <w:sz w:val="32"/>
              </w:rPr>
              <w:t>万华蓬莱一期年产值</w:t>
            </w:r>
          </w:p>
        </w:tc>
        <w:tc>
          <w:tcPr>
            <w:tcW w:type="dxa" w:w="3118"/>
          </w:tcPr>
          <w:p>
            <w:pPr>
              <w:spacing w:lineRule="exact" w:line="600"/>
              <w:jc w:val="center"/>
            </w:pPr>
            <w:r/>
            <w:r>
              <w:rPr>
                <w:rFonts w:ascii="仿宋_GB2312" w:hAnsi="仿宋_GB2312" w:eastAsia="仿宋_GB2312"/>
                <w:b w:val="0"/>
                <w:color w:val="000000"/>
                <w:sz w:val="32"/>
              </w:rPr>
              <w:t>约270亿元</w:t>
            </w:r>
          </w:p>
        </w:tc>
        <w:tc>
          <w:tcPr>
            <w:tcW w:type="dxa" w:w="2551"/>
          </w:tcPr>
          <w:p>
            <w:pPr>
              <w:spacing w:lineRule="exact" w:line="600"/>
              <w:jc w:val="center"/>
            </w:pPr>
            <w:r/>
            <w:r>
              <w:rPr>
                <w:rFonts w:ascii="仿宋_GB2312" w:hAnsi="仿宋_GB2312" w:eastAsia="仿宋_GB2312"/>
                <w:b w:val="0"/>
                <w:color w:val="000000"/>
                <w:sz w:val="32"/>
              </w:rPr>
              <w:t>投资232亿元</w:t>
            </w:r>
          </w:p>
        </w:tc>
      </w:tr>
      <w:tr>
        <w:tc>
          <w:tcPr>
            <w:tcW w:type="dxa" w:w="3118"/>
          </w:tcPr>
          <w:p>
            <w:pPr>
              <w:spacing w:lineRule="exact" w:line="600"/>
              <w:jc w:val="center"/>
            </w:pPr>
            <w:r/>
            <w:r>
              <w:rPr>
                <w:rFonts w:ascii="仿宋_GB2312" w:hAnsi="仿宋_GB2312" w:eastAsia="仿宋_GB2312"/>
                <w:b w:val="0"/>
                <w:color w:val="000000"/>
                <w:sz w:val="32"/>
              </w:rPr>
              <w:t>裕龙岛全面投产销售</w:t>
            </w:r>
          </w:p>
        </w:tc>
        <w:tc>
          <w:tcPr>
            <w:tcW w:type="dxa" w:w="3118"/>
          </w:tcPr>
          <w:p>
            <w:pPr>
              <w:spacing w:lineRule="exact" w:line="600"/>
              <w:jc w:val="center"/>
            </w:pPr>
            <w:r/>
            <w:r>
              <w:rPr>
                <w:rFonts w:ascii="仿宋_GB2312" w:hAnsi="仿宋_GB2312" w:eastAsia="仿宋_GB2312"/>
                <w:b w:val="0"/>
                <w:color w:val="000000"/>
                <w:sz w:val="32"/>
              </w:rPr>
              <w:t>1100亿元以上/年</w:t>
            </w:r>
          </w:p>
        </w:tc>
        <w:tc>
          <w:tcPr>
            <w:tcW w:type="dxa" w:w="2551"/>
          </w:tcPr>
          <w:p>
            <w:pPr>
              <w:spacing w:lineRule="exact" w:line="600"/>
              <w:jc w:val="center"/>
            </w:pPr>
            <w:r/>
            <w:r>
              <w:rPr>
                <w:rFonts w:ascii="仿宋_GB2312" w:hAnsi="仿宋_GB2312" w:eastAsia="仿宋_GB2312"/>
                <w:b w:val="0"/>
                <w:color w:val="000000"/>
                <w:sz w:val="32"/>
              </w:rPr>
              <w:t>炼化一体化</w:t>
            </w:r>
          </w:p>
        </w:tc>
      </w:tr>
      <w:tr>
        <w:tc>
          <w:tcPr>
            <w:tcW w:type="dxa" w:w="3118"/>
          </w:tcPr>
          <w:p>
            <w:pPr>
              <w:spacing w:lineRule="exact" w:line="600"/>
              <w:jc w:val="center"/>
            </w:pPr>
            <w:r/>
            <w:r>
              <w:rPr>
                <w:rFonts w:ascii="仿宋_GB2312" w:hAnsi="仿宋_GB2312" w:eastAsia="仿宋_GB2312"/>
                <w:b w:val="0"/>
                <w:color w:val="000000"/>
                <w:sz w:val="32"/>
              </w:rPr>
              <w:t>乙烯产能（2024底）</w:t>
            </w:r>
          </w:p>
        </w:tc>
        <w:tc>
          <w:tcPr>
            <w:tcW w:type="dxa" w:w="3118"/>
          </w:tcPr>
          <w:p>
            <w:pPr>
              <w:spacing w:lineRule="exact" w:line="600"/>
              <w:jc w:val="center"/>
            </w:pPr>
            <w:r/>
            <w:r>
              <w:rPr>
                <w:rFonts w:ascii="仿宋_GB2312" w:hAnsi="仿宋_GB2312" w:eastAsia="仿宋_GB2312"/>
                <w:b w:val="0"/>
                <w:color w:val="000000"/>
                <w:sz w:val="32"/>
              </w:rPr>
              <w:t>520万吨/年</w:t>
            </w:r>
          </w:p>
        </w:tc>
        <w:tc>
          <w:tcPr>
            <w:tcW w:type="dxa" w:w="2551"/>
          </w:tcPr>
          <w:p>
            <w:pPr>
              <w:spacing w:lineRule="exact" w:line="600"/>
              <w:jc w:val="center"/>
            </w:pPr>
            <w:r/>
            <w:r>
              <w:rPr>
                <w:rFonts w:ascii="仿宋_GB2312" w:hAnsi="仿宋_GB2312" w:eastAsia="仿宋_GB2312"/>
                <w:b w:val="0"/>
                <w:color w:val="000000"/>
                <w:sz w:val="32"/>
              </w:rPr>
              <w:t>全国城市首位</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（一）纤维与造纸工艺</w:t>
      </w:r>
    </w:p>
    <w:p>
      <w:pPr>
        <w:spacing w:lineRule="exact" w:line="600" w:before="0" w:after="0"/>
        <w:ind w:firstLine="420"/>
        <w:jc w:val="both"/>
      </w:pPr>
      <w:r>
        <w:rPr>
          <w:rFonts w:ascii="仿宋_GB2312" w:hAnsi="仿宋_GB2312" w:eastAsia="仿宋_GB2312"/>
          <w:b w:val="0"/>
          <w:color w:val="000000"/>
          <w:sz w:val="32"/>
        </w:rPr>
        <w:t>泰和新材拥有国家级企业技术中心，率先产业化氨纶、间位/对位芳纶，间位芳纶采用国际领先纺丝第三代技术，打造全球最大芳纶有色纤维基地；智能纤维项目系全球首创可编织柔性电致发光纤维产业化。民士达突破纤维均匀分散、湿法成型、高温热压等关键工艺，2016年建成国内唯一高性能多叠网湿法抄造装备，创新低温增塑热压技术获国际发明专利。</w:t>
      </w:r>
    </w:p>
    <w:p>
      <w:pPr>
        <w:spacing w:lineRule="exact" w:line="600" w:before="120" w:after="120"/>
        <w:ind w:firstLine="420"/>
        <w:jc w:val="left"/>
      </w:pPr>
      <w:r>
        <w:rPr>
          <w:rFonts w:ascii="楷体_GB2312" w:hAnsi="楷体_GB2312" w:eastAsia="楷体_GB2312"/>
          <w:b w:val="0"/>
          <w:color w:val="000000"/>
          <w:sz w:val="32"/>
        </w:rPr>
        <w:t>（二）产品性能突破</w:t>
      </w:r>
    </w:p>
    <w:p>
      <w:pPr>
        <w:spacing w:lineRule="exact" w:line="600" w:before="0" w:after="0"/>
        <w:ind w:firstLine="420"/>
        <w:jc w:val="both"/>
      </w:pPr>
      <w:r>
        <w:rPr>
          <w:rFonts w:ascii="仿宋_GB2312" w:hAnsi="仿宋_GB2312" w:eastAsia="仿宋_GB2312"/>
          <w:b w:val="0"/>
          <w:color w:val="000000"/>
          <w:sz w:val="32"/>
        </w:rPr>
        <w:t>芳纶纸1毫米耐电压20千伏，A4大小蜂窝纸仅几十克承重2.7吨，弯曲强度为钢材7倍以上；泰普龙刹车片5%添加量达石棉20%效果；SAFEBM芳纶涂覆隔膜提升锂电安全与循环寿命。2023年泰和率先全球推出生物基芳纶与再生芳纶，引领绿色纤维。</w:t>
      </w:r>
    </w:p>
    <w:p>
      <w:pPr>
        <w:spacing w:lineRule="exact" w:line="600" w:before="120" w:after="120"/>
        <w:ind w:firstLine="420"/>
        <w:jc w:val="left"/>
      </w:pPr>
      <w:r>
        <w:rPr>
          <w:rFonts w:ascii="楷体_GB2312" w:hAnsi="楷体_GB2312" w:eastAsia="楷体_GB2312"/>
          <w:b w:val="0"/>
          <w:color w:val="000000"/>
          <w:sz w:val="32"/>
        </w:rPr>
        <w:t>（三）研发与标准</w:t>
      </w:r>
    </w:p>
    <w:p>
      <w:pPr>
        <w:spacing w:lineRule="exact" w:line="600" w:before="0" w:after="0"/>
        <w:ind w:firstLine="420"/>
        <w:jc w:val="both"/>
      </w:pPr>
      <w:r>
        <w:rPr>
          <w:rFonts w:ascii="仿宋_GB2312" w:hAnsi="仿宋_GB2312" w:eastAsia="仿宋_GB2312"/>
          <w:b w:val="0"/>
          <w:color w:val="000000"/>
          <w:sz w:val="32"/>
        </w:rPr>
        <w:t>泰和新材主持/参与多项标准制定，获多项发明专利，承担重大科技专项；在研高强对位芳纶、生物基芳纶、电解制氢复合隔膜、废旧织物回收等。美瑞新材攻克HDI/CHDI/PPDI特种异氰酸酯「卡脖子」技术，入选工信部精细化工攻关项目。集群研发驱动特征明显。</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402"/>
          </w:tcPr>
          <w:p>
            <w:pPr>
              <w:spacing w:lineRule="exact" w:line="600"/>
              <w:jc w:val="center"/>
            </w:pPr>
            <w:r/>
            <w:r>
              <w:rPr>
                <w:rFonts w:ascii="黑体" w:hAnsi="黑体" w:eastAsia="黑体"/>
                <w:b/>
                <w:color w:val="000000"/>
                <w:sz w:val="32"/>
              </w:rPr>
              <w:t>数值/水平</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芳纶纸耐电压</w:t>
            </w:r>
          </w:p>
        </w:tc>
        <w:tc>
          <w:tcPr>
            <w:tcW w:type="dxa" w:w="3402"/>
          </w:tcPr>
          <w:p>
            <w:pPr>
              <w:spacing w:lineRule="exact" w:line="600"/>
              <w:jc w:val="center"/>
            </w:pPr>
            <w:r/>
            <w:r>
              <w:rPr>
                <w:rFonts w:ascii="仿宋_GB2312" w:hAnsi="仿宋_GB2312" w:eastAsia="仿宋_GB2312"/>
                <w:b w:val="0"/>
                <w:color w:val="000000"/>
                <w:sz w:val="32"/>
              </w:rPr>
              <w:t>20千伏/毫米</w:t>
            </w:r>
          </w:p>
        </w:tc>
        <w:tc>
          <w:tcPr>
            <w:tcW w:type="dxa" w:w="2835"/>
          </w:tcPr>
          <w:p>
            <w:pPr>
              <w:spacing w:lineRule="exact" w:line="600"/>
              <w:jc w:val="center"/>
            </w:pPr>
            <w:r/>
            <w:r>
              <w:rPr>
                <w:rFonts w:ascii="仿宋_GB2312" w:hAnsi="仿宋_GB2312" w:eastAsia="仿宋_GB2312"/>
                <w:b w:val="0"/>
                <w:color w:val="000000"/>
                <w:sz w:val="32"/>
              </w:rPr>
              <w:t>民士达，2022</w:t>
            </w:r>
          </w:p>
        </w:tc>
      </w:tr>
      <w:tr>
        <w:tc>
          <w:tcPr>
            <w:tcW w:type="dxa" w:w="2268"/>
          </w:tcPr>
          <w:p>
            <w:pPr>
              <w:spacing w:lineRule="exact" w:line="600"/>
              <w:jc w:val="center"/>
            </w:pPr>
            <w:r/>
            <w:r>
              <w:rPr>
                <w:rFonts w:ascii="仿宋_GB2312" w:hAnsi="仿宋_GB2312" w:eastAsia="仿宋_GB2312"/>
                <w:b w:val="0"/>
                <w:color w:val="000000"/>
                <w:sz w:val="32"/>
              </w:rPr>
              <w:t>蜂窝纸承重</w:t>
            </w:r>
          </w:p>
        </w:tc>
        <w:tc>
          <w:tcPr>
            <w:tcW w:type="dxa" w:w="3402"/>
          </w:tcPr>
          <w:p>
            <w:pPr>
              <w:spacing w:lineRule="exact" w:line="600"/>
              <w:jc w:val="center"/>
            </w:pPr>
            <w:r/>
            <w:r>
              <w:rPr>
                <w:rFonts w:ascii="仿宋_GB2312" w:hAnsi="仿宋_GB2312" w:eastAsia="仿宋_GB2312"/>
                <w:b w:val="0"/>
                <w:color w:val="000000"/>
                <w:sz w:val="32"/>
              </w:rPr>
              <w:t>A4仅几十克承2.7吨</w:t>
            </w:r>
          </w:p>
        </w:tc>
        <w:tc>
          <w:tcPr>
            <w:tcW w:type="dxa" w:w="2835"/>
          </w:tcPr>
          <w:p>
            <w:pPr>
              <w:spacing w:lineRule="exact" w:line="600"/>
              <w:jc w:val="center"/>
            </w:pPr>
            <w:r/>
            <w:r>
              <w:rPr>
                <w:rFonts w:ascii="仿宋_GB2312" w:hAnsi="仿宋_GB2312" w:eastAsia="仿宋_GB2312"/>
                <w:b w:val="0"/>
                <w:color w:val="000000"/>
                <w:sz w:val="32"/>
              </w:rPr>
              <w:t>民士达，2022</w:t>
            </w:r>
          </w:p>
        </w:tc>
      </w:tr>
      <w:tr>
        <w:tc>
          <w:tcPr>
            <w:tcW w:type="dxa" w:w="2268"/>
          </w:tcPr>
          <w:p>
            <w:pPr>
              <w:spacing w:lineRule="exact" w:line="600"/>
              <w:jc w:val="center"/>
            </w:pPr>
            <w:r/>
            <w:r>
              <w:rPr>
                <w:rFonts w:ascii="仿宋_GB2312" w:hAnsi="仿宋_GB2312" w:eastAsia="仿宋_GB2312"/>
                <w:b w:val="0"/>
                <w:color w:val="000000"/>
                <w:sz w:val="32"/>
              </w:rPr>
              <w:t>纺丝技术</w:t>
            </w:r>
          </w:p>
        </w:tc>
        <w:tc>
          <w:tcPr>
            <w:tcW w:type="dxa" w:w="3402"/>
          </w:tcPr>
          <w:p>
            <w:pPr>
              <w:spacing w:lineRule="exact" w:line="600"/>
              <w:jc w:val="center"/>
            </w:pPr>
            <w:r/>
            <w:r>
              <w:rPr>
                <w:rFonts w:ascii="仿宋_GB2312" w:hAnsi="仿宋_GB2312" w:eastAsia="仿宋_GB2312"/>
                <w:b w:val="0"/>
                <w:color w:val="000000"/>
                <w:sz w:val="32"/>
              </w:rPr>
              <w:t>间位芳纶第三代国际领先</w:t>
            </w:r>
          </w:p>
        </w:tc>
        <w:tc>
          <w:tcPr>
            <w:tcW w:type="dxa" w:w="2835"/>
          </w:tcPr>
          <w:p>
            <w:pPr>
              <w:spacing w:lineRule="exact" w:line="600"/>
              <w:jc w:val="center"/>
            </w:pPr>
            <w:r/>
            <w:r>
              <w:rPr>
                <w:rFonts w:ascii="仿宋_GB2312" w:hAnsi="仿宋_GB2312" w:eastAsia="仿宋_GB2312"/>
                <w:b w:val="0"/>
                <w:color w:val="000000"/>
                <w:sz w:val="32"/>
              </w:rPr>
              <w:t>泰和，2023</w:t>
            </w:r>
          </w:p>
        </w:tc>
      </w:tr>
      <w:tr>
        <w:tc>
          <w:tcPr>
            <w:tcW w:type="dxa" w:w="2268"/>
          </w:tcPr>
          <w:p>
            <w:pPr>
              <w:spacing w:lineRule="exact" w:line="600"/>
              <w:jc w:val="center"/>
            </w:pPr>
            <w:r/>
            <w:r>
              <w:rPr>
                <w:rFonts w:ascii="仿宋_GB2312" w:hAnsi="仿宋_GB2312" w:eastAsia="仿宋_GB2312"/>
                <w:b w:val="0"/>
                <w:color w:val="000000"/>
                <w:sz w:val="32"/>
              </w:rPr>
              <w:t>智能纤维</w:t>
            </w:r>
          </w:p>
        </w:tc>
        <w:tc>
          <w:tcPr>
            <w:tcW w:type="dxa" w:w="3402"/>
          </w:tcPr>
          <w:p>
            <w:pPr>
              <w:spacing w:lineRule="exact" w:line="600"/>
              <w:jc w:val="center"/>
            </w:pPr>
            <w:r/>
            <w:r>
              <w:rPr>
                <w:rFonts w:ascii="仿宋_GB2312" w:hAnsi="仿宋_GB2312" w:eastAsia="仿宋_GB2312"/>
                <w:b w:val="0"/>
                <w:color w:val="000000"/>
                <w:sz w:val="32"/>
              </w:rPr>
              <w:t>全球首创产业化</w:t>
            </w:r>
          </w:p>
        </w:tc>
        <w:tc>
          <w:tcPr>
            <w:tcW w:type="dxa" w:w="2835"/>
          </w:tcPr>
          <w:p>
            <w:pPr>
              <w:spacing w:lineRule="exact" w:line="600"/>
              <w:jc w:val="center"/>
            </w:pPr>
            <w:r/>
            <w:r>
              <w:rPr>
                <w:rFonts w:ascii="仿宋_GB2312" w:hAnsi="仿宋_GB2312" w:eastAsia="仿宋_GB2312"/>
                <w:b w:val="0"/>
                <w:color w:val="000000"/>
                <w:sz w:val="32"/>
              </w:rPr>
              <w:t>泰和，2022</w:t>
            </w:r>
          </w:p>
        </w:tc>
      </w:tr>
      <w:tr>
        <w:tc>
          <w:tcPr>
            <w:tcW w:type="dxa" w:w="2268"/>
          </w:tcPr>
          <w:p>
            <w:pPr>
              <w:spacing w:lineRule="exact" w:line="600"/>
              <w:jc w:val="center"/>
            </w:pPr>
            <w:r/>
            <w:r>
              <w:rPr>
                <w:rFonts w:ascii="仿宋_GB2312" w:hAnsi="仿宋_GB2312" w:eastAsia="仿宋_GB2312"/>
                <w:b w:val="0"/>
                <w:color w:val="000000"/>
                <w:sz w:val="32"/>
              </w:rPr>
              <w:t>民士达装备</w:t>
            </w:r>
          </w:p>
        </w:tc>
        <w:tc>
          <w:tcPr>
            <w:tcW w:type="dxa" w:w="3402"/>
          </w:tcPr>
          <w:p>
            <w:pPr>
              <w:spacing w:lineRule="exact" w:line="600"/>
              <w:jc w:val="center"/>
            </w:pPr>
            <w:r/>
            <w:r>
              <w:rPr>
                <w:rFonts w:ascii="仿宋_GB2312" w:hAnsi="仿宋_GB2312" w:eastAsia="仿宋_GB2312"/>
                <w:b w:val="0"/>
                <w:color w:val="000000"/>
                <w:sz w:val="32"/>
              </w:rPr>
              <w:t>国内唯一多叠网湿法</w:t>
            </w:r>
          </w:p>
        </w:tc>
        <w:tc>
          <w:tcPr>
            <w:tcW w:type="dxa" w:w="2835"/>
          </w:tcPr>
          <w:p>
            <w:pPr>
              <w:spacing w:lineRule="exact" w:line="600"/>
              <w:jc w:val="center"/>
            </w:pPr>
            <w:r/>
            <w:r>
              <w:rPr>
                <w:rFonts w:ascii="仿宋_GB2312" w:hAnsi="仿宋_GB2312" w:eastAsia="仿宋_GB2312"/>
                <w:b w:val="0"/>
                <w:color w:val="000000"/>
                <w:sz w:val="32"/>
              </w:rPr>
              <w:t>民士达，2016</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（一）原料与成本</w:t>
      </w:r>
    </w:p>
    <w:p>
      <w:pPr>
        <w:spacing w:lineRule="exact" w:line="600" w:before="0" w:after="0"/>
        <w:ind w:firstLine="420"/>
        <w:jc w:val="both"/>
      </w:pPr>
      <w:r>
        <w:rPr>
          <w:rFonts w:ascii="仿宋_GB2312" w:hAnsi="仿宋_GB2312" w:eastAsia="仿宋_GB2312"/>
          <w:b w:val="0"/>
          <w:color w:val="000000"/>
          <w:sz w:val="32"/>
        </w:rPr>
        <w:t>氨纶成本受PTMEG、MDI价格主导，2024年PTMEG、MDI市场价分别约1.2万、1.85万元/吨，氨纶价差约1.16万元/吨，行业多数亏损。芳纶原料为芳香族单体，泰和采购量稳定但价格下行挤压利润。民士达上游纤维自给+工艺节能，成本优势明显。</w:t>
      </w:r>
    </w:p>
    <w:p>
      <w:pPr>
        <w:spacing w:lineRule="exact" w:line="600" w:before="120" w:after="120"/>
        <w:ind w:firstLine="420"/>
        <w:jc w:val="left"/>
      </w:pPr>
      <w:r>
        <w:rPr>
          <w:rFonts w:ascii="楷体_GB2312" w:hAnsi="楷体_GB2312" w:eastAsia="楷体_GB2312"/>
          <w:b w:val="0"/>
          <w:color w:val="000000"/>
          <w:sz w:val="32"/>
        </w:rPr>
        <w:t>（二）能耗与环保</w:t>
      </w:r>
    </w:p>
    <w:p>
      <w:pPr>
        <w:spacing w:lineRule="exact" w:line="600" w:before="0" w:after="0"/>
        <w:ind w:firstLine="420"/>
        <w:jc w:val="both"/>
      </w:pPr>
      <w:r>
        <w:rPr>
          <w:rFonts w:ascii="仿宋_GB2312" w:hAnsi="仿宋_GB2312" w:eastAsia="仿宋_GB2312"/>
          <w:b w:val="0"/>
          <w:color w:val="000000"/>
          <w:sz w:val="32"/>
        </w:rPr>
        <w:t>高性能纤维纺丝与热压属中高耗能，受能耗双控约束；芳纶生产涉及有机溶剂，环保要求高。民士达低温增塑热压技术实现节能降耗；泰和推进绿色制造技术、生物基与再生芳纶降低碳足迹，契合「双碳」与欧盟绿色法规。</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泰和2024年总资产149.20亿元，经营现金流支撑扩产；民士达北交所募资扩产1500吨线。但氨纶亏损与芳纶降价使利润承压，影响再投资能力；需借助专精特新、绿色信贷与产业基金。园区倍增计划对企业扩产、研发给予奖励支持。</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685"/>
          </w:tcPr>
          <w:p>
            <w:pPr>
              <w:spacing w:lineRule="exact" w:line="600"/>
              <w:jc w:val="center"/>
            </w:pPr>
            <w:r/>
            <w:r>
              <w:rPr>
                <w:rFonts w:ascii="黑体" w:hAnsi="黑体" w:eastAsia="黑体"/>
                <w:b/>
                <w:color w:val="000000"/>
                <w:sz w:val="32"/>
              </w:rPr>
              <w:t>数值/特征</w:t>
            </w:r>
          </w:p>
        </w:tc>
        <w:tc>
          <w:tcPr>
            <w:tcW w:type="dxa" w:w="2551"/>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泰和总资产</w:t>
            </w:r>
          </w:p>
        </w:tc>
        <w:tc>
          <w:tcPr>
            <w:tcW w:type="dxa" w:w="3685"/>
          </w:tcPr>
          <w:p>
            <w:pPr>
              <w:spacing w:lineRule="exact" w:line="600"/>
              <w:jc w:val="center"/>
            </w:pPr>
            <w:r/>
            <w:r>
              <w:rPr>
                <w:rFonts w:ascii="仿宋_GB2312" w:hAnsi="仿宋_GB2312" w:eastAsia="仿宋_GB2312"/>
                <w:b w:val="0"/>
                <w:color w:val="000000"/>
                <w:sz w:val="32"/>
              </w:rPr>
              <w:t>149.20亿元</w:t>
            </w:r>
          </w:p>
        </w:tc>
        <w:tc>
          <w:tcPr>
            <w:tcW w:type="dxa" w:w="2551"/>
          </w:tcPr>
          <w:p>
            <w:pPr>
              <w:spacing w:lineRule="exact" w:line="600"/>
              <w:jc w:val="center"/>
            </w:pPr>
            <w:r/>
            <w:r>
              <w:rPr>
                <w:rFonts w:ascii="仿宋_GB2312" w:hAnsi="仿宋_GB2312" w:eastAsia="仿宋_GB2312"/>
                <w:b w:val="0"/>
                <w:color w:val="000000"/>
                <w:sz w:val="32"/>
              </w:rPr>
              <w:t>评级报告，2024</w:t>
            </w:r>
          </w:p>
        </w:tc>
      </w:tr>
      <w:tr>
        <w:tc>
          <w:tcPr>
            <w:tcW w:type="dxa" w:w="2268"/>
          </w:tcPr>
          <w:p>
            <w:pPr>
              <w:spacing w:lineRule="exact" w:line="600"/>
              <w:jc w:val="center"/>
            </w:pPr>
            <w:r/>
            <w:r>
              <w:rPr>
                <w:rFonts w:ascii="仿宋_GB2312" w:hAnsi="仿宋_GB2312" w:eastAsia="仿宋_GB2312"/>
                <w:b w:val="0"/>
                <w:color w:val="000000"/>
                <w:sz w:val="32"/>
              </w:rPr>
              <w:t>氨纶价差</w:t>
            </w:r>
          </w:p>
        </w:tc>
        <w:tc>
          <w:tcPr>
            <w:tcW w:type="dxa" w:w="3685"/>
          </w:tcPr>
          <w:p>
            <w:pPr>
              <w:spacing w:lineRule="exact" w:line="600"/>
              <w:jc w:val="center"/>
            </w:pPr>
            <w:r/>
            <w:r>
              <w:rPr>
                <w:rFonts w:ascii="仿宋_GB2312" w:hAnsi="仿宋_GB2312" w:eastAsia="仿宋_GB2312"/>
                <w:b w:val="0"/>
                <w:color w:val="000000"/>
                <w:sz w:val="32"/>
              </w:rPr>
              <w:t>约1.16万元/吨</w:t>
            </w:r>
          </w:p>
        </w:tc>
        <w:tc>
          <w:tcPr>
            <w:tcW w:type="dxa" w:w="2551"/>
          </w:tcPr>
          <w:p>
            <w:pPr>
              <w:spacing w:lineRule="exact" w:line="600"/>
              <w:jc w:val="center"/>
            </w:pPr>
            <w:r/>
            <w:r>
              <w:rPr>
                <w:rFonts w:ascii="仿宋_GB2312" w:hAnsi="仿宋_GB2312" w:eastAsia="仿宋_GB2312"/>
                <w:b w:val="0"/>
                <w:color w:val="000000"/>
                <w:sz w:val="32"/>
              </w:rPr>
              <w:t>百川盈孚，2024</w:t>
            </w:r>
          </w:p>
        </w:tc>
      </w:tr>
      <w:tr>
        <w:tc>
          <w:tcPr>
            <w:tcW w:type="dxa" w:w="2268"/>
          </w:tcPr>
          <w:p>
            <w:pPr>
              <w:spacing w:lineRule="exact" w:line="600"/>
              <w:jc w:val="center"/>
            </w:pPr>
            <w:r/>
            <w:r>
              <w:rPr>
                <w:rFonts w:ascii="仿宋_GB2312" w:hAnsi="仿宋_GB2312" w:eastAsia="仿宋_GB2312"/>
                <w:b w:val="0"/>
                <w:color w:val="000000"/>
                <w:sz w:val="32"/>
              </w:rPr>
              <w:t>民士达新线</w:t>
            </w:r>
          </w:p>
        </w:tc>
        <w:tc>
          <w:tcPr>
            <w:tcW w:type="dxa" w:w="3685"/>
          </w:tcPr>
          <w:p>
            <w:pPr>
              <w:spacing w:lineRule="exact" w:line="600"/>
              <w:jc w:val="center"/>
            </w:pPr>
            <w:r/>
            <w:r>
              <w:rPr>
                <w:rFonts w:ascii="仿宋_GB2312" w:hAnsi="仿宋_GB2312" w:eastAsia="仿宋_GB2312"/>
                <w:b w:val="0"/>
                <w:color w:val="000000"/>
                <w:sz w:val="32"/>
              </w:rPr>
              <w:t>1500吨/2025.6投产</w:t>
            </w:r>
          </w:p>
        </w:tc>
        <w:tc>
          <w:tcPr>
            <w:tcW w:type="dxa" w:w="2551"/>
          </w:tcPr>
          <w:p>
            <w:pPr>
              <w:spacing w:lineRule="exact" w:line="600"/>
              <w:jc w:val="center"/>
            </w:pPr>
            <w:r/>
            <w:r>
              <w:rPr>
                <w:rFonts w:ascii="仿宋_GB2312" w:hAnsi="仿宋_GB2312" w:eastAsia="仿宋_GB2312"/>
                <w:b w:val="0"/>
                <w:color w:val="000000"/>
                <w:sz w:val="32"/>
              </w:rPr>
              <w:t>民士达，2025</w:t>
            </w:r>
          </w:p>
        </w:tc>
      </w:tr>
      <w:tr>
        <w:tc>
          <w:tcPr>
            <w:tcW w:type="dxa" w:w="2268"/>
          </w:tcPr>
          <w:p>
            <w:pPr>
              <w:spacing w:lineRule="exact" w:line="600"/>
              <w:jc w:val="center"/>
            </w:pPr>
            <w:r/>
            <w:r>
              <w:rPr>
                <w:rFonts w:ascii="仿宋_GB2312" w:hAnsi="仿宋_GB2312" w:eastAsia="仿宋_GB2312"/>
                <w:b w:val="0"/>
                <w:color w:val="000000"/>
                <w:sz w:val="32"/>
              </w:rPr>
              <w:t>氨纶市场价</w:t>
            </w:r>
          </w:p>
        </w:tc>
        <w:tc>
          <w:tcPr>
            <w:tcW w:type="dxa" w:w="3685"/>
          </w:tcPr>
          <w:p>
            <w:pPr>
              <w:spacing w:lineRule="exact" w:line="600"/>
              <w:jc w:val="center"/>
            </w:pPr>
            <w:r/>
            <w:r>
              <w:rPr>
                <w:rFonts w:ascii="仿宋_GB2312" w:hAnsi="仿宋_GB2312" w:eastAsia="仿宋_GB2312"/>
                <w:b w:val="0"/>
                <w:color w:val="000000"/>
                <w:sz w:val="32"/>
              </w:rPr>
              <w:t>约2.43万元/吨</w:t>
            </w:r>
          </w:p>
        </w:tc>
        <w:tc>
          <w:tcPr>
            <w:tcW w:type="dxa" w:w="2551"/>
          </w:tcPr>
          <w:p>
            <w:pPr>
              <w:spacing w:lineRule="exact" w:line="600"/>
              <w:jc w:val="center"/>
            </w:pPr>
            <w:r/>
            <w:r>
              <w:rPr>
                <w:rFonts w:ascii="仿宋_GB2312" w:hAnsi="仿宋_GB2312" w:eastAsia="仿宋_GB2312"/>
                <w:b w:val="0"/>
                <w:color w:val="000000"/>
                <w:sz w:val="32"/>
              </w:rPr>
              <w:t>百川盈孚，2024</w:t>
            </w:r>
          </w:p>
        </w:tc>
      </w:tr>
      <w:tr>
        <w:tc>
          <w:tcPr>
            <w:tcW w:type="dxa" w:w="2268"/>
          </w:tcPr>
          <w:p>
            <w:pPr>
              <w:spacing w:lineRule="exact" w:line="600"/>
              <w:jc w:val="center"/>
            </w:pPr>
            <w:r/>
            <w:r>
              <w:rPr>
                <w:rFonts w:ascii="仿宋_GB2312" w:hAnsi="仿宋_GB2312" w:eastAsia="仿宋_GB2312"/>
                <w:b w:val="0"/>
                <w:color w:val="000000"/>
                <w:sz w:val="32"/>
              </w:rPr>
              <w:t>绿色工艺</w:t>
            </w:r>
          </w:p>
        </w:tc>
        <w:tc>
          <w:tcPr>
            <w:tcW w:type="dxa" w:w="3685"/>
          </w:tcPr>
          <w:p>
            <w:pPr>
              <w:spacing w:lineRule="exact" w:line="600"/>
              <w:jc w:val="center"/>
            </w:pPr>
            <w:r/>
            <w:r>
              <w:rPr>
                <w:rFonts w:ascii="仿宋_GB2312" w:hAnsi="仿宋_GB2312" w:eastAsia="仿宋_GB2312"/>
                <w:b w:val="0"/>
                <w:color w:val="000000"/>
                <w:sz w:val="32"/>
              </w:rPr>
              <w:t>低温增塑热压</w:t>
            </w:r>
          </w:p>
        </w:tc>
        <w:tc>
          <w:tcPr>
            <w:tcW w:type="dxa" w:w="2551"/>
          </w:tcPr>
          <w:p>
            <w:pPr>
              <w:spacing w:lineRule="exact" w:line="600"/>
              <w:jc w:val="center"/>
            </w:pPr>
            <w:r/>
            <w:r>
              <w:rPr>
                <w:rFonts w:ascii="仿宋_GB2312" w:hAnsi="仿宋_GB2312" w:eastAsia="仿宋_GB2312"/>
                <w:b w:val="0"/>
                <w:color w:val="000000"/>
                <w:sz w:val="32"/>
              </w:rPr>
              <w:t>民士达</w:t>
            </w:r>
          </w:p>
        </w:tc>
      </w:tr>
    </w:tbl>
    <w:p>
      <w:pPr>
        <w:spacing w:lineRule="exact" w:line="600" w:before="120" w:after="120"/>
        <w:ind w:firstLine="420"/>
        <w:jc w:val="left"/>
      </w:pPr>
      <w:r>
        <w:rPr>
          <w:rFonts w:ascii="楷体_GB2312" w:hAnsi="楷体_GB2312" w:eastAsia="楷体_GB2312"/>
          <w:b w:val="0"/>
          <w:color w:val="000000"/>
          <w:sz w:val="32"/>
        </w:rPr>
        <w:t>研发投入与创新强度（本批真实数据补充·来源见正文）</w:t>
      </w:r>
    </w:p>
    <w:p>
      <w:pPr>
        <w:spacing w:lineRule="exact" w:line="600" w:before="0" w:after="0"/>
        <w:ind w:firstLine="420"/>
        <w:jc w:val="both"/>
      </w:pPr>
      <w:r>
        <w:rPr>
          <w:rFonts w:ascii="仿宋_GB2312" w:hAnsi="仿宋_GB2312" w:eastAsia="仿宋_GB2312"/>
          <w:b w:val="0"/>
          <w:color w:val="000000"/>
          <w:sz w:val="32"/>
        </w:rPr>
        <w:t>2023年度烟台化工企业研发投入超60亿元，研发投入强度达3.8%以上；依托万华化学全球研发中心等6大创新平台，构建“6+110个省级以上科创平台”体系。绿色发展方面，万华2024年实现固废减量4.7万吨、资源化利用4.5万吨。（来源：新华网2024、齐鲁网2025）</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口径</w:t>
            </w:r>
          </w:p>
        </w:tc>
      </w:tr>
      <w:tr>
        <w:tc>
          <w:tcPr>
            <w:tcW w:type="dxa" w:w="3118"/>
          </w:tcPr>
          <w:p>
            <w:pPr>
              <w:spacing w:lineRule="exact" w:line="600"/>
              <w:jc w:val="center"/>
            </w:pPr>
            <w:r/>
            <w:r>
              <w:rPr>
                <w:rFonts w:ascii="仿宋_GB2312" w:hAnsi="仿宋_GB2312" w:eastAsia="仿宋_GB2312"/>
                <w:b w:val="0"/>
                <w:color w:val="000000"/>
                <w:sz w:val="32"/>
              </w:rPr>
              <w:t>化工企业研发投入</w:t>
            </w:r>
          </w:p>
        </w:tc>
        <w:tc>
          <w:tcPr>
            <w:tcW w:type="dxa" w:w="3118"/>
          </w:tcPr>
          <w:p>
            <w:pPr>
              <w:spacing w:lineRule="exact" w:line="600"/>
              <w:jc w:val="center"/>
            </w:pPr>
            <w:r/>
            <w:r>
              <w:rPr>
                <w:rFonts w:ascii="仿宋_GB2312" w:hAnsi="仿宋_GB2312" w:eastAsia="仿宋_GB2312"/>
                <w:b w:val="0"/>
                <w:color w:val="000000"/>
                <w:sz w:val="32"/>
              </w:rPr>
              <w:t>超60亿元（2023）</w:t>
            </w:r>
          </w:p>
        </w:tc>
        <w:tc>
          <w:tcPr>
            <w:tcW w:type="dxa" w:w="2551"/>
          </w:tcPr>
          <w:p>
            <w:pPr>
              <w:spacing w:lineRule="exact" w:line="600"/>
              <w:jc w:val="center"/>
            </w:pPr>
            <w:r/>
            <w:r>
              <w:rPr>
                <w:rFonts w:ascii="仿宋_GB2312" w:hAnsi="仿宋_GB2312" w:eastAsia="仿宋_GB2312"/>
                <w:b w:val="0"/>
                <w:color w:val="000000"/>
                <w:sz w:val="32"/>
              </w:rPr>
              <w:t>强度3.8%以上</w:t>
            </w:r>
          </w:p>
        </w:tc>
      </w:tr>
      <w:tr>
        <w:tc>
          <w:tcPr>
            <w:tcW w:type="dxa" w:w="3118"/>
          </w:tcPr>
          <w:p>
            <w:pPr>
              <w:spacing w:lineRule="exact" w:line="600"/>
              <w:jc w:val="center"/>
            </w:pPr>
            <w:r/>
            <w:r>
              <w:rPr>
                <w:rFonts w:ascii="仿宋_GB2312" w:hAnsi="仿宋_GB2312" w:eastAsia="仿宋_GB2312"/>
                <w:b w:val="0"/>
                <w:color w:val="000000"/>
                <w:sz w:val="32"/>
              </w:rPr>
              <w:t>省级以上科创平台</w:t>
            </w:r>
          </w:p>
        </w:tc>
        <w:tc>
          <w:tcPr>
            <w:tcW w:type="dxa" w:w="3118"/>
          </w:tcPr>
          <w:p>
            <w:pPr>
              <w:spacing w:lineRule="exact" w:line="600"/>
              <w:jc w:val="center"/>
            </w:pPr>
            <w:r/>
            <w:r>
              <w:rPr>
                <w:rFonts w:ascii="仿宋_GB2312" w:hAnsi="仿宋_GB2312" w:eastAsia="仿宋_GB2312"/>
                <w:b w:val="0"/>
                <w:color w:val="000000"/>
                <w:sz w:val="32"/>
              </w:rPr>
              <w:t>110个</w:t>
            </w:r>
          </w:p>
        </w:tc>
        <w:tc>
          <w:tcPr>
            <w:tcW w:type="dxa" w:w="2551"/>
          </w:tcPr>
          <w:p>
            <w:pPr>
              <w:spacing w:lineRule="exact" w:line="600"/>
              <w:jc w:val="center"/>
            </w:pPr>
            <w:r/>
            <w:r>
              <w:rPr>
                <w:rFonts w:ascii="仿宋_GB2312" w:hAnsi="仿宋_GB2312" w:eastAsia="仿宋_GB2312"/>
                <w:b w:val="0"/>
                <w:color w:val="000000"/>
                <w:sz w:val="32"/>
              </w:rPr>
              <w:t>加6大核心平台</w:t>
            </w:r>
          </w:p>
        </w:tc>
      </w:tr>
      <w:tr>
        <w:tc>
          <w:tcPr>
            <w:tcW w:type="dxa" w:w="3118"/>
          </w:tcPr>
          <w:p>
            <w:pPr>
              <w:spacing w:lineRule="exact" w:line="600"/>
              <w:jc w:val="center"/>
            </w:pPr>
            <w:r/>
            <w:r>
              <w:rPr>
                <w:rFonts w:ascii="仿宋_GB2312" w:hAnsi="仿宋_GB2312" w:eastAsia="仿宋_GB2312"/>
                <w:b w:val="0"/>
                <w:color w:val="000000"/>
                <w:sz w:val="32"/>
              </w:rPr>
              <w:t>万华固废减量</w:t>
            </w:r>
          </w:p>
        </w:tc>
        <w:tc>
          <w:tcPr>
            <w:tcW w:type="dxa" w:w="3118"/>
          </w:tcPr>
          <w:p>
            <w:pPr>
              <w:spacing w:lineRule="exact" w:line="600"/>
              <w:jc w:val="center"/>
            </w:pPr>
            <w:r/>
            <w:r>
              <w:rPr>
                <w:rFonts w:ascii="仿宋_GB2312" w:hAnsi="仿宋_GB2312" w:eastAsia="仿宋_GB2312"/>
                <w:b w:val="0"/>
                <w:color w:val="000000"/>
                <w:sz w:val="32"/>
              </w:rPr>
              <w:t>4.7万吨（2024）</w:t>
            </w:r>
          </w:p>
        </w:tc>
        <w:tc>
          <w:tcPr>
            <w:tcW w:type="dxa" w:w="2551"/>
          </w:tcPr>
          <w:p>
            <w:pPr>
              <w:spacing w:lineRule="exact" w:line="600"/>
              <w:jc w:val="center"/>
            </w:pPr>
            <w:r/>
            <w:r>
              <w:rPr>
                <w:rFonts w:ascii="仿宋_GB2312" w:hAnsi="仿宋_GB2312" w:eastAsia="仿宋_GB2312"/>
                <w:b w:val="0"/>
                <w:color w:val="000000"/>
                <w:sz w:val="32"/>
              </w:rPr>
              <w:t>资源化4.5万吨</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新能源（耐电晕芳纶纸、涂覆隔膜）、低空经济（芳纶蜂窝芯）、个体防护标准升级、5G/信息通信拉动芳纶与PI需求；国产替代（芳纶纸国产化率58%、持续渗透）与出口（民士达畅销40多国）；生物基/再生芳纶绿色赛道；泰和2030年目标间位/对位芳纶产能全球第一。</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氨纶行业产能过剩、价格低迷致板块亏损；芳纶终端需求不足、供大于求、价格竞争加剧；高端牌号与国际龙头仍有差距；上游单体部分依赖外采；研发与产能释放需匹配需求节奏，避免再次过剩。</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欧盟对中国光缆反倾销等贸易措施影响对位芳纶出口；国际芳纶龙头恢复供应采取低价竞争；原料价格与汇率波动；环保安全监管趋严；若新能源/低空经济需求不及预期，新增产能将加剧过剩。需防范盈利持续下滑与资产减值。</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25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价格竞争</w:t>
            </w:r>
          </w:p>
        </w:tc>
        <w:tc>
          <w:tcPr>
            <w:tcW w:type="dxa" w:w="4252"/>
          </w:tcPr>
          <w:p>
            <w:pPr>
              <w:spacing w:lineRule="exact" w:line="600"/>
              <w:jc w:val="center"/>
            </w:pPr>
            <w:r/>
            <w:r>
              <w:rPr>
                <w:rFonts w:ascii="仿宋_GB2312" w:hAnsi="仿宋_GB2312" w:eastAsia="仿宋_GB2312"/>
                <w:b w:val="0"/>
                <w:color w:val="000000"/>
                <w:sz w:val="32"/>
              </w:rPr>
              <w:t>氨纶亏损/芳纶降价</w:t>
            </w:r>
          </w:p>
        </w:tc>
        <w:tc>
          <w:tcPr>
            <w:tcW w:type="dxa" w:w="2551"/>
          </w:tcPr>
          <w:p>
            <w:pPr>
              <w:spacing w:lineRule="exact" w:line="600"/>
              <w:jc w:val="center"/>
            </w:pPr>
            <w:r/>
            <w:r>
              <w:rPr>
                <w:rFonts w:ascii="仿宋_GB2312" w:hAnsi="仿宋_GB2312" w:eastAsia="仿宋_GB2312"/>
                <w:b w:val="0"/>
                <w:color w:val="000000"/>
                <w:sz w:val="32"/>
              </w:rPr>
              <w:t>高</w:t>
            </w:r>
          </w:p>
        </w:tc>
      </w:tr>
      <w:tr>
        <w:tc>
          <w:tcPr>
            <w:tcW w:type="dxa" w:w="1701"/>
          </w:tcPr>
          <w:p>
            <w:pPr>
              <w:spacing w:lineRule="exact" w:line="600"/>
              <w:jc w:val="center"/>
            </w:pPr>
            <w:r/>
            <w:r>
              <w:rPr>
                <w:rFonts w:ascii="仿宋_GB2312" w:hAnsi="仿宋_GB2312" w:eastAsia="仿宋_GB2312"/>
                <w:b w:val="0"/>
                <w:color w:val="000000"/>
                <w:sz w:val="32"/>
              </w:rPr>
              <w:t>贸易壁垒</w:t>
            </w:r>
          </w:p>
        </w:tc>
        <w:tc>
          <w:tcPr>
            <w:tcW w:type="dxa" w:w="4252"/>
          </w:tcPr>
          <w:p>
            <w:pPr>
              <w:spacing w:lineRule="exact" w:line="600"/>
              <w:jc w:val="center"/>
            </w:pPr>
            <w:r/>
            <w:r>
              <w:rPr>
                <w:rFonts w:ascii="仿宋_GB2312" w:hAnsi="仿宋_GB2312" w:eastAsia="仿宋_GB2312"/>
                <w:b w:val="0"/>
                <w:color w:val="000000"/>
                <w:sz w:val="32"/>
              </w:rPr>
              <w:t>欧盟光缆反倾销</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产能过剩</w:t>
            </w:r>
          </w:p>
        </w:tc>
        <w:tc>
          <w:tcPr>
            <w:tcW w:type="dxa" w:w="4252"/>
          </w:tcPr>
          <w:p>
            <w:pPr>
              <w:spacing w:lineRule="exact" w:line="600"/>
              <w:jc w:val="center"/>
            </w:pPr>
            <w:r/>
            <w:r>
              <w:rPr>
                <w:rFonts w:ascii="仿宋_GB2312" w:hAnsi="仿宋_GB2312" w:eastAsia="仿宋_GB2312"/>
                <w:b w:val="0"/>
                <w:color w:val="000000"/>
                <w:sz w:val="32"/>
              </w:rPr>
              <w:t>氨纶/芳纶扩产</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原料波动</w:t>
            </w:r>
          </w:p>
        </w:tc>
        <w:tc>
          <w:tcPr>
            <w:tcW w:type="dxa" w:w="4252"/>
          </w:tcPr>
          <w:p>
            <w:pPr>
              <w:spacing w:lineRule="exact" w:line="600"/>
              <w:jc w:val="center"/>
            </w:pPr>
            <w:r/>
            <w:r>
              <w:rPr>
                <w:rFonts w:ascii="仿宋_GB2312" w:hAnsi="仿宋_GB2312" w:eastAsia="仿宋_GB2312"/>
                <w:b w:val="0"/>
                <w:color w:val="000000"/>
                <w:sz w:val="32"/>
              </w:rPr>
              <w:t>单体价格/汇率</w:t>
            </w:r>
          </w:p>
        </w:tc>
        <w:tc>
          <w:tcPr>
            <w:tcW w:type="dxa" w:w="2551"/>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技术追赶</w:t>
            </w:r>
          </w:p>
        </w:tc>
        <w:tc>
          <w:tcPr>
            <w:tcW w:type="dxa" w:w="4252"/>
          </w:tcPr>
          <w:p>
            <w:pPr>
              <w:spacing w:lineRule="exact" w:line="600"/>
              <w:jc w:val="center"/>
            </w:pPr>
            <w:r/>
            <w:r>
              <w:rPr>
                <w:rFonts w:ascii="仿宋_GB2312" w:hAnsi="仿宋_GB2312" w:eastAsia="仿宋_GB2312"/>
                <w:b w:val="0"/>
                <w:color w:val="000000"/>
                <w:sz w:val="32"/>
              </w:rPr>
              <w:t>国际龙头低价</w:t>
            </w:r>
          </w:p>
        </w:tc>
        <w:tc>
          <w:tcPr>
            <w:tcW w:type="dxa" w:w="2551"/>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（一）存量提升与高端化</w:t>
      </w:r>
    </w:p>
    <w:p>
      <w:pPr>
        <w:spacing w:lineRule="exact" w:line="600" w:before="0" w:after="0"/>
        <w:ind w:firstLine="420"/>
        <w:jc w:val="both"/>
      </w:pPr>
      <w:r>
        <w:rPr>
          <w:rFonts w:ascii="仿宋_GB2312" w:hAnsi="仿宋_GB2312" w:eastAsia="仿宋_GB2312"/>
          <w:b w:val="0"/>
          <w:color w:val="000000"/>
          <w:sz w:val="32"/>
        </w:rPr>
        <w:t>泰和聚焦氨纶、芳纶主业，做强做大化学纤维上下游，目标2030年间位/对位芳纶产能跃居全球第一、芳纶纸保持全球第二；推进芳纶涂覆隔膜、高强对位芳纶产业化，提升高端牌号占比与差异化定价能力，摆脱中低端价格战。</w:t>
      </w:r>
    </w:p>
    <w:p>
      <w:pPr>
        <w:spacing w:lineRule="exact" w:line="600" w:before="120" w:after="120"/>
        <w:ind w:firstLine="420"/>
        <w:jc w:val="left"/>
      </w:pPr>
      <w:r>
        <w:rPr>
          <w:rFonts w:ascii="楷体_GB2312" w:hAnsi="楷体_GB2312" w:eastAsia="楷体_GB2312"/>
          <w:b w:val="0"/>
          <w:color w:val="000000"/>
          <w:sz w:val="32"/>
        </w:rPr>
        <w:t>（二）增量拓展</w:t>
      </w:r>
    </w:p>
    <w:p>
      <w:pPr>
        <w:spacing w:lineRule="exact" w:line="600" w:before="0" w:after="0"/>
        <w:ind w:firstLine="420"/>
        <w:jc w:val="both"/>
      </w:pPr>
      <w:r>
        <w:rPr>
          <w:rFonts w:ascii="仿宋_GB2312" w:hAnsi="仿宋_GB2312" w:eastAsia="仿宋_GB2312"/>
          <w:b w:val="0"/>
          <w:color w:val="000000"/>
          <w:sz w:val="32"/>
        </w:rPr>
        <w:t>开拓新能源汽车、智能穿戴、绿色制造、生物基材料、信息通信、绿色化工六大增量领域；民士达拓展耐电晕芳纶纸（新能源）、航空蜂窝（低空经济）；美瑞发力中高端特种TPU（隐形车衣、发泡ETPU）。培育新利润增长点。</w:t>
      </w:r>
    </w:p>
    <w:p>
      <w:pPr>
        <w:spacing w:lineRule="exact" w:line="600" w:before="120" w:after="120"/>
        <w:ind w:firstLine="420"/>
        <w:jc w:val="left"/>
      </w:pPr>
      <w:r>
        <w:rPr>
          <w:rFonts w:ascii="楷体_GB2312" w:hAnsi="楷体_GB2312" w:eastAsia="楷体_GB2312"/>
          <w:b w:val="0"/>
          <w:color w:val="000000"/>
          <w:sz w:val="32"/>
        </w:rPr>
        <w:t>（三）链条延伸与协同</w:t>
      </w:r>
    </w:p>
    <w:p>
      <w:pPr>
        <w:spacing w:lineRule="exact" w:line="600" w:before="0" w:after="0"/>
        <w:ind w:firstLine="420"/>
        <w:jc w:val="both"/>
      </w:pPr>
      <w:r>
        <w:rPr>
          <w:rFonts w:ascii="仿宋_GB2312" w:hAnsi="仿宋_GB2312" w:eastAsia="仿宋_GB2312"/>
          <w:b w:val="0"/>
          <w:color w:val="000000"/>
          <w:sz w:val="32"/>
        </w:rPr>
        <w:t>立足氨纶、芳纶优势实施上游精细化工原料、下游应用深加工项目建设，以双招双引集聚上下游；民士达纤维—纸一体化、与航空/高铁联合研发；构建先进高分子材料聚集效应，形成区位发展优势。</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252"/>
          </w:tcPr>
          <w:p>
            <w:pPr>
              <w:spacing w:lineRule="exact" w:line="600"/>
              <w:jc w:val="center"/>
            </w:pPr>
            <w:r/>
            <w:r>
              <w:rPr>
                <w:rFonts w:ascii="黑体" w:hAnsi="黑体" w:eastAsia="黑体"/>
                <w:b/>
                <w:color w:val="000000"/>
                <w:sz w:val="32"/>
              </w:rPr>
              <w:t>重点内容</w:t>
            </w:r>
          </w:p>
        </w:tc>
        <w:tc>
          <w:tcPr>
            <w:tcW w:type="dxa" w:w="2551"/>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存量提升</w:t>
            </w:r>
          </w:p>
        </w:tc>
        <w:tc>
          <w:tcPr>
            <w:tcW w:type="dxa" w:w="4252"/>
          </w:tcPr>
          <w:p>
            <w:pPr>
              <w:spacing w:lineRule="exact" w:line="600"/>
              <w:jc w:val="center"/>
            </w:pPr>
            <w:r/>
            <w:r>
              <w:rPr>
                <w:rFonts w:ascii="仿宋_GB2312" w:hAnsi="仿宋_GB2312" w:eastAsia="仿宋_GB2312"/>
                <w:b w:val="0"/>
                <w:color w:val="000000"/>
                <w:sz w:val="32"/>
              </w:rPr>
              <w:t>芳纶全球第一</w:t>
            </w:r>
          </w:p>
        </w:tc>
        <w:tc>
          <w:tcPr>
            <w:tcW w:type="dxa" w:w="2551"/>
          </w:tcPr>
          <w:p>
            <w:pPr>
              <w:spacing w:lineRule="exact" w:line="600"/>
              <w:jc w:val="center"/>
            </w:pPr>
            <w:r/>
            <w:r>
              <w:rPr>
                <w:rFonts w:ascii="仿宋_GB2312" w:hAnsi="仿宋_GB2312" w:eastAsia="仿宋_GB2312"/>
                <w:b w:val="0"/>
                <w:color w:val="000000"/>
                <w:sz w:val="32"/>
              </w:rPr>
              <w:t>2030</w:t>
            </w:r>
          </w:p>
        </w:tc>
      </w:tr>
      <w:tr>
        <w:tc>
          <w:tcPr>
            <w:tcW w:type="dxa" w:w="1701"/>
          </w:tcPr>
          <w:p>
            <w:pPr>
              <w:spacing w:lineRule="exact" w:line="600"/>
              <w:jc w:val="center"/>
            </w:pPr>
            <w:r/>
            <w:r>
              <w:rPr>
                <w:rFonts w:ascii="仿宋_GB2312" w:hAnsi="仿宋_GB2312" w:eastAsia="仿宋_GB2312"/>
                <w:b w:val="0"/>
                <w:color w:val="000000"/>
                <w:sz w:val="32"/>
              </w:rPr>
              <w:t>增量拓展</w:t>
            </w:r>
          </w:p>
        </w:tc>
        <w:tc>
          <w:tcPr>
            <w:tcW w:type="dxa" w:w="4252"/>
          </w:tcPr>
          <w:p>
            <w:pPr>
              <w:spacing w:lineRule="exact" w:line="600"/>
              <w:jc w:val="center"/>
            </w:pPr>
            <w:r/>
            <w:r>
              <w:rPr>
                <w:rFonts w:ascii="仿宋_GB2312" w:hAnsi="仿宋_GB2312" w:eastAsia="仿宋_GB2312"/>
                <w:b w:val="0"/>
                <w:color w:val="000000"/>
                <w:sz w:val="32"/>
              </w:rPr>
              <w:t>新能源/低空/生物基</w:t>
            </w:r>
          </w:p>
        </w:tc>
        <w:tc>
          <w:tcPr>
            <w:tcW w:type="dxa" w:w="2551"/>
          </w:tcPr>
          <w:p>
            <w:pPr>
              <w:spacing w:lineRule="exact" w:line="600"/>
              <w:jc w:val="center"/>
            </w:pPr>
            <w:r/>
            <w:r>
              <w:rPr>
                <w:rFonts w:ascii="仿宋_GB2312" w:hAnsi="仿宋_GB2312" w:eastAsia="仿宋_GB2312"/>
                <w:b w:val="0"/>
                <w:color w:val="000000"/>
                <w:sz w:val="32"/>
              </w:rPr>
              <w:t>新增长点</w:t>
            </w:r>
          </w:p>
        </w:tc>
      </w:tr>
      <w:tr>
        <w:tc>
          <w:tcPr>
            <w:tcW w:type="dxa" w:w="1701"/>
          </w:tcPr>
          <w:p>
            <w:pPr>
              <w:spacing w:lineRule="exact" w:line="600"/>
              <w:jc w:val="center"/>
            </w:pPr>
            <w:r/>
            <w:r>
              <w:rPr>
                <w:rFonts w:ascii="仿宋_GB2312" w:hAnsi="仿宋_GB2312" w:eastAsia="仿宋_GB2312"/>
                <w:b w:val="0"/>
                <w:color w:val="000000"/>
                <w:sz w:val="32"/>
              </w:rPr>
              <w:t>链条延伸</w:t>
            </w:r>
          </w:p>
        </w:tc>
        <w:tc>
          <w:tcPr>
            <w:tcW w:type="dxa" w:w="4252"/>
          </w:tcPr>
          <w:p>
            <w:pPr>
              <w:spacing w:lineRule="exact" w:line="600"/>
              <w:jc w:val="center"/>
            </w:pPr>
            <w:r/>
            <w:r>
              <w:rPr>
                <w:rFonts w:ascii="仿宋_GB2312" w:hAnsi="仿宋_GB2312" w:eastAsia="仿宋_GB2312"/>
                <w:b w:val="0"/>
                <w:color w:val="000000"/>
                <w:sz w:val="32"/>
              </w:rPr>
              <w:t>上下游一体化</w:t>
            </w:r>
          </w:p>
        </w:tc>
        <w:tc>
          <w:tcPr>
            <w:tcW w:type="dxa" w:w="2551"/>
          </w:tcPr>
          <w:p>
            <w:pPr>
              <w:spacing w:lineRule="exact" w:line="600"/>
              <w:jc w:val="center"/>
            </w:pPr>
            <w:r/>
            <w:r>
              <w:rPr>
                <w:rFonts w:ascii="仿宋_GB2312" w:hAnsi="仿宋_GB2312" w:eastAsia="仿宋_GB2312"/>
                <w:b w:val="0"/>
                <w:color w:val="000000"/>
                <w:sz w:val="32"/>
              </w:rPr>
              <w:t>聚集效应</w:t>
            </w:r>
          </w:p>
        </w:tc>
      </w:tr>
      <w:tr>
        <w:tc>
          <w:tcPr>
            <w:tcW w:type="dxa" w:w="1701"/>
          </w:tcPr>
          <w:p>
            <w:pPr>
              <w:spacing w:lineRule="exact" w:line="600"/>
              <w:jc w:val="center"/>
            </w:pPr>
            <w:r/>
            <w:r>
              <w:rPr>
                <w:rFonts w:ascii="仿宋_GB2312" w:hAnsi="仿宋_GB2312" w:eastAsia="仿宋_GB2312"/>
                <w:b w:val="0"/>
                <w:color w:val="000000"/>
                <w:sz w:val="32"/>
              </w:rPr>
              <w:t>绿色</w:t>
            </w:r>
          </w:p>
        </w:tc>
        <w:tc>
          <w:tcPr>
            <w:tcW w:type="dxa" w:w="4252"/>
          </w:tcPr>
          <w:p>
            <w:pPr>
              <w:spacing w:lineRule="exact" w:line="600"/>
              <w:jc w:val="center"/>
            </w:pPr>
            <w:r/>
            <w:r>
              <w:rPr>
                <w:rFonts w:ascii="仿宋_GB2312" w:hAnsi="仿宋_GB2312" w:eastAsia="仿宋_GB2312"/>
                <w:b w:val="0"/>
                <w:color w:val="000000"/>
                <w:sz w:val="32"/>
              </w:rPr>
              <w:t>生物基/再生芳纶</w:t>
            </w:r>
          </w:p>
        </w:tc>
        <w:tc>
          <w:tcPr>
            <w:tcW w:type="dxa" w:w="2551"/>
          </w:tcPr>
          <w:p>
            <w:pPr>
              <w:spacing w:lineRule="exact" w:line="600"/>
              <w:jc w:val="center"/>
            </w:pPr>
            <w:r/>
            <w:r>
              <w:rPr>
                <w:rFonts w:ascii="仿宋_GB2312" w:hAnsi="仿宋_GB2312" w:eastAsia="仿宋_GB2312"/>
                <w:b w:val="0"/>
                <w:color w:val="000000"/>
                <w:sz w:val="32"/>
              </w:rPr>
              <w:t>低碳</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（一）产能扩建融资</w:t>
      </w:r>
    </w:p>
    <w:p>
      <w:pPr>
        <w:spacing w:lineRule="exact" w:line="600" w:before="0" w:after="0"/>
        <w:ind w:firstLine="420"/>
        <w:jc w:val="both"/>
      </w:pPr>
      <w:r>
        <w:rPr>
          <w:rFonts w:ascii="仿宋_GB2312" w:hAnsi="仿宋_GB2312" w:eastAsia="仿宋_GB2312"/>
          <w:b w:val="0"/>
          <w:color w:val="000000"/>
          <w:sz w:val="32"/>
        </w:rPr>
        <w:t>泰和芳纶产能释放、民士达1500吨芳纶纸新线、美瑞鹤壁HDI及TPU扩产均需项目贷与股权融资；泰和高分子新材料产业园全部达产年产值80亿元，对应数十亿级投资，需银团贷款与产业基金支持。</w:t>
      </w:r>
    </w:p>
    <w:p>
      <w:pPr>
        <w:spacing w:lineRule="exact" w:line="600" w:before="120" w:after="120"/>
        <w:ind w:firstLine="420"/>
        <w:jc w:val="left"/>
      </w:pPr>
      <w:r>
        <w:rPr>
          <w:rFonts w:ascii="楷体_GB2312" w:hAnsi="楷体_GB2312" w:eastAsia="楷体_GB2312"/>
          <w:b w:val="0"/>
          <w:color w:val="000000"/>
          <w:sz w:val="32"/>
        </w:rPr>
        <w:t>（二）研发与绿色融资</w:t>
      </w:r>
    </w:p>
    <w:p>
      <w:pPr>
        <w:spacing w:lineRule="exact" w:line="600" w:before="0" w:after="0"/>
        <w:ind w:firstLine="420"/>
        <w:jc w:val="both"/>
      </w:pPr>
      <w:r>
        <w:rPr>
          <w:rFonts w:ascii="仿宋_GB2312" w:hAnsi="仿宋_GB2312" w:eastAsia="仿宋_GB2312"/>
          <w:b w:val="0"/>
          <w:color w:val="000000"/>
          <w:sz w:val="32"/>
        </w:rPr>
        <w:t>高强对位芳纶、生物基芳纶、电解制氢隔膜、废旧织物回收等研发需科创再贷款；民士达节能工艺、泰和绿色制造需绿色信贷与碳减排工具。专精特新「小巨人」（美瑞、民士达相关）可获专项低息融资。</w:t>
      </w:r>
    </w:p>
    <w:p>
      <w:pPr>
        <w:spacing w:lineRule="exact" w:line="600" w:before="120" w:after="120"/>
        <w:ind w:firstLine="420"/>
        <w:jc w:val="left"/>
      </w:pPr>
      <w:r>
        <w:rPr>
          <w:rFonts w:ascii="楷体_GB2312" w:hAnsi="楷体_GB2312" w:eastAsia="楷体_GB2312"/>
          <w:b w:val="0"/>
          <w:color w:val="000000"/>
          <w:sz w:val="32"/>
        </w:rPr>
        <w:t>（三）并购与供应链金融</w:t>
      </w:r>
    </w:p>
    <w:p>
      <w:pPr>
        <w:spacing w:lineRule="exact" w:line="600" w:before="0" w:after="0"/>
        <w:ind w:firstLine="420"/>
        <w:jc w:val="both"/>
      </w:pPr>
      <w:r>
        <w:rPr>
          <w:rFonts w:ascii="仿宋_GB2312" w:hAnsi="仿宋_GB2312" w:eastAsia="仿宋_GB2312"/>
          <w:b w:val="0"/>
          <w:color w:val="000000"/>
          <w:sz w:val="32"/>
        </w:rPr>
        <w:t>泰和通过双招双引、战略合作整合上下游需并购贷款；民士达、美瑞等中小企业流贷与应收账款融资需求大。建议依托园区倍增计划与产业大脑，发展供应链金融缓解资金压力。</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685"/>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扩建</w:t>
            </w:r>
          </w:p>
        </w:tc>
        <w:tc>
          <w:tcPr>
            <w:tcW w:type="dxa" w:w="3685"/>
          </w:tcPr>
          <w:p>
            <w:pPr>
              <w:spacing w:lineRule="exact" w:line="600"/>
              <w:jc w:val="center"/>
            </w:pPr>
            <w:r/>
            <w:r>
              <w:rPr>
                <w:rFonts w:ascii="仿宋_GB2312" w:hAnsi="仿宋_GB2312" w:eastAsia="仿宋_GB2312"/>
                <w:b w:val="0"/>
                <w:color w:val="000000"/>
                <w:sz w:val="32"/>
              </w:rPr>
              <w:t>民士达1500吨/泰和芳纶</w:t>
            </w:r>
          </w:p>
        </w:tc>
        <w:tc>
          <w:tcPr>
            <w:tcW w:type="dxa" w:w="3118"/>
          </w:tcPr>
          <w:p>
            <w:pPr>
              <w:spacing w:lineRule="exact" w:line="600"/>
              <w:jc w:val="center"/>
            </w:pPr>
            <w:r/>
            <w:r>
              <w:rPr>
                <w:rFonts w:ascii="仿宋_GB2312" w:hAnsi="仿宋_GB2312" w:eastAsia="仿宋_GB2312"/>
                <w:b w:val="0"/>
                <w:color w:val="000000"/>
                <w:sz w:val="32"/>
              </w:rPr>
              <w:t>项目贷、股权</w:t>
            </w:r>
          </w:p>
        </w:tc>
      </w:tr>
      <w:tr>
        <w:tc>
          <w:tcPr>
            <w:tcW w:type="dxa" w:w="1984"/>
          </w:tcPr>
          <w:p>
            <w:pPr>
              <w:spacing w:lineRule="exact" w:line="600"/>
              <w:jc w:val="center"/>
            </w:pPr>
            <w:r/>
            <w:r>
              <w:rPr>
                <w:rFonts w:ascii="仿宋_GB2312" w:hAnsi="仿宋_GB2312" w:eastAsia="仿宋_GB2312"/>
                <w:b w:val="0"/>
                <w:color w:val="000000"/>
                <w:sz w:val="32"/>
              </w:rPr>
              <w:t>研发</w:t>
            </w:r>
          </w:p>
        </w:tc>
        <w:tc>
          <w:tcPr>
            <w:tcW w:type="dxa" w:w="3685"/>
          </w:tcPr>
          <w:p>
            <w:pPr>
              <w:spacing w:lineRule="exact" w:line="600"/>
              <w:jc w:val="center"/>
            </w:pPr>
            <w:r/>
            <w:r>
              <w:rPr>
                <w:rFonts w:ascii="仿宋_GB2312" w:hAnsi="仿宋_GB2312" w:eastAsia="仿宋_GB2312"/>
                <w:b w:val="0"/>
                <w:color w:val="000000"/>
                <w:sz w:val="32"/>
              </w:rPr>
              <w:t>生物基/高强芳纶</w:t>
            </w:r>
          </w:p>
        </w:tc>
        <w:tc>
          <w:tcPr>
            <w:tcW w:type="dxa" w:w="3118"/>
          </w:tcPr>
          <w:p>
            <w:pPr>
              <w:spacing w:lineRule="exact" w:line="600"/>
              <w:jc w:val="center"/>
            </w:pPr>
            <w:r/>
            <w:r>
              <w:rPr>
                <w:rFonts w:ascii="仿宋_GB2312" w:hAnsi="仿宋_GB2312" w:eastAsia="仿宋_GB2312"/>
                <w:b w:val="0"/>
                <w:color w:val="000000"/>
                <w:sz w:val="32"/>
              </w:rPr>
              <w:t>科创再贷款</w:t>
            </w:r>
          </w:p>
        </w:tc>
      </w:tr>
      <w:tr>
        <w:tc>
          <w:tcPr>
            <w:tcW w:type="dxa" w:w="1984"/>
          </w:tcPr>
          <w:p>
            <w:pPr>
              <w:spacing w:lineRule="exact" w:line="600"/>
              <w:jc w:val="center"/>
            </w:pPr>
            <w:r/>
            <w:r>
              <w:rPr>
                <w:rFonts w:ascii="仿宋_GB2312" w:hAnsi="仿宋_GB2312" w:eastAsia="仿宋_GB2312"/>
                <w:b w:val="0"/>
                <w:color w:val="000000"/>
                <w:sz w:val="32"/>
              </w:rPr>
              <w:t>绿色</w:t>
            </w:r>
          </w:p>
        </w:tc>
        <w:tc>
          <w:tcPr>
            <w:tcW w:type="dxa" w:w="3685"/>
          </w:tcPr>
          <w:p>
            <w:pPr>
              <w:spacing w:lineRule="exact" w:line="600"/>
              <w:jc w:val="center"/>
            </w:pPr>
            <w:r/>
            <w:r>
              <w:rPr>
                <w:rFonts w:ascii="仿宋_GB2312" w:hAnsi="仿宋_GB2312" w:eastAsia="仿宋_GB2312"/>
                <w:b w:val="0"/>
                <w:color w:val="000000"/>
                <w:sz w:val="32"/>
              </w:rPr>
              <w:t>节能工艺</w:t>
            </w:r>
          </w:p>
        </w:tc>
        <w:tc>
          <w:tcPr>
            <w:tcW w:type="dxa" w:w="3118"/>
          </w:tcPr>
          <w:p>
            <w:pPr>
              <w:spacing w:lineRule="exact" w:line="600"/>
              <w:jc w:val="center"/>
            </w:pPr>
            <w:r/>
            <w:r>
              <w:rPr>
                <w:rFonts w:ascii="仿宋_GB2312" w:hAnsi="仿宋_GB2312" w:eastAsia="仿宋_GB2312"/>
                <w:b w:val="0"/>
                <w:color w:val="000000"/>
                <w:sz w:val="32"/>
              </w:rPr>
              <w:t>绿色信贷</w:t>
            </w:r>
          </w:p>
        </w:tc>
      </w:tr>
      <w:tr>
        <w:tc>
          <w:tcPr>
            <w:tcW w:type="dxa" w:w="1984"/>
          </w:tcPr>
          <w:p>
            <w:pPr>
              <w:spacing w:lineRule="exact" w:line="600"/>
              <w:jc w:val="center"/>
            </w:pPr>
            <w:r/>
            <w:r>
              <w:rPr>
                <w:rFonts w:ascii="仿宋_GB2312" w:hAnsi="仿宋_GB2312" w:eastAsia="仿宋_GB2312"/>
                <w:b w:val="0"/>
                <w:color w:val="000000"/>
                <w:sz w:val="32"/>
              </w:rPr>
              <w:t>流贷</w:t>
            </w:r>
          </w:p>
        </w:tc>
        <w:tc>
          <w:tcPr>
            <w:tcW w:type="dxa" w:w="3685"/>
          </w:tcPr>
          <w:p>
            <w:pPr>
              <w:spacing w:lineRule="exact" w:line="600"/>
              <w:jc w:val="center"/>
            </w:pPr>
            <w:r/>
            <w:r>
              <w:rPr>
                <w:rFonts w:ascii="仿宋_GB2312" w:hAnsi="仿宋_GB2312" w:eastAsia="仿宋_GB2312"/>
                <w:b w:val="0"/>
                <w:color w:val="000000"/>
                <w:sz w:val="32"/>
              </w:rPr>
              <w:t>中小企业周转</w:t>
            </w:r>
          </w:p>
        </w:tc>
        <w:tc>
          <w:tcPr>
            <w:tcW w:type="dxa" w:w="3118"/>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和新材集团股份有限公司：A股002254，前身为烟台氨纶股份，2008年上市，国家级高新技术企业，率先实现氨纶、间位芳纶、对位芳纶、芳纶纸产业化填补国内空白；2024年营收39.29亿元，氨纶名义产能10万吨（产量7.19万吨）、芳纶名义3.2万吨（产量2.09万吨），间位芳纶产能全球第二、对位第三，2023年率先推出生物基/再生芳纶。来源：泰和新材2024年年报与公告、烟台报道。</w:t>
      </w:r>
    </w:p>
    <w:p>
      <w:pPr>
        <w:spacing w:lineRule="exact" w:line="600" w:before="0" w:after="0"/>
        <w:ind w:firstLine="420"/>
        <w:jc w:val="both"/>
      </w:pPr>
      <w:r>
        <w:rPr>
          <w:rFonts w:ascii="仿宋_GB2312" w:hAnsi="仿宋_GB2312" w:eastAsia="仿宋_GB2312"/>
          <w:b w:val="0"/>
          <w:color w:val="000000"/>
          <w:sz w:val="32"/>
        </w:rPr>
        <w:t>烟台民士达特种纸业股份有限公司：北交所920394（2023上市），泰和新材控股子公司，专注芳纶纸，全球市场份额第二（仅次于杜邦）；2025年6月1500吨新线投产总产能达4500吨/年；A4芳纶蜂窝纸仅几十克承重2.7吨、1毫米耐电压20千伏，畅销40多国，入选省低空经济重点产品。来源：民士达公开资料、新浪/今日头条报道。</w:t>
      </w:r>
    </w:p>
    <w:p>
      <w:pPr>
        <w:spacing w:lineRule="exact" w:line="600" w:before="0" w:after="0"/>
        <w:ind w:firstLine="420"/>
        <w:jc w:val="both"/>
      </w:pPr>
      <w:r>
        <w:rPr>
          <w:rFonts w:ascii="仿宋_GB2312" w:hAnsi="仿宋_GB2312" w:eastAsia="仿宋_GB2312"/>
          <w:b w:val="0"/>
          <w:color w:val="000000"/>
          <w:sz w:val="32"/>
        </w:rPr>
        <w:t>美瑞新材料股份有限公司：A股300848，国家级专精特新「小巨人」、山东省制造业单项冠军，国内TPU龙头，总产能近20万吨国内第一梯队，河南鹤壁10万吨HDI装置打破海外垄断；攻克HDI/CHDI/PPDI特种异氰酸酯「卡脖子」技术，入选工信部精细化工攻关项目。来源：美瑞新材年报与行业解读。</w:t>
      </w:r>
    </w:p>
    <w:p>
      <w:pPr>
        <w:spacing w:lineRule="exact" w:line="600" w:before="0" w:after="0"/>
        <w:jc w:val="left"/>
      </w:pPr>
      <w:r>
        <w:rPr>
          <w:rFonts w:ascii="仿宋_GB2312" w:hAnsi="仿宋_GB2312" w:eastAsia="仿宋_GB2312"/>
          <w:b w:val="0"/>
          <w:color w:val="000000"/>
          <w:sz w:val="28"/>
        </w:rPr>
        <w:t>主要数据来源：泰和新材集团股份有限公司2024年年度报告及业绩公告（002254，2025-04）；中节能万润/泰和新材相关评级报告、烟台国丰投资控股集团2025年跟踪评级报告；民士达特种纸业公开资料及报道（新浪财经、今日头条《国产芳纶纸逆袭之路》，2025年）；烟台黄渤海新区报道《一根纤维的千面应用 揭秘泰和新材》（山东上市公司协会/大众网）；美瑞新材料股份有限公司公开年报与行业解读（2025—2026年）；中国新闻网《山东烟台「精耕细作」建世界级绿色石化城》（2023年）；百川盈孚氨纶行业数据（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