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山东肥城（岩盐医养健康）特色产业集群</w:t>
      </w:r>
    </w:p>
    <w:p>
      <w:pPr>
        <w:spacing w:lineRule="exact" w:line="600" w:before="240" w:after="240"/>
        <w:ind w:firstLine="0"/>
        <w:jc w:val="center"/>
      </w:pPr>
      <w:r>
        <w:rPr>
          <w:rFonts w:ascii="方正小标宋简体" w:hAnsi="方正小标宋简体" w:eastAsia="方正小标宋简体"/>
          <w:b w:val="0"/>
          <w:color w:val="000000"/>
          <w:sz w:val="44"/>
        </w:rPr>
        <w:t>医养健康产品制造行业深度分析报告</w:t>
      </w:r>
    </w:p>
    <w:p>
      <w:pPr>
        <w:spacing w:lineRule="exact" w:line="600" w:before="0" w:after="0"/>
        <w:jc w:val="left"/>
      </w:pPr>
      <w:r>
        <w:rPr>
          <w:rFonts w:ascii="仿宋_GB2312" w:hAnsi="仿宋_GB2312" w:eastAsia="仿宋_GB2312"/>
          <w:b w:val="0"/>
          <w:color w:val="000000"/>
          <w:sz w:val="28"/>
        </w:rPr>
        <w:t>本报告聚焦肥城岩盐医养健康集群的医养健康产品制造环节，包括医疗器械（医用供氧/吸引、呼吸麻醉急救）、盐疗与健康消费品、康养辅具等。数据来源于肥城市政府官网、山东省医养健康产业公开资料、企业公开信息（天眼查、招投标公告）及权威媒体。该细分领域本地公开统计相对有限，已标注并采用可溯源的公开数据。</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医养健康产品制造是肥城岩盐医养健康特色产业集群的制造支撑环节，覆盖医疗器械、盐疗健康消费品与康养辅具三大方向。肥城依托「岩盐医养健康」定位，将岩盐资源向健康消费端延伸（热敷盐、盐疗产品、矿物盐洗护等），并培育医疗器械专精特新企业。代表企业大汉医疗（2006年成立，注册资本6600万元，员工63人）为省级专精特新、高新技术企业，主营医用中心供氧/吸引系统、呼吸麻醉急救器械与医疗工程，曾中标山东省立医院正负压设备381万元、鄄城县人民医院维保1215万元等项目，体现本地医疗器械的专业能力。盐健康产品方面，肥城以深井岩盐为原料开发热敷盐袋、足浴盐、盐灯等，借「医养健康」区域品牌拓展线上线下渠道。整体看，肥城医养健康产品制造处于成长培育期，企业规模偏小、集群度有待提升，但专精特新属性与盐资源特色构成差异化基础，需强化研发、标准与品牌以做大增量。</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大汉医疗注册资本</w:t>
            </w:r>
          </w:p>
        </w:tc>
        <w:tc>
          <w:tcPr>
            <w:tcW w:type="dxa" w:w="2835"/>
          </w:tcPr>
          <w:p>
            <w:pPr>
              <w:spacing w:lineRule="exact" w:line="600"/>
              <w:jc w:val="center"/>
            </w:pPr>
            <w:r/>
            <w:r>
              <w:rPr>
                <w:rFonts w:ascii="仿宋_GB2312" w:hAnsi="仿宋_GB2312" w:eastAsia="仿宋_GB2312"/>
                <w:b w:val="0"/>
                <w:color w:val="000000"/>
                <w:sz w:val="32"/>
              </w:rPr>
              <w:t>6600万元</w:t>
            </w:r>
          </w:p>
        </w:tc>
        <w:tc>
          <w:tcPr>
            <w:tcW w:type="dxa" w:w="3118"/>
          </w:tcPr>
          <w:p>
            <w:pPr>
              <w:spacing w:lineRule="exact" w:line="600"/>
              <w:jc w:val="center"/>
            </w:pPr>
            <w:r/>
            <w:r>
              <w:rPr>
                <w:rFonts w:ascii="仿宋_GB2312" w:hAnsi="仿宋_GB2312" w:eastAsia="仿宋_GB2312"/>
                <w:b w:val="0"/>
                <w:color w:val="000000"/>
                <w:sz w:val="32"/>
              </w:rPr>
              <w:t>天眼查</w:t>
            </w:r>
          </w:p>
        </w:tc>
      </w:tr>
      <w:tr>
        <w:tc>
          <w:tcPr>
            <w:tcW w:type="dxa" w:w="2835"/>
          </w:tcPr>
          <w:p>
            <w:pPr>
              <w:spacing w:lineRule="exact" w:line="600"/>
              <w:jc w:val="center"/>
            </w:pPr>
            <w:r/>
            <w:r>
              <w:rPr>
                <w:rFonts w:ascii="仿宋_GB2312" w:hAnsi="仿宋_GB2312" w:eastAsia="仿宋_GB2312"/>
                <w:b w:val="0"/>
                <w:color w:val="000000"/>
                <w:sz w:val="32"/>
              </w:rPr>
              <w:t>大汉医疗员工</w:t>
            </w:r>
          </w:p>
        </w:tc>
        <w:tc>
          <w:tcPr>
            <w:tcW w:type="dxa" w:w="2835"/>
          </w:tcPr>
          <w:p>
            <w:pPr>
              <w:spacing w:lineRule="exact" w:line="600"/>
              <w:jc w:val="center"/>
            </w:pPr>
            <w:r/>
            <w:r>
              <w:rPr>
                <w:rFonts w:ascii="仿宋_GB2312" w:hAnsi="仿宋_GB2312" w:eastAsia="仿宋_GB2312"/>
                <w:b w:val="0"/>
                <w:color w:val="000000"/>
                <w:sz w:val="32"/>
              </w:rPr>
              <w:t>63人</w:t>
            </w:r>
          </w:p>
        </w:tc>
        <w:tc>
          <w:tcPr>
            <w:tcW w:type="dxa" w:w="3118"/>
          </w:tcPr>
          <w:p>
            <w:pPr>
              <w:spacing w:lineRule="exact" w:line="600"/>
              <w:jc w:val="center"/>
            </w:pPr>
            <w:r/>
            <w:r>
              <w:rPr>
                <w:rFonts w:ascii="仿宋_GB2312" w:hAnsi="仿宋_GB2312" w:eastAsia="仿宋_GB2312"/>
                <w:b w:val="0"/>
                <w:color w:val="000000"/>
                <w:sz w:val="32"/>
              </w:rPr>
              <w:t>天眼查</w:t>
            </w:r>
          </w:p>
        </w:tc>
      </w:tr>
      <w:tr>
        <w:tc>
          <w:tcPr>
            <w:tcW w:type="dxa" w:w="2835"/>
          </w:tcPr>
          <w:p>
            <w:pPr>
              <w:spacing w:lineRule="exact" w:line="600"/>
              <w:jc w:val="center"/>
            </w:pPr>
            <w:r/>
            <w:r>
              <w:rPr>
                <w:rFonts w:ascii="仿宋_GB2312" w:hAnsi="仿宋_GB2312" w:eastAsia="仿宋_GB2312"/>
                <w:b w:val="0"/>
                <w:color w:val="000000"/>
                <w:sz w:val="32"/>
              </w:rPr>
              <w:t>大汉医疗资质</w:t>
            </w:r>
          </w:p>
        </w:tc>
        <w:tc>
          <w:tcPr>
            <w:tcW w:type="dxa" w:w="2835"/>
          </w:tcPr>
          <w:p>
            <w:pPr>
              <w:spacing w:lineRule="exact" w:line="600"/>
              <w:jc w:val="center"/>
            </w:pPr>
            <w:r/>
            <w:r>
              <w:rPr>
                <w:rFonts w:ascii="仿宋_GB2312" w:hAnsi="仿宋_GB2312" w:eastAsia="仿宋_GB2312"/>
                <w:b w:val="0"/>
                <w:color w:val="000000"/>
                <w:sz w:val="32"/>
              </w:rPr>
              <w:t>省级专精特新+高新技术企业</w:t>
            </w:r>
          </w:p>
        </w:tc>
        <w:tc>
          <w:tcPr>
            <w:tcW w:type="dxa" w:w="3118"/>
          </w:tcPr>
          <w:p>
            <w:pPr>
              <w:spacing w:lineRule="exact" w:line="600"/>
              <w:jc w:val="center"/>
            </w:pPr>
            <w:r/>
            <w:r>
              <w:rPr>
                <w:rFonts w:ascii="仿宋_GB2312" w:hAnsi="仿宋_GB2312" w:eastAsia="仿宋_GB2312"/>
                <w:b w:val="0"/>
                <w:color w:val="000000"/>
                <w:sz w:val="32"/>
              </w:rPr>
              <w:t>公示</w:t>
            </w:r>
          </w:p>
        </w:tc>
      </w:tr>
      <w:tr>
        <w:tc>
          <w:tcPr>
            <w:tcW w:type="dxa" w:w="2835"/>
          </w:tcPr>
          <w:p>
            <w:pPr>
              <w:spacing w:lineRule="exact" w:line="600"/>
              <w:jc w:val="center"/>
            </w:pPr>
            <w:r/>
            <w:r>
              <w:rPr>
                <w:rFonts w:ascii="仿宋_GB2312" w:hAnsi="仿宋_GB2312" w:eastAsia="仿宋_GB2312"/>
                <w:b w:val="0"/>
                <w:color w:val="000000"/>
                <w:sz w:val="32"/>
              </w:rPr>
              <w:t>省立医院项目</w:t>
            </w:r>
          </w:p>
        </w:tc>
        <w:tc>
          <w:tcPr>
            <w:tcW w:type="dxa" w:w="2835"/>
          </w:tcPr>
          <w:p>
            <w:pPr>
              <w:spacing w:lineRule="exact" w:line="600"/>
              <w:jc w:val="center"/>
            </w:pPr>
            <w:r/>
            <w:r>
              <w:rPr>
                <w:rFonts w:ascii="仿宋_GB2312" w:hAnsi="仿宋_GB2312" w:eastAsia="仿宋_GB2312"/>
                <w:b w:val="0"/>
                <w:color w:val="000000"/>
                <w:sz w:val="32"/>
              </w:rPr>
              <w:t>正负压设备381万元</w:t>
            </w:r>
          </w:p>
        </w:tc>
        <w:tc>
          <w:tcPr>
            <w:tcW w:type="dxa" w:w="3118"/>
          </w:tcPr>
          <w:p>
            <w:pPr>
              <w:spacing w:lineRule="exact" w:line="600"/>
              <w:jc w:val="center"/>
            </w:pPr>
            <w:r/>
            <w:r>
              <w:rPr>
                <w:rFonts w:ascii="仿宋_GB2312" w:hAnsi="仿宋_GB2312" w:eastAsia="仿宋_GB2312"/>
                <w:b w:val="0"/>
                <w:color w:val="000000"/>
                <w:sz w:val="32"/>
              </w:rPr>
              <w:t>招投标公告</w:t>
            </w:r>
          </w:p>
        </w:tc>
      </w:tr>
      <w:tr>
        <w:tc>
          <w:tcPr>
            <w:tcW w:type="dxa" w:w="2835"/>
          </w:tcPr>
          <w:p>
            <w:pPr>
              <w:spacing w:lineRule="exact" w:line="600"/>
              <w:jc w:val="center"/>
            </w:pPr>
            <w:r/>
            <w:r>
              <w:rPr>
                <w:rFonts w:ascii="仿宋_GB2312" w:hAnsi="仿宋_GB2312" w:eastAsia="仿宋_GB2312"/>
                <w:b w:val="0"/>
                <w:color w:val="000000"/>
                <w:sz w:val="32"/>
              </w:rPr>
              <w:t>鄄城人医项目</w:t>
            </w:r>
          </w:p>
        </w:tc>
        <w:tc>
          <w:tcPr>
            <w:tcW w:type="dxa" w:w="2835"/>
          </w:tcPr>
          <w:p>
            <w:pPr>
              <w:spacing w:lineRule="exact" w:line="600"/>
              <w:jc w:val="center"/>
            </w:pPr>
            <w:r/>
            <w:r>
              <w:rPr>
                <w:rFonts w:ascii="仿宋_GB2312" w:hAnsi="仿宋_GB2312" w:eastAsia="仿宋_GB2312"/>
                <w:b w:val="0"/>
                <w:color w:val="000000"/>
                <w:sz w:val="32"/>
              </w:rPr>
              <w:t>维保1215万元</w:t>
            </w:r>
          </w:p>
        </w:tc>
        <w:tc>
          <w:tcPr>
            <w:tcW w:type="dxa" w:w="3118"/>
          </w:tcPr>
          <w:p>
            <w:pPr>
              <w:spacing w:lineRule="exact" w:line="600"/>
              <w:jc w:val="center"/>
            </w:pPr>
            <w:r/>
            <w:r>
              <w:rPr>
                <w:rFonts w:ascii="仿宋_GB2312" w:hAnsi="仿宋_GB2312" w:eastAsia="仿宋_GB2312"/>
                <w:b w:val="0"/>
                <w:color w:val="000000"/>
                <w:sz w:val="32"/>
              </w:rPr>
              <w:t>招投标公告</w:t>
            </w:r>
          </w:p>
        </w:tc>
      </w:tr>
      <w:tr>
        <w:tc>
          <w:tcPr>
            <w:tcW w:type="dxa" w:w="2835"/>
          </w:tcPr>
          <w:p>
            <w:pPr>
              <w:spacing w:lineRule="exact" w:line="600"/>
              <w:jc w:val="center"/>
            </w:pPr>
            <w:r/>
            <w:r>
              <w:rPr>
                <w:rFonts w:ascii="仿宋_GB2312" w:hAnsi="仿宋_GB2312" w:eastAsia="仿宋_GB2312"/>
                <w:b w:val="0"/>
                <w:color w:val="000000"/>
                <w:sz w:val="32"/>
              </w:rPr>
              <w:t>医养结合机构</w:t>
            </w:r>
          </w:p>
        </w:tc>
        <w:tc>
          <w:tcPr>
            <w:tcW w:type="dxa" w:w="2835"/>
          </w:tcPr>
          <w:p>
            <w:pPr>
              <w:spacing w:lineRule="exact" w:line="600"/>
              <w:jc w:val="center"/>
            </w:pPr>
            <w:r/>
            <w:r>
              <w:rPr>
                <w:rFonts w:ascii="仿宋_GB2312" w:hAnsi="仿宋_GB2312" w:eastAsia="仿宋_GB2312"/>
                <w:b w:val="0"/>
                <w:color w:val="000000"/>
                <w:sz w:val="32"/>
              </w:rPr>
              <w:t>11家（两证齐全）</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长护险定点</w:t>
            </w:r>
          </w:p>
        </w:tc>
        <w:tc>
          <w:tcPr>
            <w:tcW w:type="dxa" w:w="2835"/>
          </w:tcPr>
          <w:p>
            <w:pPr>
              <w:spacing w:lineRule="exact" w:line="600"/>
              <w:jc w:val="center"/>
            </w:pPr>
            <w:r/>
            <w:r>
              <w:rPr>
                <w:rFonts w:ascii="仿宋_GB2312" w:hAnsi="仿宋_GB2312" w:eastAsia="仿宋_GB2312"/>
                <w:b w:val="0"/>
                <w:color w:val="000000"/>
                <w:sz w:val="32"/>
              </w:rPr>
              <w:t>19家</w:t>
            </w:r>
          </w:p>
        </w:tc>
        <w:tc>
          <w:tcPr>
            <w:tcW w:type="dxa" w:w="3118"/>
          </w:tcPr>
          <w:p>
            <w:pPr>
              <w:spacing w:lineRule="exact" w:line="600"/>
              <w:jc w:val="center"/>
            </w:pPr>
            <w:r/>
            <w:r>
              <w:rPr>
                <w:rFonts w:ascii="仿宋_GB2312" w:hAnsi="仿宋_GB2312" w:eastAsia="仿宋_GB2312"/>
                <w:b w:val="0"/>
                <w:color w:val="000000"/>
                <w:sz w:val="32"/>
              </w:rPr>
              <w:t>肥城/泰安</w:t>
            </w:r>
          </w:p>
        </w:tc>
      </w:tr>
      <w:tr>
        <w:tc>
          <w:tcPr>
            <w:tcW w:type="dxa" w:w="2835"/>
          </w:tcPr>
          <w:p>
            <w:pPr>
              <w:spacing w:lineRule="exact" w:line="600"/>
              <w:jc w:val="center"/>
            </w:pPr>
            <w:r/>
            <w:r>
              <w:rPr>
                <w:rFonts w:ascii="仿宋_GB2312" w:hAnsi="仿宋_GB2312" w:eastAsia="仿宋_GB2312"/>
                <w:b w:val="0"/>
                <w:color w:val="000000"/>
                <w:sz w:val="32"/>
              </w:rPr>
              <w:t>老人服务覆盖率</w:t>
            </w:r>
          </w:p>
        </w:tc>
        <w:tc>
          <w:tcPr>
            <w:tcW w:type="dxa" w:w="2835"/>
          </w:tcPr>
          <w:p>
            <w:pPr>
              <w:spacing w:lineRule="exact" w:line="600"/>
              <w:jc w:val="center"/>
            </w:pPr>
            <w:r/>
            <w:r>
              <w:rPr>
                <w:rFonts w:ascii="仿宋_GB2312" w:hAnsi="仿宋_GB2312" w:eastAsia="仿宋_GB2312"/>
                <w:b w:val="0"/>
                <w:color w:val="000000"/>
                <w:sz w:val="32"/>
              </w:rPr>
              <w:t>94.3%（65岁以上）</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家庭医生团队</w:t>
            </w:r>
          </w:p>
        </w:tc>
        <w:tc>
          <w:tcPr>
            <w:tcW w:type="dxa" w:w="2835"/>
          </w:tcPr>
          <w:p>
            <w:pPr>
              <w:spacing w:lineRule="exact" w:line="600"/>
              <w:jc w:val="center"/>
            </w:pPr>
            <w:r/>
            <w:r>
              <w:rPr>
                <w:rFonts w:ascii="仿宋_GB2312" w:hAnsi="仿宋_GB2312" w:eastAsia="仿宋_GB2312"/>
                <w:b w:val="0"/>
                <w:color w:val="000000"/>
                <w:sz w:val="32"/>
              </w:rPr>
              <w:t>268个/服务点605处</w:t>
            </w:r>
          </w:p>
        </w:tc>
        <w:tc>
          <w:tcPr>
            <w:tcW w:type="dxa" w:w="3118"/>
          </w:tcPr>
          <w:p>
            <w:pPr>
              <w:spacing w:lineRule="exact" w:line="600"/>
              <w:jc w:val="center"/>
            </w:pPr>
            <w:r/>
            <w:r>
              <w:rPr>
                <w:rFonts w:ascii="仿宋_GB2312" w:hAnsi="仿宋_GB2312" w:eastAsia="仿宋_GB2312"/>
                <w:b w:val="0"/>
                <w:color w:val="000000"/>
                <w:sz w:val="32"/>
              </w:rPr>
              <w:t>肥城医养案例</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（一）银发经济与政策导向</w:t>
      </w:r>
    </w:p>
    <w:p>
      <w:pPr>
        <w:spacing w:lineRule="exact" w:line="600" w:before="0" w:after="0"/>
        <w:ind w:firstLine="420"/>
        <w:jc w:val="both"/>
      </w:pPr>
      <w:r>
        <w:rPr>
          <w:rFonts w:ascii="仿宋_GB2312" w:hAnsi="仿宋_GB2312" w:eastAsia="仿宋_GB2312"/>
          <w:b w:val="0"/>
          <w:color w:val="000000"/>
          <w:sz w:val="32"/>
        </w:rPr>
        <w:t>国家将银发经济、医养健康列为扩内需重要方向，山东省出台《山东省养老服务高质量发展三年行动计划（2024—2026年）》（鲁政办字〔2023〕207号），提出培育医养健康龙头企业、单项冠军与专精特新「小巨人」，发展康复辅助器具、健康监测可穿戴设备等产品。肥城以「岩盐医养健康」特色产业集群切入，政策红利向医养健康产品制造倾斜，为本地医疗器械与健康消费品企业提供市场与要素支撑。</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肥城将医养健康产品制造定位为「岩盐医养健康」集群的制造端，一方面以岩盐资源向下游健康消费品（热敷盐、盐疗、矿物盐洗护）延伸，形成资源型健康产品特色；另一方面培育医疗器械专精特新企业，服务区域医养机构与家庭照护。该定位使肥城在山东医养健康产业版图中以「盐+健康制造」形成差异化，避免与济南、青岛等高端医疗器械集群正面竞争。</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宏观要素</w:t>
            </w:r>
          </w:p>
        </w:tc>
        <w:tc>
          <w:tcPr>
            <w:tcW w:type="dxa" w:w="4252"/>
          </w:tcPr>
          <w:p>
            <w:pPr>
              <w:spacing w:lineRule="exact" w:line="600"/>
              <w:jc w:val="center"/>
            </w:pPr>
            <w:r/>
            <w:r>
              <w:rPr>
                <w:rFonts w:ascii="黑体" w:hAnsi="黑体" w:eastAsia="黑体"/>
                <w:b/>
                <w:color w:val="000000"/>
                <w:sz w:val="32"/>
              </w:rPr>
              <w:t>核心内容</w:t>
            </w:r>
          </w:p>
        </w:tc>
        <w:tc>
          <w:tcPr>
            <w:tcW w:type="dxa" w:w="2268"/>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省级三年行动计划</w:t>
            </w:r>
          </w:p>
        </w:tc>
        <w:tc>
          <w:tcPr>
            <w:tcW w:type="dxa" w:w="4252"/>
          </w:tcPr>
          <w:p>
            <w:pPr>
              <w:spacing w:lineRule="exact" w:line="600"/>
              <w:jc w:val="center"/>
            </w:pPr>
            <w:r/>
            <w:r>
              <w:rPr>
                <w:rFonts w:ascii="仿宋_GB2312" w:hAnsi="仿宋_GB2312" w:eastAsia="仿宋_GB2312"/>
                <w:b w:val="0"/>
                <w:color w:val="000000"/>
                <w:sz w:val="32"/>
              </w:rPr>
              <w:t>培育医养专精特新/单项冠军</w:t>
            </w:r>
          </w:p>
        </w:tc>
        <w:tc>
          <w:tcPr>
            <w:tcW w:type="dxa" w:w="2268"/>
          </w:tcPr>
          <w:p>
            <w:pPr>
              <w:spacing w:lineRule="exact" w:line="600"/>
              <w:jc w:val="center"/>
            </w:pPr>
            <w:r/>
            <w:r>
              <w:rPr>
                <w:rFonts w:ascii="仿宋_GB2312" w:hAnsi="仿宋_GB2312" w:eastAsia="仿宋_GB2312"/>
                <w:b w:val="0"/>
                <w:color w:val="000000"/>
                <w:sz w:val="32"/>
              </w:rPr>
              <w:t>鲁政办字〔2023〕207号</w:t>
            </w:r>
          </w:p>
        </w:tc>
      </w:tr>
      <w:tr>
        <w:tc>
          <w:tcPr>
            <w:tcW w:type="dxa" w:w="2551"/>
          </w:tcPr>
          <w:p>
            <w:pPr>
              <w:spacing w:lineRule="exact" w:line="600"/>
              <w:jc w:val="center"/>
            </w:pPr>
            <w:r/>
            <w:r>
              <w:rPr>
                <w:rFonts w:ascii="仿宋_GB2312" w:hAnsi="仿宋_GB2312" w:eastAsia="仿宋_GB2312"/>
                <w:b w:val="0"/>
                <w:color w:val="000000"/>
                <w:sz w:val="32"/>
              </w:rPr>
              <w:t>银发经济政策</w:t>
            </w:r>
          </w:p>
        </w:tc>
        <w:tc>
          <w:tcPr>
            <w:tcW w:type="dxa" w:w="4252"/>
          </w:tcPr>
          <w:p>
            <w:pPr>
              <w:spacing w:lineRule="exact" w:line="600"/>
              <w:jc w:val="center"/>
            </w:pPr>
            <w:r/>
            <w:r>
              <w:rPr>
                <w:rFonts w:ascii="仿宋_GB2312" w:hAnsi="仿宋_GB2312" w:eastAsia="仿宋_GB2312"/>
                <w:b w:val="0"/>
                <w:color w:val="000000"/>
                <w:sz w:val="32"/>
              </w:rPr>
              <w:t>康复辅具/可穿戴设备</w:t>
            </w:r>
          </w:p>
        </w:tc>
        <w:tc>
          <w:tcPr>
            <w:tcW w:type="dxa" w:w="2268"/>
          </w:tcPr>
          <w:p>
            <w:pPr>
              <w:spacing w:lineRule="exact" w:line="600"/>
              <w:jc w:val="center"/>
            </w:pPr>
            <w:r/>
            <w:r>
              <w:rPr>
                <w:rFonts w:ascii="仿宋_GB2312" w:hAnsi="仿宋_GB2312" w:eastAsia="仿宋_GB2312"/>
                <w:b w:val="0"/>
                <w:color w:val="000000"/>
                <w:sz w:val="32"/>
              </w:rPr>
              <w:t>国家层面导向</w:t>
            </w:r>
          </w:p>
        </w:tc>
      </w:tr>
      <w:tr>
        <w:tc>
          <w:tcPr>
            <w:tcW w:type="dxa" w:w="2551"/>
          </w:tcPr>
          <w:p>
            <w:pPr>
              <w:spacing w:lineRule="exact" w:line="600"/>
              <w:jc w:val="center"/>
            </w:pPr>
            <w:r/>
            <w:r>
              <w:rPr>
                <w:rFonts w:ascii="仿宋_GB2312" w:hAnsi="仿宋_GB2312" w:eastAsia="仿宋_GB2312"/>
                <w:b w:val="0"/>
                <w:color w:val="000000"/>
                <w:sz w:val="32"/>
              </w:rPr>
              <w:t>肥城定位</w:t>
            </w:r>
          </w:p>
        </w:tc>
        <w:tc>
          <w:tcPr>
            <w:tcW w:type="dxa" w:w="4252"/>
          </w:tcPr>
          <w:p>
            <w:pPr>
              <w:spacing w:lineRule="exact" w:line="600"/>
              <w:jc w:val="center"/>
            </w:pPr>
            <w:r/>
            <w:r>
              <w:rPr>
                <w:rFonts w:ascii="仿宋_GB2312" w:hAnsi="仿宋_GB2312" w:eastAsia="仿宋_GB2312"/>
                <w:b w:val="0"/>
                <w:color w:val="000000"/>
                <w:sz w:val="32"/>
              </w:rPr>
              <w:t>岩盐+健康制造</w:t>
            </w:r>
          </w:p>
        </w:tc>
        <w:tc>
          <w:tcPr>
            <w:tcW w:type="dxa" w:w="2268"/>
          </w:tcPr>
          <w:p>
            <w:pPr>
              <w:spacing w:lineRule="exact" w:line="600"/>
              <w:jc w:val="center"/>
            </w:pPr>
            <w:r/>
            <w:r>
              <w:rPr>
                <w:rFonts w:ascii="仿宋_GB2312" w:hAnsi="仿宋_GB2312" w:eastAsia="仿宋_GB2312"/>
                <w:b w:val="0"/>
                <w:color w:val="000000"/>
                <w:sz w:val="32"/>
              </w:rPr>
              <w:t>肥城产业集群规划</w:t>
            </w:r>
          </w:p>
        </w:tc>
      </w:tr>
      <w:tr>
        <w:tc>
          <w:tcPr>
            <w:tcW w:type="dxa" w:w="2551"/>
          </w:tcPr>
          <w:p>
            <w:pPr>
              <w:spacing w:lineRule="exact" w:line="600"/>
              <w:jc w:val="center"/>
            </w:pPr>
            <w:r/>
            <w:r>
              <w:rPr>
                <w:rFonts w:ascii="仿宋_GB2312" w:hAnsi="仿宋_GB2312" w:eastAsia="仿宋_GB2312"/>
                <w:b w:val="0"/>
                <w:color w:val="000000"/>
                <w:sz w:val="32"/>
              </w:rPr>
              <w:t>集群特色</w:t>
            </w:r>
          </w:p>
        </w:tc>
        <w:tc>
          <w:tcPr>
            <w:tcW w:type="dxa" w:w="4252"/>
          </w:tcPr>
          <w:p>
            <w:pPr>
              <w:spacing w:lineRule="exact" w:line="600"/>
              <w:jc w:val="center"/>
            </w:pPr>
            <w:r/>
            <w:r>
              <w:rPr>
                <w:rFonts w:ascii="仿宋_GB2312" w:hAnsi="仿宋_GB2312" w:eastAsia="仿宋_GB2312"/>
                <w:b w:val="0"/>
                <w:color w:val="000000"/>
                <w:sz w:val="32"/>
              </w:rPr>
              <w:t>盐资源型健康产品</w:t>
            </w:r>
          </w:p>
        </w:tc>
        <w:tc>
          <w:tcPr>
            <w:tcW w:type="dxa" w:w="2268"/>
          </w:tcPr>
          <w:p>
            <w:pPr>
              <w:spacing w:lineRule="exact" w:line="600"/>
              <w:jc w:val="center"/>
            </w:pPr>
            <w:r/>
            <w:r>
              <w:rPr>
                <w:rFonts w:ascii="仿宋_GB2312" w:hAnsi="仿宋_GB2312" w:eastAsia="仿宋_GB2312"/>
                <w:b w:val="0"/>
                <w:color w:val="000000"/>
                <w:sz w:val="32"/>
              </w:rPr>
              <w:t>肥城公开资料</w:t>
            </w:r>
          </w:p>
        </w:tc>
      </w:tr>
    </w:tbl>
    <w:p>
      <w:pPr>
        <w:spacing w:lineRule="exact" w:line="600" w:before="120" w:after="120"/>
        <w:ind w:firstLine="420"/>
        <w:jc w:val="left"/>
      </w:pPr>
      <w:r>
        <w:rPr>
          <w:rFonts w:ascii="楷体_GB2312" w:hAnsi="楷体_GB2312" w:eastAsia="楷体_GB2312"/>
          <w:b w:val="0"/>
          <w:color w:val="000000"/>
          <w:sz w:val="32"/>
        </w:rPr>
        <w:t>县域经济与工业强市（本批真实数据补充·来源见正文）</w:t>
      </w:r>
    </w:p>
    <w:p>
      <w:pPr>
        <w:spacing w:lineRule="exact" w:line="600" w:before="0" w:after="0"/>
        <w:ind w:firstLine="420"/>
        <w:jc w:val="both"/>
      </w:pPr>
      <w:r>
        <w:rPr>
          <w:rFonts w:ascii="仿宋_GB2312" w:hAnsi="仿宋_GB2312" w:eastAsia="仿宋_GB2312"/>
          <w:b w:val="0"/>
          <w:color w:val="000000"/>
          <w:sz w:val="32"/>
        </w:rPr>
        <w:t>肥城市2024年地区生产总值965.6亿元、增长6.4%；一般公共预算收入53.5亿元，税收收入45.3亿元，纳税过亿元企业18家；规上工业增加值增长8.9%。肥城连续6年位居全省建筑业十强县榜首。（来源：肥城市2025年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965.6亿元（增长6.4%）</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一般公共预算收入</w:t>
            </w:r>
          </w:p>
        </w:tc>
        <w:tc>
          <w:tcPr>
            <w:tcW w:type="dxa" w:w="3118"/>
          </w:tcPr>
          <w:p>
            <w:pPr>
              <w:spacing w:lineRule="exact" w:line="600"/>
              <w:jc w:val="center"/>
            </w:pPr>
            <w:r/>
            <w:r>
              <w:rPr>
                <w:rFonts w:ascii="仿宋_GB2312" w:hAnsi="仿宋_GB2312" w:eastAsia="仿宋_GB2312"/>
                <w:b w:val="0"/>
                <w:color w:val="000000"/>
                <w:sz w:val="32"/>
              </w:rPr>
              <w:t>53.5亿元</w:t>
            </w:r>
          </w:p>
        </w:tc>
        <w:tc>
          <w:tcPr>
            <w:tcW w:type="dxa" w:w="2551"/>
          </w:tcPr>
          <w:p>
            <w:pPr>
              <w:spacing w:lineRule="exact" w:line="600"/>
              <w:jc w:val="center"/>
            </w:pPr>
            <w:r/>
            <w:r>
              <w:rPr>
                <w:rFonts w:ascii="仿宋_GB2312" w:hAnsi="仿宋_GB2312" w:eastAsia="仿宋_GB2312"/>
                <w:b w:val="0"/>
                <w:color w:val="000000"/>
                <w:sz w:val="32"/>
              </w:rPr>
              <w:t>税收45.3亿元</w:t>
            </w:r>
          </w:p>
        </w:tc>
      </w:tr>
      <w:tr>
        <w:tc>
          <w:tcPr>
            <w:tcW w:type="dxa" w:w="2835"/>
          </w:tcPr>
          <w:p>
            <w:pPr>
              <w:spacing w:lineRule="exact" w:line="600"/>
              <w:jc w:val="center"/>
            </w:pPr>
            <w:r/>
            <w:r>
              <w:rPr>
                <w:rFonts w:ascii="仿宋_GB2312" w:hAnsi="仿宋_GB2312" w:eastAsia="仿宋_GB2312"/>
                <w:b w:val="0"/>
                <w:color w:val="000000"/>
                <w:sz w:val="32"/>
              </w:rPr>
              <w:t>纳税过亿元企业</w:t>
            </w:r>
          </w:p>
        </w:tc>
        <w:tc>
          <w:tcPr>
            <w:tcW w:type="dxa" w:w="3118"/>
          </w:tcPr>
          <w:p>
            <w:pPr>
              <w:spacing w:lineRule="exact" w:line="600"/>
              <w:jc w:val="center"/>
            </w:pPr>
            <w:r/>
            <w:r>
              <w:rPr>
                <w:rFonts w:ascii="仿宋_GB2312" w:hAnsi="仿宋_GB2312" w:eastAsia="仿宋_GB2312"/>
                <w:b w:val="0"/>
                <w:color w:val="000000"/>
                <w:sz w:val="32"/>
              </w:rPr>
              <w:t>18家</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规上工业增加值增速</w:t>
            </w:r>
          </w:p>
        </w:tc>
        <w:tc>
          <w:tcPr>
            <w:tcW w:type="dxa" w:w="3118"/>
          </w:tcPr>
          <w:p>
            <w:pPr>
              <w:spacing w:lineRule="exact" w:line="600"/>
              <w:jc w:val="center"/>
            </w:pPr>
            <w:r/>
            <w:r>
              <w:rPr>
                <w:rFonts w:ascii="仿宋_GB2312" w:hAnsi="仿宋_GB2312" w:eastAsia="仿宋_GB2312"/>
                <w:b w:val="0"/>
                <w:color w:val="000000"/>
                <w:sz w:val="32"/>
              </w:rPr>
              <w:t>8.9%</w:t>
            </w:r>
          </w:p>
        </w:tc>
        <w:tc>
          <w:tcPr>
            <w:tcW w:type="dxa" w:w="2551"/>
          </w:tcPr>
          <w:p>
            <w:pPr>
              <w:spacing w:lineRule="exact" w:line="600"/>
              <w:jc w:val="center"/>
            </w:pPr>
            <w:r/>
            <w:r>
              <w:rPr>
                <w:rFonts w:ascii="仿宋_GB2312" w:hAnsi="仿宋_GB2312" w:eastAsia="仿宋_GB2312"/>
                <w:b w:val="0"/>
                <w:color w:val="000000"/>
                <w:sz w:val="32"/>
              </w:rPr>
              <w:t>新型工业化</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（一）医疗器械制造</w:t>
      </w:r>
    </w:p>
    <w:p>
      <w:pPr>
        <w:spacing w:lineRule="exact" w:line="600" w:before="0" w:after="0"/>
        <w:ind w:firstLine="420"/>
        <w:jc w:val="both"/>
      </w:pPr>
      <w:r>
        <w:rPr>
          <w:rFonts w:ascii="仿宋_GB2312" w:hAnsi="仿宋_GB2312" w:eastAsia="仿宋_GB2312"/>
          <w:b w:val="0"/>
          <w:color w:val="000000"/>
          <w:sz w:val="32"/>
        </w:rPr>
        <w:t>医疗器械制造以医用气体（中心供氧/吸引）系统、呼吸麻醉急救器械、病房护理设备为主，技术门槛中等、资质壁垒较高（需医疗器械生产/经营许可）。代表企业大汉医疗主营医用中心供氧/吸引系统、呼吸麻醉急救器械及医疗工程（手术室、ICU净化等），产品直接服务于医院新建、改扩建与运维，属医养机构建设的核心配套。</w:t>
      </w:r>
    </w:p>
    <w:p>
      <w:pPr>
        <w:spacing w:lineRule="exact" w:line="600" w:before="120" w:after="120"/>
        <w:ind w:firstLine="420"/>
        <w:jc w:val="left"/>
      </w:pPr>
      <w:r>
        <w:rPr>
          <w:rFonts w:ascii="楷体_GB2312" w:hAnsi="楷体_GB2312" w:eastAsia="楷体_GB2312"/>
          <w:b w:val="0"/>
          <w:color w:val="000000"/>
          <w:sz w:val="32"/>
        </w:rPr>
        <w:t>（二）盐疗与健康消费品</w:t>
      </w:r>
    </w:p>
    <w:p>
      <w:pPr>
        <w:spacing w:lineRule="exact" w:line="600" w:before="0" w:after="0"/>
        <w:ind w:firstLine="420"/>
        <w:jc w:val="both"/>
      </w:pPr>
      <w:r>
        <w:rPr>
          <w:rFonts w:ascii="仿宋_GB2312" w:hAnsi="仿宋_GB2312" w:eastAsia="仿宋_GB2312"/>
          <w:b w:val="0"/>
          <w:color w:val="000000"/>
          <w:sz w:val="32"/>
        </w:rPr>
        <w:t>以肥城深井岩盐为原料，开发热敷盐袋、足浴盐、沐浴盐、盐灯、矿物盐洗护等健康消费品，属资源型健康产品。该类产品依托岩盐矿物成分与温热理疗属性，主打居家康养与理疗场景，通过电商、康养机构与文旅渠道销售，是「岩盐—健康消费」链条的典型转化，门槛较低、品种延展性强。</w:t>
      </w:r>
    </w:p>
    <w:p>
      <w:pPr>
        <w:spacing w:lineRule="exact" w:line="600" w:before="120" w:after="120"/>
        <w:ind w:firstLine="420"/>
        <w:jc w:val="left"/>
      </w:pPr>
      <w:r>
        <w:rPr>
          <w:rFonts w:ascii="楷体_GB2312" w:hAnsi="楷体_GB2312" w:eastAsia="楷体_GB2312"/>
          <w:b w:val="0"/>
          <w:color w:val="000000"/>
          <w:sz w:val="32"/>
        </w:rPr>
        <w:t>（三）康养辅具与其他</w:t>
      </w:r>
    </w:p>
    <w:p>
      <w:pPr>
        <w:spacing w:lineRule="exact" w:line="600" w:before="0" w:after="0"/>
        <w:ind w:firstLine="420"/>
        <w:jc w:val="both"/>
      </w:pPr>
      <w:r>
        <w:rPr>
          <w:rFonts w:ascii="仿宋_GB2312" w:hAnsi="仿宋_GB2312" w:eastAsia="仿宋_GB2312"/>
          <w:b w:val="0"/>
          <w:color w:val="000000"/>
          <w:sz w:val="32"/>
        </w:rPr>
        <w:t>康养辅具涵盖轮椅、护理床、助行器、监测设备等，多为外购集成或代工，本地制造基础较弱。未来可结合山东康复辅助器具产业布局，发展适老化家居与智能监测产品。整体产业链呈「医疗器械（专精）+盐健康消费品（特色）+辅具（培育）」三层结构，上下游协同仍处早期。</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代表产品</w:t>
            </w:r>
          </w:p>
        </w:tc>
        <w:tc>
          <w:tcPr>
            <w:tcW w:type="dxa" w:w="3402"/>
          </w:tcPr>
          <w:p>
            <w:pPr>
              <w:spacing w:lineRule="exact" w:line="600"/>
              <w:jc w:val="center"/>
            </w:pPr>
            <w:r/>
            <w:r>
              <w:rPr>
                <w:rFonts w:ascii="黑体" w:hAnsi="黑体" w:eastAsia="黑体"/>
                <w:b/>
                <w:color w:val="000000"/>
                <w:sz w:val="32"/>
              </w:rPr>
              <w:t>主体/特征</w:t>
            </w:r>
          </w:p>
        </w:tc>
      </w:tr>
      <w:tr>
        <w:tc>
          <w:tcPr>
            <w:tcW w:type="dxa" w:w="1984"/>
          </w:tcPr>
          <w:p>
            <w:pPr>
              <w:spacing w:lineRule="exact" w:line="600"/>
              <w:jc w:val="center"/>
            </w:pPr>
            <w:r/>
            <w:r>
              <w:rPr>
                <w:rFonts w:ascii="仿宋_GB2312" w:hAnsi="仿宋_GB2312" w:eastAsia="仿宋_GB2312"/>
                <w:b w:val="0"/>
                <w:color w:val="000000"/>
                <w:sz w:val="32"/>
              </w:rPr>
              <w:t>医疗器械</w:t>
            </w:r>
          </w:p>
        </w:tc>
        <w:tc>
          <w:tcPr>
            <w:tcW w:type="dxa" w:w="3685"/>
          </w:tcPr>
          <w:p>
            <w:pPr>
              <w:spacing w:lineRule="exact" w:line="600"/>
              <w:jc w:val="center"/>
            </w:pPr>
            <w:r/>
            <w:r>
              <w:rPr>
                <w:rFonts w:ascii="仿宋_GB2312" w:hAnsi="仿宋_GB2312" w:eastAsia="仿宋_GB2312"/>
                <w:b w:val="0"/>
                <w:color w:val="000000"/>
                <w:sz w:val="32"/>
              </w:rPr>
              <w:t>中心供氧/吸引、呼吸麻醉</w:t>
            </w:r>
          </w:p>
        </w:tc>
        <w:tc>
          <w:tcPr>
            <w:tcW w:type="dxa" w:w="3402"/>
          </w:tcPr>
          <w:p>
            <w:pPr>
              <w:spacing w:lineRule="exact" w:line="600"/>
              <w:jc w:val="center"/>
            </w:pPr>
            <w:r/>
            <w:r>
              <w:rPr>
                <w:rFonts w:ascii="仿宋_GB2312" w:hAnsi="仿宋_GB2312" w:eastAsia="仿宋_GB2312"/>
                <w:b w:val="0"/>
                <w:color w:val="000000"/>
                <w:sz w:val="32"/>
              </w:rPr>
              <w:t>大汉医疗（专精特新）</w:t>
            </w:r>
          </w:p>
        </w:tc>
      </w:tr>
      <w:tr>
        <w:tc>
          <w:tcPr>
            <w:tcW w:type="dxa" w:w="1984"/>
          </w:tcPr>
          <w:p>
            <w:pPr>
              <w:spacing w:lineRule="exact" w:line="600"/>
              <w:jc w:val="center"/>
            </w:pPr>
            <w:r/>
            <w:r>
              <w:rPr>
                <w:rFonts w:ascii="仿宋_GB2312" w:hAnsi="仿宋_GB2312" w:eastAsia="仿宋_GB2312"/>
                <w:b w:val="0"/>
                <w:color w:val="000000"/>
                <w:sz w:val="32"/>
              </w:rPr>
              <w:t>盐健康消费品</w:t>
            </w:r>
          </w:p>
        </w:tc>
        <w:tc>
          <w:tcPr>
            <w:tcW w:type="dxa" w:w="3685"/>
          </w:tcPr>
          <w:p>
            <w:pPr>
              <w:spacing w:lineRule="exact" w:line="600"/>
              <w:jc w:val="center"/>
            </w:pPr>
            <w:r/>
            <w:r>
              <w:rPr>
                <w:rFonts w:ascii="仿宋_GB2312" w:hAnsi="仿宋_GB2312" w:eastAsia="仿宋_GB2312"/>
                <w:b w:val="0"/>
                <w:color w:val="000000"/>
                <w:sz w:val="32"/>
              </w:rPr>
              <w:t>热敷盐/足浴盐/盐灯</w:t>
            </w:r>
          </w:p>
        </w:tc>
        <w:tc>
          <w:tcPr>
            <w:tcW w:type="dxa" w:w="3402"/>
          </w:tcPr>
          <w:p>
            <w:pPr>
              <w:spacing w:lineRule="exact" w:line="600"/>
              <w:jc w:val="center"/>
            </w:pPr>
            <w:r/>
            <w:r>
              <w:rPr>
                <w:rFonts w:ascii="仿宋_GB2312" w:hAnsi="仿宋_GB2312" w:eastAsia="仿宋_GB2312"/>
                <w:b w:val="0"/>
                <w:color w:val="000000"/>
                <w:sz w:val="32"/>
              </w:rPr>
              <w:t>岩盐资源型</w:t>
            </w:r>
          </w:p>
        </w:tc>
      </w:tr>
      <w:tr>
        <w:tc>
          <w:tcPr>
            <w:tcW w:type="dxa" w:w="1984"/>
          </w:tcPr>
          <w:p>
            <w:pPr>
              <w:spacing w:lineRule="exact" w:line="600"/>
              <w:jc w:val="center"/>
            </w:pPr>
            <w:r/>
            <w:r>
              <w:rPr>
                <w:rFonts w:ascii="仿宋_GB2312" w:hAnsi="仿宋_GB2312" w:eastAsia="仿宋_GB2312"/>
                <w:b w:val="0"/>
                <w:color w:val="000000"/>
                <w:sz w:val="32"/>
              </w:rPr>
              <w:t>康养辅具</w:t>
            </w:r>
          </w:p>
        </w:tc>
        <w:tc>
          <w:tcPr>
            <w:tcW w:type="dxa" w:w="3685"/>
          </w:tcPr>
          <w:p>
            <w:pPr>
              <w:spacing w:lineRule="exact" w:line="600"/>
              <w:jc w:val="center"/>
            </w:pPr>
            <w:r/>
            <w:r>
              <w:rPr>
                <w:rFonts w:ascii="仿宋_GB2312" w:hAnsi="仿宋_GB2312" w:eastAsia="仿宋_GB2312"/>
                <w:b w:val="0"/>
                <w:color w:val="000000"/>
                <w:sz w:val="32"/>
              </w:rPr>
              <w:t>护理床/轮椅/监测</w:t>
            </w:r>
          </w:p>
        </w:tc>
        <w:tc>
          <w:tcPr>
            <w:tcW w:type="dxa" w:w="3402"/>
          </w:tcPr>
          <w:p>
            <w:pPr>
              <w:spacing w:lineRule="exact" w:line="600"/>
              <w:jc w:val="center"/>
            </w:pPr>
            <w:r/>
            <w:r>
              <w:rPr>
                <w:rFonts w:ascii="仿宋_GB2312" w:hAnsi="仿宋_GB2312" w:eastAsia="仿宋_GB2312"/>
                <w:b w:val="0"/>
                <w:color w:val="000000"/>
                <w:sz w:val="32"/>
              </w:rPr>
              <w:t>培育中</w:t>
            </w:r>
          </w:p>
        </w:tc>
      </w:tr>
      <w:tr>
        <w:tc>
          <w:tcPr>
            <w:tcW w:type="dxa" w:w="1984"/>
          </w:tcPr>
          <w:p>
            <w:pPr>
              <w:spacing w:lineRule="exact" w:line="600"/>
              <w:jc w:val="center"/>
            </w:pPr>
            <w:r/>
            <w:r>
              <w:rPr>
                <w:rFonts w:ascii="仿宋_GB2312" w:hAnsi="仿宋_GB2312" w:eastAsia="仿宋_GB2312"/>
                <w:b w:val="0"/>
                <w:color w:val="000000"/>
                <w:sz w:val="32"/>
              </w:rPr>
              <w:t>医疗工程</w:t>
            </w:r>
          </w:p>
        </w:tc>
        <w:tc>
          <w:tcPr>
            <w:tcW w:type="dxa" w:w="3685"/>
          </w:tcPr>
          <w:p>
            <w:pPr>
              <w:spacing w:lineRule="exact" w:line="600"/>
              <w:jc w:val="center"/>
            </w:pPr>
            <w:r/>
            <w:r>
              <w:rPr>
                <w:rFonts w:ascii="仿宋_GB2312" w:hAnsi="仿宋_GB2312" w:eastAsia="仿宋_GB2312"/>
                <w:b w:val="0"/>
                <w:color w:val="000000"/>
                <w:sz w:val="32"/>
              </w:rPr>
              <w:t>手术室/ICU净化</w:t>
            </w:r>
          </w:p>
        </w:tc>
        <w:tc>
          <w:tcPr>
            <w:tcW w:type="dxa" w:w="3402"/>
          </w:tcPr>
          <w:p>
            <w:pPr>
              <w:spacing w:lineRule="exact" w:line="600"/>
              <w:jc w:val="center"/>
            </w:pPr>
            <w:r/>
            <w:r>
              <w:rPr>
                <w:rFonts w:ascii="仿宋_GB2312" w:hAnsi="仿宋_GB2312" w:eastAsia="仿宋_GB2312"/>
                <w:b w:val="0"/>
                <w:color w:val="000000"/>
                <w:sz w:val="32"/>
              </w:rPr>
              <w:t>大汉医疗</w:t>
            </w:r>
          </w:p>
        </w:tc>
      </w:tr>
    </w:tbl>
    <w:p>
      <w:pPr>
        <w:spacing w:lineRule="exact" w:line="600" w:before="120" w:after="120"/>
        <w:ind w:firstLine="420"/>
        <w:jc w:val="left"/>
      </w:pPr>
      <w:r>
        <w:rPr>
          <w:rFonts w:ascii="楷体_GB2312" w:hAnsi="楷体_GB2312" w:eastAsia="楷体_GB2312"/>
          <w:b w:val="0"/>
          <w:color w:val="000000"/>
          <w:sz w:val="32"/>
        </w:rPr>
        <w:t>岩盐资源与制盐产能（本批真实数据补充·来源见正文）</w:t>
      </w:r>
    </w:p>
    <w:p>
      <w:pPr>
        <w:spacing w:lineRule="exact" w:line="600" w:before="0" w:after="0"/>
        <w:ind w:firstLine="420"/>
        <w:jc w:val="both"/>
      </w:pPr>
      <w:r>
        <w:rPr>
          <w:rFonts w:ascii="仿宋_GB2312" w:hAnsi="仿宋_GB2312" w:eastAsia="仿宋_GB2312"/>
          <w:b w:val="0"/>
          <w:color w:val="000000"/>
          <w:sz w:val="32"/>
        </w:rPr>
        <w:t>肥城地处大汶口盆地，探明岩盐储量50.2亿吨，年制盐1060万吨；现有盐穴腔体46对，可利用腔体2000万立方米。辖区4家盐厂2024年实现产值24.74亿元、税收3.59亿元；精制盐厂年产能240万吨，海晶盐化精制工业盐产能240万吨/年。（来源：泰安市商务局2026、肥城经开区推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资源/产能</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探明岩盐储量</w:t>
            </w:r>
          </w:p>
        </w:tc>
        <w:tc>
          <w:tcPr>
            <w:tcW w:type="dxa" w:w="3118"/>
          </w:tcPr>
          <w:p>
            <w:pPr>
              <w:spacing w:lineRule="exact" w:line="600"/>
              <w:jc w:val="center"/>
            </w:pPr>
            <w:r/>
            <w:r>
              <w:rPr>
                <w:rFonts w:ascii="仿宋_GB2312" w:hAnsi="仿宋_GB2312" w:eastAsia="仿宋_GB2312"/>
                <w:b w:val="0"/>
                <w:color w:val="000000"/>
                <w:sz w:val="32"/>
              </w:rPr>
              <w:t>50.2亿吨</w:t>
            </w:r>
          </w:p>
        </w:tc>
        <w:tc>
          <w:tcPr>
            <w:tcW w:type="dxa" w:w="2551"/>
          </w:tcPr>
          <w:p>
            <w:pPr>
              <w:spacing w:lineRule="exact" w:line="600"/>
              <w:jc w:val="center"/>
            </w:pPr>
            <w:r/>
            <w:r>
              <w:rPr>
                <w:rFonts w:ascii="仿宋_GB2312" w:hAnsi="仿宋_GB2312" w:eastAsia="仿宋_GB2312"/>
                <w:b w:val="0"/>
                <w:color w:val="000000"/>
                <w:sz w:val="32"/>
              </w:rPr>
              <w:t>大汶口盆地</w:t>
            </w:r>
          </w:p>
        </w:tc>
      </w:tr>
      <w:tr>
        <w:tc>
          <w:tcPr>
            <w:tcW w:type="dxa" w:w="2835"/>
          </w:tcPr>
          <w:p>
            <w:pPr>
              <w:spacing w:lineRule="exact" w:line="600"/>
              <w:jc w:val="center"/>
            </w:pPr>
            <w:r/>
            <w:r>
              <w:rPr>
                <w:rFonts w:ascii="仿宋_GB2312" w:hAnsi="仿宋_GB2312" w:eastAsia="仿宋_GB2312"/>
                <w:b w:val="0"/>
                <w:color w:val="000000"/>
                <w:sz w:val="32"/>
              </w:rPr>
              <w:t>年制盐规模</w:t>
            </w:r>
          </w:p>
        </w:tc>
        <w:tc>
          <w:tcPr>
            <w:tcW w:type="dxa" w:w="3118"/>
          </w:tcPr>
          <w:p>
            <w:pPr>
              <w:spacing w:lineRule="exact" w:line="600"/>
              <w:jc w:val="center"/>
            </w:pPr>
            <w:r/>
            <w:r>
              <w:rPr>
                <w:rFonts w:ascii="仿宋_GB2312" w:hAnsi="仿宋_GB2312" w:eastAsia="仿宋_GB2312"/>
                <w:b w:val="0"/>
                <w:color w:val="000000"/>
                <w:sz w:val="32"/>
              </w:rPr>
              <w:t>1060万吨</w:t>
            </w:r>
          </w:p>
        </w:tc>
        <w:tc>
          <w:tcPr>
            <w:tcW w:type="dxa" w:w="2551"/>
          </w:tcPr>
          <w:p>
            <w:pPr>
              <w:spacing w:lineRule="exact" w:line="600"/>
              <w:jc w:val="center"/>
            </w:pPr>
            <w:r/>
            <w:r>
              <w:rPr>
                <w:rFonts w:ascii="仿宋_GB2312" w:hAnsi="仿宋_GB2312" w:eastAsia="仿宋_GB2312"/>
                <w:b w:val="0"/>
                <w:color w:val="000000"/>
                <w:sz w:val="32"/>
              </w:rPr>
              <w:t>4家盐厂</w:t>
            </w:r>
          </w:p>
        </w:tc>
      </w:tr>
      <w:tr>
        <w:tc>
          <w:tcPr>
            <w:tcW w:type="dxa" w:w="2835"/>
          </w:tcPr>
          <w:p>
            <w:pPr>
              <w:spacing w:lineRule="exact" w:line="600"/>
              <w:jc w:val="center"/>
            </w:pPr>
            <w:r/>
            <w:r>
              <w:rPr>
                <w:rFonts w:ascii="仿宋_GB2312" w:hAnsi="仿宋_GB2312" w:eastAsia="仿宋_GB2312"/>
                <w:b w:val="0"/>
                <w:color w:val="000000"/>
                <w:sz w:val="32"/>
              </w:rPr>
              <w:t>盐厂产值（2024）</w:t>
            </w:r>
          </w:p>
        </w:tc>
        <w:tc>
          <w:tcPr>
            <w:tcW w:type="dxa" w:w="3118"/>
          </w:tcPr>
          <w:p>
            <w:pPr>
              <w:spacing w:lineRule="exact" w:line="600"/>
              <w:jc w:val="center"/>
            </w:pPr>
            <w:r/>
            <w:r>
              <w:rPr>
                <w:rFonts w:ascii="仿宋_GB2312" w:hAnsi="仿宋_GB2312" w:eastAsia="仿宋_GB2312"/>
                <w:b w:val="0"/>
                <w:color w:val="000000"/>
                <w:sz w:val="32"/>
              </w:rPr>
              <w:t>24.74亿元</w:t>
            </w:r>
          </w:p>
        </w:tc>
        <w:tc>
          <w:tcPr>
            <w:tcW w:type="dxa" w:w="2551"/>
          </w:tcPr>
          <w:p>
            <w:pPr>
              <w:spacing w:lineRule="exact" w:line="600"/>
              <w:jc w:val="center"/>
            </w:pPr>
            <w:r/>
            <w:r>
              <w:rPr>
                <w:rFonts w:ascii="仿宋_GB2312" w:hAnsi="仿宋_GB2312" w:eastAsia="仿宋_GB2312"/>
                <w:b w:val="0"/>
                <w:color w:val="000000"/>
                <w:sz w:val="32"/>
              </w:rPr>
              <w:t>税收3.59亿元</w:t>
            </w:r>
          </w:p>
        </w:tc>
      </w:tr>
      <w:tr>
        <w:tc>
          <w:tcPr>
            <w:tcW w:type="dxa" w:w="2835"/>
          </w:tcPr>
          <w:p>
            <w:pPr>
              <w:spacing w:lineRule="exact" w:line="600"/>
              <w:jc w:val="center"/>
            </w:pPr>
            <w:r/>
            <w:r>
              <w:rPr>
                <w:rFonts w:ascii="仿宋_GB2312" w:hAnsi="仿宋_GB2312" w:eastAsia="仿宋_GB2312"/>
                <w:b w:val="0"/>
                <w:color w:val="000000"/>
                <w:sz w:val="32"/>
              </w:rPr>
              <w:t>精制盐产能</w:t>
            </w:r>
          </w:p>
        </w:tc>
        <w:tc>
          <w:tcPr>
            <w:tcW w:type="dxa" w:w="3118"/>
          </w:tcPr>
          <w:p>
            <w:pPr>
              <w:spacing w:lineRule="exact" w:line="600"/>
              <w:jc w:val="center"/>
            </w:pPr>
            <w:r/>
            <w:r>
              <w:rPr>
                <w:rFonts w:ascii="仿宋_GB2312" w:hAnsi="仿宋_GB2312" w:eastAsia="仿宋_GB2312"/>
                <w:b w:val="0"/>
                <w:color w:val="000000"/>
                <w:sz w:val="32"/>
              </w:rPr>
              <w:t>240万吨/年</w:t>
            </w:r>
          </w:p>
        </w:tc>
        <w:tc>
          <w:tcPr>
            <w:tcW w:type="dxa" w:w="2551"/>
          </w:tcPr>
          <w:p>
            <w:pPr>
              <w:spacing w:lineRule="exact" w:line="600"/>
              <w:jc w:val="center"/>
            </w:pPr>
            <w:r/>
            <w:r>
              <w:rPr>
                <w:rFonts w:ascii="仿宋_GB2312" w:hAnsi="仿宋_GB2312" w:eastAsia="仿宋_GB2312"/>
                <w:b w:val="0"/>
                <w:color w:val="000000"/>
                <w:sz w:val="32"/>
              </w:rPr>
              <w:t>精制盐厂</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（一）医养机构需求</w:t>
      </w:r>
    </w:p>
    <w:p>
      <w:pPr>
        <w:spacing w:lineRule="exact" w:line="600" w:before="0" w:after="0"/>
        <w:ind w:firstLine="420"/>
        <w:jc w:val="both"/>
      </w:pPr>
      <w:r>
        <w:rPr>
          <w:rFonts w:ascii="仿宋_GB2312" w:hAnsi="仿宋_GB2312" w:eastAsia="仿宋_GB2312"/>
          <w:b w:val="0"/>
          <w:color w:val="000000"/>
          <w:sz w:val="32"/>
        </w:rPr>
        <w:t>肥城医养结合快速发展（家庭医生团队268个、服务点605处，65岁以上老人医养结合服务覆盖率94.3%），两证齐全医养结合机构11家、长护险定点19家，新增与改造带来医用气体、护理设备持续需求。山东省推动「五床联动」试点与养老机构医养结合全覆盖，全省级医养机构建设为本地医疗器械提供稳定区域市场。</w:t>
      </w:r>
    </w:p>
    <w:p>
      <w:pPr>
        <w:spacing w:lineRule="exact" w:line="600" w:before="120" w:after="120"/>
        <w:ind w:firstLine="420"/>
        <w:jc w:val="left"/>
      </w:pPr>
      <w:r>
        <w:rPr>
          <w:rFonts w:ascii="楷体_GB2312" w:hAnsi="楷体_GB2312" w:eastAsia="楷体_GB2312"/>
          <w:b w:val="0"/>
          <w:color w:val="000000"/>
          <w:sz w:val="32"/>
        </w:rPr>
        <w:t>（二）健康消费品需求</w:t>
      </w:r>
    </w:p>
    <w:p>
      <w:pPr>
        <w:spacing w:lineRule="exact" w:line="600" w:before="0" w:after="0"/>
        <w:ind w:firstLine="420"/>
        <w:jc w:val="both"/>
      </w:pPr>
      <w:r>
        <w:rPr>
          <w:rFonts w:ascii="仿宋_GB2312" w:hAnsi="仿宋_GB2312" w:eastAsia="仿宋_GB2312"/>
          <w:b w:val="0"/>
          <w:color w:val="000000"/>
          <w:sz w:val="32"/>
        </w:rPr>
        <w:t>热敷盐、足浴盐等居家康养消费品受益于银发经济与养生潮流，线上（直播电商、内容电商）与线下（商超、药店、文旅）渠道并行。荣成等地「直播电商+产业集群」模式显示海产品线上销售年均增45%，类比健康消费品线上渗透空间大。肥城盐健康产品借「医养健康」区域品牌，有望在养生消费细分中占得一席。</w:t>
      </w:r>
    </w:p>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医疗器械领域，大汉医疗以省级专精特新、高新技术企业资质在区域医用气体与呼吸麻醉细分占据专业位，但全国龙头（迈瑞、鱼跃等）在综合器械上占优，本地企业以工程化、定制化服务取胜。盐健康消费品竞争者众（多数为代工贴牌），肥城需以「深井岩盐+医养品牌」建立差异化；康养辅具本地基础弱，暂以集成为主。</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市场指标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医养结合机构</w:t>
            </w:r>
          </w:p>
        </w:tc>
        <w:tc>
          <w:tcPr>
            <w:tcW w:type="dxa" w:w="3969"/>
          </w:tcPr>
          <w:p>
            <w:pPr>
              <w:spacing w:lineRule="exact" w:line="600"/>
              <w:jc w:val="center"/>
            </w:pPr>
            <w:r/>
            <w:r>
              <w:rPr>
                <w:rFonts w:ascii="仿宋_GB2312" w:hAnsi="仿宋_GB2312" w:eastAsia="仿宋_GB2312"/>
                <w:b w:val="0"/>
                <w:color w:val="000000"/>
                <w:sz w:val="32"/>
              </w:rPr>
              <w:t>11家（两证齐全）</w:t>
            </w:r>
          </w:p>
        </w:tc>
        <w:tc>
          <w:tcPr>
            <w:tcW w:type="dxa" w:w="2835"/>
          </w:tcPr>
          <w:p>
            <w:pPr>
              <w:spacing w:lineRule="exact" w:line="600"/>
              <w:jc w:val="center"/>
            </w:pPr>
            <w:r/>
            <w:r>
              <w:rPr>
                <w:rFonts w:ascii="仿宋_GB2312" w:hAnsi="仿宋_GB2312" w:eastAsia="仿宋_GB2312"/>
                <w:b w:val="0"/>
                <w:color w:val="000000"/>
                <w:sz w:val="32"/>
              </w:rPr>
              <w:t>肥城医养报道</w:t>
            </w:r>
          </w:p>
        </w:tc>
      </w:tr>
      <w:tr>
        <w:tc>
          <w:tcPr>
            <w:tcW w:type="dxa" w:w="2268"/>
          </w:tcPr>
          <w:p>
            <w:pPr>
              <w:spacing w:lineRule="exact" w:line="600"/>
              <w:jc w:val="center"/>
            </w:pPr>
            <w:r/>
            <w:r>
              <w:rPr>
                <w:rFonts w:ascii="仿宋_GB2312" w:hAnsi="仿宋_GB2312" w:eastAsia="仿宋_GB2312"/>
                <w:b w:val="0"/>
                <w:color w:val="000000"/>
                <w:sz w:val="32"/>
              </w:rPr>
              <w:t>长护险定点</w:t>
            </w:r>
          </w:p>
        </w:tc>
        <w:tc>
          <w:tcPr>
            <w:tcW w:type="dxa" w:w="3969"/>
          </w:tcPr>
          <w:p>
            <w:pPr>
              <w:spacing w:lineRule="exact" w:line="600"/>
              <w:jc w:val="center"/>
            </w:pPr>
            <w:r/>
            <w:r>
              <w:rPr>
                <w:rFonts w:ascii="仿宋_GB2312" w:hAnsi="仿宋_GB2312" w:eastAsia="仿宋_GB2312"/>
                <w:b w:val="0"/>
                <w:color w:val="000000"/>
                <w:sz w:val="32"/>
              </w:rPr>
              <w:t>19家</w:t>
            </w:r>
          </w:p>
        </w:tc>
        <w:tc>
          <w:tcPr>
            <w:tcW w:type="dxa" w:w="2835"/>
          </w:tcPr>
          <w:p>
            <w:pPr>
              <w:spacing w:lineRule="exact" w:line="600"/>
              <w:jc w:val="center"/>
            </w:pPr>
            <w:r/>
            <w:r>
              <w:rPr>
                <w:rFonts w:ascii="仿宋_GB2312" w:hAnsi="仿宋_GB2312" w:eastAsia="仿宋_GB2312"/>
                <w:b w:val="0"/>
                <w:color w:val="000000"/>
                <w:sz w:val="32"/>
              </w:rPr>
              <w:t>肥城/泰安</w:t>
            </w:r>
          </w:p>
        </w:tc>
      </w:tr>
      <w:tr>
        <w:tc>
          <w:tcPr>
            <w:tcW w:type="dxa" w:w="2268"/>
          </w:tcPr>
          <w:p>
            <w:pPr>
              <w:spacing w:lineRule="exact" w:line="600"/>
              <w:jc w:val="center"/>
            </w:pPr>
            <w:r/>
            <w:r>
              <w:rPr>
                <w:rFonts w:ascii="仿宋_GB2312" w:hAnsi="仿宋_GB2312" w:eastAsia="仿宋_GB2312"/>
                <w:b w:val="0"/>
                <w:color w:val="000000"/>
                <w:sz w:val="32"/>
              </w:rPr>
              <w:t>老人服务覆盖率</w:t>
            </w:r>
          </w:p>
        </w:tc>
        <w:tc>
          <w:tcPr>
            <w:tcW w:type="dxa" w:w="3969"/>
          </w:tcPr>
          <w:p>
            <w:pPr>
              <w:spacing w:lineRule="exact" w:line="600"/>
              <w:jc w:val="center"/>
            </w:pPr>
            <w:r/>
            <w:r>
              <w:rPr>
                <w:rFonts w:ascii="仿宋_GB2312" w:hAnsi="仿宋_GB2312" w:eastAsia="仿宋_GB2312"/>
                <w:b w:val="0"/>
                <w:color w:val="000000"/>
                <w:sz w:val="32"/>
              </w:rPr>
              <w:t>94.3%（65岁以上）</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大汉医疗</w:t>
            </w:r>
          </w:p>
        </w:tc>
        <w:tc>
          <w:tcPr>
            <w:tcW w:type="dxa" w:w="3969"/>
          </w:tcPr>
          <w:p>
            <w:pPr>
              <w:spacing w:lineRule="exact" w:line="600"/>
              <w:jc w:val="center"/>
            </w:pPr>
            <w:r/>
            <w:r>
              <w:rPr>
                <w:rFonts w:ascii="仿宋_GB2312" w:hAnsi="仿宋_GB2312" w:eastAsia="仿宋_GB2312"/>
                <w:b w:val="0"/>
                <w:color w:val="000000"/>
                <w:sz w:val="32"/>
              </w:rPr>
              <w:t>注册资本6600万/员工63</w:t>
            </w:r>
          </w:p>
        </w:tc>
        <w:tc>
          <w:tcPr>
            <w:tcW w:type="dxa" w:w="2835"/>
          </w:tcPr>
          <w:p>
            <w:pPr>
              <w:spacing w:lineRule="exact" w:line="600"/>
              <w:jc w:val="center"/>
            </w:pPr>
            <w:r/>
            <w:r>
              <w:rPr>
                <w:rFonts w:ascii="仿宋_GB2312" w:hAnsi="仿宋_GB2312" w:eastAsia="仿宋_GB2312"/>
                <w:b w:val="0"/>
                <w:color w:val="000000"/>
                <w:sz w:val="32"/>
              </w:rPr>
              <w:t>天眼查</w:t>
            </w:r>
          </w:p>
        </w:tc>
      </w:tr>
      <w:tr>
        <w:tc>
          <w:tcPr>
            <w:tcW w:type="dxa" w:w="2268"/>
          </w:tcPr>
          <w:p>
            <w:pPr>
              <w:spacing w:lineRule="exact" w:line="600"/>
              <w:jc w:val="center"/>
            </w:pPr>
            <w:r/>
            <w:r>
              <w:rPr>
                <w:rFonts w:ascii="仿宋_GB2312" w:hAnsi="仿宋_GB2312" w:eastAsia="仿宋_GB2312"/>
                <w:b w:val="0"/>
                <w:color w:val="000000"/>
                <w:sz w:val="32"/>
              </w:rPr>
              <w:t>健康品渠道</w:t>
            </w:r>
          </w:p>
        </w:tc>
        <w:tc>
          <w:tcPr>
            <w:tcW w:type="dxa" w:w="3969"/>
          </w:tcPr>
          <w:p>
            <w:pPr>
              <w:spacing w:lineRule="exact" w:line="600"/>
              <w:jc w:val="center"/>
            </w:pPr>
            <w:r/>
            <w:r>
              <w:rPr>
                <w:rFonts w:ascii="仿宋_GB2312" w:hAnsi="仿宋_GB2312" w:eastAsia="仿宋_GB2312"/>
                <w:b w:val="0"/>
                <w:color w:val="000000"/>
                <w:sz w:val="32"/>
              </w:rPr>
              <w:t>线上+线下并行</w:t>
            </w:r>
          </w:p>
        </w:tc>
        <w:tc>
          <w:tcPr>
            <w:tcW w:type="dxa" w:w="2835"/>
          </w:tcPr>
          <w:p>
            <w:pPr>
              <w:spacing w:lineRule="exact" w:line="600"/>
              <w:jc w:val="center"/>
            </w:pPr>
            <w:r/>
            <w:r>
              <w:rPr>
                <w:rFonts w:ascii="仿宋_GB2312" w:hAnsi="仿宋_GB2312" w:eastAsia="仿宋_GB2312"/>
                <w:b w:val="0"/>
                <w:color w:val="000000"/>
                <w:sz w:val="32"/>
              </w:rPr>
              <w:t>行业趋势</w:t>
            </w:r>
          </w:p>
        </w:tc>
      </w:tr>
    </w:tbl>
    <w:p>
      <w:pPr>
        <w:spacing w:lineRule="exact" w:line="600" w:before="120" w:after="120"/>
        <w:ind w:firstLine="420"/>
        <w:jc w:val="left"/>
      </w:pPr>
      <w:r>
        <w:rPr>
          <w:rFonts w:ascii="楷体_GB2312" w:hAnsi="楷体_GB2312" w:eastAsia="楷体_GB2312"/>
          <w:b w:val="0"/>
          <w:color w:val="000000"/>
          <w:sz w:val="32"/>
        </w:rPr>
        <w:t>盐穴储能新赛道（本批真实数据补充·来源见正文）</w:t>
      </w:r>
    </w:p>
    <w:p>
      <w:pPr>
        <w:spacing w:lineRule="exact" w:line="600" w:before="0" w:after="0"/>
        <w:ind w:firstLine="420"/>
        <w:jc w:val="both"/>
      </w:pPr>
      <w:r>
        <w:rPr>
          <w:rFonts w:ascii="仿宋_GB2312" w:hAnsi="仿宋_GB2312" w:eastAsia="仿宋_GB2312"/>
          <w:b w:val="0"/>
          <w:color w:val="000000"/>
          <w:sz w:val="32"/>
        </w:rPr>
        <w:t>肥城按“前端扩能建穴—中端盐穴储能—后端建网延链”路径发展，新型储能产业22个项目落地、总装机3480MW，成为全国最大的盐穴储能示范应用基地，入选全省首批未来产业集群。中储国能300MW先进压缩空气储能国家示范电站并网发电，年发电量可达5.94亿千瓦时。（来源：肥城市2025政府工作报告、泰安商务局2026）</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项目/指标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新型储能项目</w:t>
            </w:r>
          </w:p>
        </w:tc>
        <w:tc>
          <w:tcPr>
            <w:tcW w:type="dxa" w:w="2835"/>
          </w:tcPr>
          <w:p>
            <w:pPr>
              <w:spacing w:lineRule="exact" w:line="600"/>
              <w:jc w:val="center"/>
            </w:pPr>
            <w:r/>
            <w:r>
              <w:rPr>
                <w:rFonts w:ascii="仿宋_GB2312" w:hAnsi="仿宋_GB2312" w:eastAsia="仿宋_GB2312"/>
                <w:b w:val="0"/>
                <w:color w:val="000000"/>
                <w:sz w:val="32"/>
              </w:rPr>
              <w:t>22个落地</w:t>
            </w:r>
          </w:p>
        </w:tc>
        <w:tc>
          <w:tcPr>
            <w:tcW w:type="dxa" w:w="2551"/>
          </w:tcPr>
          <w:p>
            <w:pPr>
              <w:spacing w:lineRule="exact" w:line="600"/>
              <w:jc w:val="center"/>
            </w:pPr>
            <w:r/>
            <w:r>
              <w:rPr>
                <w:rFonts w:ascii="仿宋_GB2312" w:hAnsi="仿宋_GB2312" w:eastAsia="仿宋_GB2312"/>
                <w:b w:val="0"/>
                <w:color w:val="000000"/>
                <w:sz w:val="32"/>
              </w:rPr>
              <w:t>总装机3480MW</w:t>
            </w:r>
          </w:p>
        </w:tc>
      </w:tr>
      <w:tr>
        <w:tc>
          <w:tcPr>
            <w:tcW w:type="dxa" w:w="3118"/>
          </w:tcPr>
          <w:p>
            <w:pPr>
              <w:spacing w:lineRule="exact" w:line="600"/>
              <w:jc w:val="center"/>
            </w:pPr>
            <w:r/>
            <w:r>
              <w:rPr>
                <w:rFonts w:ascii="仿宋_GB2312" w:hAnsi="仿宋_GB2312" w:eastAsia="仿宋_GB2312"/>
                <w:b w:val="0"/>
                <w:color w:val="000000"/>
                <w:sz w:val="32"/>
              </w:rPr>
              <w:t>盐穴储能示范基地</w:t>
            </w:r>
          </w:p>
        </w:tc>
        <w:tc>
          <w:tcPr>
            <w:tcW w:type="dxa" w:w="2835"/>
          </w:tcPr>
          <w:p>
            <w:pPr>
              <w:spacing w:lineRule="exact" w:line="600"/>
              <w:jc w:val="center"/>
            </w:pPr>
            <w:r/>
            <w:r>
              <w:rPr>
                <w:rFonts w:ascii="仿宋_GB2312" w:hAnsi="仿宋_GB2312" w:eastAsia="仿宋_GB2312"/>
                <w:b w:val="0"/>
                <w:color w:val="000000"/>
                <w:sz w:val="32"/>
              </w:rPr>
              <w:t>全国最大</w:t>
            </w:r>
          </w:p>
        </w:tc>
        <w:tc>
          <w:tcPr>
            <w:tcW w:type="dxa" w:w="2551"/>
          </w:tcPr>
          <w:p>
            <w:pPr>
              <w:spacing w:lineRule="exact" w:line="600"/>
              <w:jc w:val="center"/>
            </w:pPr>
            <w:r/>
            <w:r>
              <w:rPr>
                <w:rFonts w:ascii="仿宋_GB2312" w:hAnsi="仿宋_GB2312" w:eastAsia="仿宋_GB2312"/>
                <w:b w:val="0"/>
                <w:color w:val="000000"/>
                <w:sz w:val="32"/>
              </w:rPr>
              <w:t>未来产业集群</w:t>
            </w:r>
          </w:p>
        </w:tc>
      </w:tr>
      <w:tr>
        <w:tc>
          <w:tcPr>
            <w:tcW w:type="dxa" w:w="3118"/>
          </w:tcPr>
          <w:p>
            <w:pPr>
              <w:spacing w:lineRule="exact" w:line="600"/>
              <w:jc w:val="center"/>
            </w:pPr>
            <w:r/>
            <w:r>
              <w:rPr>
                <w:rFonts w:ascii="仿宋_GB2312" w:hAnsi="仿宋_GB2312" w:eastAsia="仿宋_GB2312"/>
                <w:b w:val="0"/>
                <w:color w:val="000000"/>
                <w:sz w:val="32"/>
              </w:rPr>
              <w:t>300MW储能电站年发电</w:t>
            </w:r>
          </w:p>
        </w:tc>
        <w:tc>
          <w:tcPr>
            <w:tcW w:type="dxa" w:w="2835"/>
          </w:tcPr>
          <w:p>
            <w:pPr>
              <w:spacing w:lineRule="exact" w:line="600"/>
              <w:jc w:val="center"/>
            </w:pPr>
            <w:r/>
            <w:r>
              <w:rPr>
                <w:rFonts w:ascii="仿宋_GB2312" w:hAnsi="仿宋_GB2312" w:eastAsia="仿宋_GB2312"/>
                <w:b w:val="0"/>
                <w:color w:val="000000"/>
                <w:sz w:val="32"/>
              </w:rPr>
              <w:t>5.94亿千瓦时</w:t>
            </w:r>
          </w:p>
        </w:tc>
        <w:tc>
          <w:tcPr>
            <w:tcW w:type="dxa" w:w="2551"/>
          </w:tcPr>
          <w:p>
            <w:pPr>
              <w:spacing w:lineRule="exact" w:line="600"/>
              <w:jc w:val="center"/>
            </w:pPr>
            <w:r/>
            <w:r>
              <w:rPr>
                <w:rFonts w:ascii="仿宋_GB2312" w:hAnsi="仿宋_GB2312" w:eastAsia="仿宋_GB2312"/>
                <w:b w:val="0"/>
                <w:color w:val="000000"/>
                <w:sz w:val="32"/>
              </w:rPr>
              <w:t>国家示范</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（一）集群制造生态</w:t>
      </w:r>
    </w:p>
    <w:p>
      <w:pPr>
        <w:spacing w:lineRule="exact" w:line="600" w:before="0" w:after="0"/>
        <w:ind w:firstLine="420"/>
        <w:jc w:val="both"/>
      </w:pPr>
      <w:r>
        <w:rPr>
          <w:rFonts w:ascii="仿宋_GB2312" w:hAnsi="仿宋_GB2312" w:eastAsia="仿宋_GB2312"/>
          <w:b w:val="0"/>
          <w:color w:val="000000"/>
          <w:sz w:val="32"/>
        </w:rPr>
        <w:t>肥城医养健康产品制造以专精特新医疗器械企业与盐健康消费品加工点为支撑，配套区域医养机构建设。相较广饶轮胎、荣成食品等成熟集群，本环节企业数量与规模偏小，集群度有待提升，但「岩盐+健康」主题鲜明，具备特色化集群培育基础。</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大汉医疗（2006年成立，注册资本6600万元，员工63人）为省级专精特新、高新技术企业，主营医用中心供氧/吸引系统、呼吸麻醉急救器械、医疗工程，中标山东省立医院正负压设备381万元、鄄城县人民医院维保1215万元，技术能力获三甲与县级医院认可。盐健康消费品端以本地盐企与代工点为主，开发热敷盐、足浴盐、盐灯等。肥城精制盐厂等龙头亦具备向药用氯化钠、健康盐延伸的资力。</w:t>
      </w:r>
    </w:p>
    <w:p>
      <w:pPr>
        <w:spacing w:lineRule="exact" w:line="600" w:before="120" w:after="120"/>
        <w:ind w:firstLine="420"/>
        <w:jc w:val="left"/>
      </w:pPr>
      <w:r>
        <w:rPr>
          <w:rFonts w:ascii="楷体_GB2312" w:hAnsi="楷体_GB2312" w:eastAsia="楷体_GB2312"/>
          <w:b w:val="0"/>
          <w:color w:val="000000"/>
          <w:sz w:val="32"/>
        </w:rPr>
        <w:t>（三）平台与协同</w:t>
      </w:r>
    </w:p>
    <w:p>
      <w:pPr>
        <w:spacing w:lineRule="exact" w:line="600" w:before="0" w:after="0"/>
        <w:ind w:firstLine="420"/>
        <w:jc w:val="both"/>
      </w:pPr>
      <w:r>
        <w:rPr>
          <w:rFonts w:ascii="仿宋_GB2312" w:hAnsi="仿宋_GB2312" w:eastAsia="仿宋_GB2312"/>
          <w:b w:val="0"/>
          <w:color w:val="000000"/>
          <w:sz w:val="32"/>
        </w:rPr>
        <w:t>肥城依托「岩盐医养健康」集群推进产学研协同，鼓励医疗器械企业与高校院所合作；医养机构（11家医养结合机构、子梅护理院等）作为产品应用与迭代场景，形成「临床—制造」反馈闭环。但公共研发检测平台、标准体系仍待健全，以支撑产品制造提档。</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969"/>
          </w:tcPr>
          <w:p>
            <w:pPr>
              <w:spacing w:lineRule="exact" w:line="600"/>
              <w:jc w:val="center"/>
            </w:pPr>
            <w:r/>
            <w:r>
              <w:rPr>
                <w:rFonts w:ascii="黑体" w:hAnsi="黑体" w:eastAsia="黑体"/>
                <w:b/>
                <w:color w:val="000000"/>
                <w:sz w:val="32"/>
              </w:rPr>
              <w:t>产品/指标</w:t>
            </w:r>
          </w:p>
        </w:tc>
        <w:tc>
          <w:tcPr>
            <w:tcW w:type="dxa" w:w="3118"/>
          </w:tcPr>
          <w:p>
            <w:pPr>
              <w:spacing w:lineRule="exact" w:line="600"/>
              <w:jc w:val="center"/>
            </w:pPr>
            <w:r/>
            <w:r>
              <w:rPr>
                <w:rFonts w:ascii="黑体" w:hAnsi="黑体" w:eastAsia="黑体"/>
                <w:b/>
                <w:color w:val="000000"/>
                <w:sz w:val="32"/>
              </w:rPr>
              <w:t>资质/角色</w:t>
            </w:r>
          </w:p>
        </w:tc>
      </w:tr>
      <w:tr>
        <w:tc>
          <w:tcPr>
            <w:tcW w:type="dxa" w:w="1984"/>
          </w:tcPr>
          <w:p>
            <w:pPr>
              <w:spacing w:lineRule="exact" w:line="600"/>
              <w:jc w:val="center"/>
            </w:pPr>
            <w:r/>
            <w:r>
              <w:rPr>
                <w:rFonts w:ascii="仿宋_GB2312" w:hAnsi="仿宋_GB2312" w:eastAsia="仿宋_GB2312"/>
                <w:b w:val="0"/>
                <w:color w:val="000000"/>
                <w:sz w:val="32"/>
              </w:rPr>
              <w:t>大汉医疗</w:t>
            </w:r>
          </w:p>
        </w:tc>
        <w:tc>
          <w:tcPr>
            <w:tcW w:type="dxa" w:w="3969"/>
          </w:tcPr>
          <w:p>
            <w:pPr>
              <w:spacing w:lineRule="exact" w:line="600"/>
              <w:jc w:val="center"/>
            </w:pPr>
            <w:r/>
            <w:r>
              <w:rPr>
                <w:rFonts w:ascii="仿宋_GB2312" w:hAnsi="仿宋_GB2312" w:eastAsia="仿宋_GB2312"/>
                <w:b w:val="0"/>
                <w:color w:val="000000"/>
                <w:sz w:val="32"/>
              </w:rPr>
              <w:t>中心供氧/呼吸麻醉/医疗工程</w:t>
            </w:r>
          </w:p>
        </w:tc>
        <w:tc>
          <w:tcPr>
            <w:tcW w:type="dxa" w:w="3118"/>
          </w:tcPr>
          <w:p>
            <w:pPr>
              <w:spacing w:lineRule="exact" w:line="600"/>
              <w:jc w:val="center"/>
            </w:pPr>
            <w:r/>
            <w:r>
              <w:rPr>
                <w:rFonts w:ascii="仿宋_GB2312" w:hAnsi="仿宋_GB2312" w:eastAsia="仿宋_GB2312"/>
                <w:b w:val="0"/>
                <w:color w:val="000000"/>
                <w:sz w:val="32"/>
              </w:rPr>
              <w:t>省级专精特新+高企</w:t>
            </w:r>
          </w:p>
        </w:tc>
      </w:tr>
      <w:tr>
        <w:tc>
          <w:tcPr>
            <w:tcW w:type="dxa" w:w="1984"/>
          </w:tcPr>
          <w:p>
            <w:pPr>
              <w:spacing w:lineRule="exact" w:line="600"/>
              <w:jc w:val="center"/>
            </w:pPr>
            <w:r/>
            <w:r>
              <w:rPr>
                <w:rFonts w:ascii="仿宋_GB2312" w:hAnsi="仿宋_GB2312" w:eastAsia="仿宋_GB2312"/>
                <w:b w:val="0"/>
                <w:color w:val="000000"/>
                <w:sz w:val="32"/>
              </w:rPr>
              <w:t>省立医院项目</w:t>
            </w:r>
          </w:p>
        </w:tc>
        <w:tc>
          <w:tcPr>
            <w:tcW w:type="dxa" w:w="3969"/>
          </w:tcPr>
          <w:p>
            <w:pPr>
              <w:spacing w:lineRule="exact" w:line="600"/>
              <w:jc w:val="center"/>
            </w:pPr>
            <w:r/>
            <w:r>
              <w:rPr>
                <w:rFonts w:ascii="仿宋_GB2312" w:hAnsi="仿宋_GB2312" w:eastAsia="仿宋_GB2312"/>
                <w:b w:val="0"/>
                <w:color w:val="000000"/>
                <w:sz w:val="32"/>
              </w:rPr>
              <w:t>正负压设备381万元</w:t>
            </w:r>
          </w:p>
        </w:tc>
        <w:tc>
          <w:tcPr>
            <w:tcW w:type="dxa" w:w="3118"/>
          </w:tcPr>
          <w:p>
            <w:pPr>
              <w:spacing w:lineRule="exact" w:line="600"/>
              <w:jc w:val="center"/>
            </w:pPr>
            <w:r/>
            <w:r>
              <w:rPr>
                <w:rFonts w:ascii="仿宋_GB2312" w:hAnsi="仿宋_GB2312" w:eastAsia="仿宋_GB2312"/>
                <w:b w:val="0"/>
                <w:color w:val="000000"/>
                <w:sz w:val="32"/>
              </w:rPr>
              <w:t>中标案例</w:t>
            </w:r>
          </w:p>
        </w:tc>
      </w:tr>
      <w:tr>
        <w:tc>
          <w:tcPr>
            <w:tcW w:type="dxa" w:w="1984"/>
          </w:tcPr>
          <w:p>
            <w:pPr>
              <w:spacing w:lineRule="exact" w:line="600"/>
              <w:jc w:val="center"/>
            </w:pPr>
            <w:r/>
            <w:r>
              <w:rPr>
                <w:rFonts w:ascii="仿宋_GB2312" w:hAnsi="仿宋_GB2312" w:eastAsia="仿宋_GB2312"/>
                <w:b w:val="0"/>
                <w:color w:val="000000"/>
                <w:sz w:val="32"/>
              </w:rPr>
              <w:t>鄄城人医项目</w:t>
            </w:r>
          </w:p>
        </w:tc>
        <w:tc>
          <w:tcPr>
            <w:tcW w:type="dxa" w:w="3969"/>
          </w:tcPr>
          <w:p>
            <w:pPr>
              <w:spacing w:lineRule="exact" w:line="600"/>
              <w:jc w:val="center"/>
            </w:pPr>
            <w:r/>
            <w:r>
              <w:rPr>
                <w:rFonts w:ascii="仿宋_GB2312" w:hAnsi="仿宋_GB2312" w:eastAsia="仿宋_GB2312"/>
                <w:b w:val="0"/>
                <w:color w:val="000000"/>
                <w:sz w:val="32"/>
              </w:rPr>
              <w:t>维保1215万元</w:t>
            </w:r>
          </w:p>
        </w:tc>
        <w:tc>
          <w:tcPr>
            <w:tcW w:type="dxa" w:w="3118"/>
          </w:tcPr>
          <w:p>
            <w:pPr>
              <w:spacing w:lineRule="exact" w:line="600"/>
              <w:jc w:val="center"/>
            </w:pPr>
            <w:r/>
            <w:r>
              <w:rPr>
                <w:rFonts w:ascii="仿宋_GB2312" w:hAnsi="仿宋_GB2312" w:eastAsia="仿宋_GB2312"/>
                <w:b w:val="0"/>
                <w:color w:val="000000"/>
                <w:sz w:val="32"/>
              </w:rPr>
              <w:t>中标案例</w:t>
            </w:r>
          </w:p>
        </w:tc>
      </w:tr>
      <w:tr>
        <w:tc>
          <w:tcPr>
            <w:tcW w:type="dxa" w:w="1984"/>
          </w:tcPr>
          <w:p>
            <w:pPr>
              <w:spacing w:lineRule="exact" w:line="600"/>
              <w:jc w:val="center"/>
            </w:pPr>
            <w:r/>
            <w:r>
              <w:rPr>
                <w:rFonts w:ascii="仿宋_GB2312" w:hAnsi="仿宋_GB2312" w:eastAsia="仿宋_GB2312"/>
                <w:b w:val="0"/>
                <w:color w:val="000000"/>
                <w:sz w:val="32"/>
              </w:rPr>
              <w:t>盐企/代工</w:t>
            </w:r>
          </w:p>
        </w:tc>
        <w:tc>
          <w:tcPr>
            <w:tcW w:type="dxa" w:w="3969"/>
          </w:tcPr>
          <w:p>
            <w:pPr>
              <w:spacing w:lineRule="exact" w:line="600"/>
              <w:jc w:val="center"/>
            </w:pPr>
            <w:r/>
            <w:r>
              <w:rPr>
                <w:rFonts w:ascii="仿宋_GB2312" w:hAnsi="仿宋_GB2312" w:eastAsia="仿宋_GB2312"/>
                <w:b w:val="0"/>
                <w:color w:val="000000"/>
                <w:sz w:val="32"/>
              </w:rPr>
              <w:t>热敷盐/足浴盐/盐灯</w:t>
            </w:r>
          </w:p>
        </w:tc>
        <w:tc>
          <w:tcPr>
            <w:tcW w:type="dxa" w:w="3118"/>
          </w:tcPr>
          <w:p>
            <w:pPr>
              <w:spacing w:lineRule="exact" w:line="600"/>
              <w:jc w:val="center"/>
            </w:pPr>
            <w:r/>
            <w:r>
              <w:rPr>
                <w:rFonts w:ascii="仿宋_GB2312" w:hAnsi="仿宋_GB2312" w:eastAsia="仿宋_GB2312"/>
                <w:b w:val="0"/>
                <w:color w:val="000000"/>
                <w:sz w:val="32"/>
              </w:rPr>
              <w:t>健康消费品</w:t>
            </w:r>
          </w:p>
        </w:tc>
      </w:tr>
    </w:tbl>
    <w:p>
      <w:pPr>
        <w:spacing w:lineRule="exact" w:line="600" w:before="120" w:after="120"/>
        <w:ind w:firstLine="420"/>
        <w:jc w:val="left"/>
      </w:pPr>
      <w:r>
        <w:rPr>
          <w:rFonts w:ascii="楷体_GB2312" w:hAnsi="楷体_GB2312" w:eastAsia="楷体_GB2312"/>
          <w:b w:val="0"/>
          <w:color w:val="000000"/>
          <w:sz w:val="32"/>
        </w:rPr>
        <w:t>园区载体与企业（本批真实数据补充·来源见正文）</w:t>
      </w:r>
    </w:p>
    <w:p>
      <w:pPr>
        <w:spacing w:lineRule="exact" w:line="600" w:before="0" w:after="0"/>
        <w:ind w:firstLine="420"/>
        <w:jc w:val="both"/>
      </w:pPr>
      <w:r>
        <w:rPr>
          <w:rFonts w:ascii="仿宋_GB2312" w:hAnsi="仿宋_GB2312" w:eastAsia="仿宋_GB2312"/>
          <w:b w:val="0"/>
          <w:color w:val="000000"/>
          <w:sz w:val="32"/>
        </w:rPr>
        <w:t>肥城经济开发区规划面积6.27平方公里（含3.54平方公里现代盐化工产业园、2.73平方公里循环经济产业园），代管边院镇。辖区集聚山东肥城海晶盐化、山东肥城精制盐厂等盐企，以及中储国能等储能企业。医养健康方面，肥城顺利通过省医养结合高质量发展创新引领县验收，九如城康养中心启用。（来源：泰安市商务局2026、肥城市2025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经开区规划面积</w:t>
            </w:r>
          </w:p>
        </w:tc>
        <w:tc>
          <w:tcPr>
            <w:tcW w:type="dxa" w:w="2835"/>
          </w:tcPr>
          <w:p>
            <w:pPr>
              <w:spacing w:lineRule="exact" w:line="600"/>
              <w:jc w:val="center"/>
            </w:pPr>
            <w:r/>
            <w:r>
              <w:rPr>
                <w:rFonts w:ascii="仿宋_GB2312" w:hAnsi="仿宋_GB2312" w:eastAsia="仿宋_GB2312"/>
                <w:b w:val="0"/>
                <w:color w:val="000000"/>
                <w:sz w:val="32"/>
              </w:rPr>
              <w:t>6.27平方公里</w:t>
            </w:r>
          </w:p>
        </w:tc>
        <w:tc>
          <w:tcPr>
            <w:tcW w:type="dxa" w:w="2551"/>
          </w:tcPr>
          <w:p>
            <w:pPr>
              <w:spacing w:lineRule="exact" w:line="600"/>
              <w:jc w:val="center"/>
            </w:pPr>
            <w:r/>
            <w:r>
              <w:rPr>
                <w:rFonts w:ascii="仿宋_GB2312" w:hAnsi="仿宋_GB2312" w:eastAsia="仿宋_GB2312"/>
                <w:b w:val="0"/>
                <w:color w:val="000000"/>
                <w:sz w:val="32"/>
              </w:rPr>
              <w:t>省级开发区</w:t>
            </w:r>
          </w:p>
        </w:tc>
      </w:tr>
      <w:tr>
        <w:tc>
          <w:tcPr>
            <w:tcW w:type="dxa" w:w="3118"/>
          </w:tcPr>
          <w:p>
            <w:pPr>
              <w:spacing w:lineRule="exact" w:line="600"/>
              <w:jc w:val="center"/>
            </w:pPr>
            <w:r/>
            <w:r>
              <w:rPr>
                <w:rFonts w:ascii="仿宋_GB2312" w:hAnsi="仿宋_GB2312" w:eastAsia="仿宋_GB2312"/>
                <w:b w:val="0"/>
                <w:color w:val="000000"/>
                <w:sz w:val="32"/>
              </w:rPr>
              <w:t>现代盐化工产业园</w:t>
            </w:r>
          </w:p>
        </w:tc>
        <w:tc>
          <w:tcPr>
            <w:tcW w:type="dxa" w:w="2835"/>
          </w:tcPr>
          <w:p>
            <w:pPr>
              <w:spacing w:lineRule="exact" w:line="600"/>
              <w:jc w:val="center"/>
            </w:pPr>
            <w:r/>
            <w:r>
              <w:rPr>
                <w:rFonts w:ascii="仿宋_GB2312" w:hAnsi="仿宋_GB2312" w:eastAsia="仿宋_GB2312"/>
                <w:b w:val="0"/>
                <w:color w:val="000000"/>
                <w:sz w:val="32"/>
              </w:rPr>
              <w:t>3.54平方公里</w:t>
            </w:r>
          </w:p>
        </w:tc>
        <w:tc>
          <w:tcPr>
            <w:tcW w:type="dxa" w:w="2551"/>
          </w:tcPr>
          <w:p>
            <w:pPr>
              <w:spacing w:lineRule="exact" w:line="600"/>
              <w:jc w:val="center"/>
            </w:pPr>
            <w:r/>
            <w:r>
              <w:rPr>
                <w:rFonts w:ascii="仿宋_GB2312" w:hAnsi="仿宋_GB2312" w:eastAsia="仿宋_GB2312"/>
                <w:b w:val="0"/>
                <w:color w:val="000000"/>
                <w:sz w:val="32"/>
              </w:rPr>
              <w:t>核心板块</w:t>
            </w:r>
          </w:p>
        </w:tc>
      </w:tr>
      <w:tr>
        <w:tc>
          <w:tcPr>
            <w:tcW w:type="dxa" w:w="3118"/>
          </w:tcPr>
          <w:p>
            <w:pPr>
              <w:spacing w:lineRule="exact" w:line="600"/>
              <w:jc w:val="center"/>
            </w:pPr>
            <w:r/>
            <w:r>
              <w:rPr>
                <w:rFonts w:ascii="仿宋_GB2312" w:hAnsi="仿宋_GB2312" w:eastAsia="仿宋_GB2312"/>
                <w:b w:val="0"/>
                <w:color w:val="000000"/>
                <w:sz w:val="32"/>
              </w:rPr>
              <w:t>医养结合示范县</w:t>
            </w:r>
          </w:p>
        </w:tc>
        <w:tc>
          <w:tcPr>
            <w:tcW w:type="dxa" w:w="2835"/>
          </w:tcPr>
          <w:p>
            <w:pPr>
              <w:spacing w:lineRule="exact" w:line="600"/>
              <w:jc w:val="center"/>
            </w:pPr>
            <w:r/>
            <w:r>
              <w:rPr>
                <w:rFonts w:ascii="仿宋_GB2312" w:hAnsi="仿宋_GB2312" w:eastAsia="仿宋_GB2312"/>
                <w:b w:val="0"/>
                <w:color w:val="000000"/>
                <w:sz w:val="32"/>
              </w:rPr>
              <w:t>通过省级验收</w:t>
            </w:r>
          </w:p>
        </w:tc>
        <w:tc>
          <w:tcPr>
            <w:tcW w:type="dxa" w:w="2551"/>
          </w:tcPr>
          <w:p>
            <w:pPr>
              <w:spacing w:lineRule="exact" w:line="600"/>
              <w:jc w:val="center"/>
            </w:pPr>
            <w:r/>
            <w:r>
              <w:rPr>
                <w:rFonts w:ascii="仿宋_GB2312" w:hAnsi="仿宋_GB2312" w:eastAsia="仿宋_GB2312"/>
                <w:b w:val="0"/>
                <w:color w:val="000000"/>
                <w:sz w:val="32"/>
              </w:rPr>
              <w:t>创新引领县</w:t>
            </w:r>
          </w:p>
        </w:tc>
      </w:tr>
      <w:tr>
        <w:tc>
          <w:tcPr>
            <w:tcW w:type="dxa" w:w="3118"/>
          </w:tcPr>
          <w:p>
            <w:pPr>
              <w:spacing w:lineRule="exact" w:line="600"/>
              <w:jc w:val="center"/>
            </w:pPr>
            <w:r/>
            <w:r>
              <w:rPr>
                <w:rFonts w:ascii="仿宋_GB2312" w:hAnsi="仿宋_GB2312" w:eastAsia="仿宋_GB2312"/>
                <w:b w:val="0"/>
                <w:color w:val="000000"/>
                <w:sz w:val="32"/>
              </w:rPr>
              <w:t>九如城康养中心</w:t>
            </w:r>
          </w:p>
        </w:tc>
        <w:tc>
          <w:tcPr>
            <w:tcW w:type="dxa" w:w="2835"/>
          </w:tcPr>
          <w:p>
            <w:pPr>
              <w:spacing w:lineRule="exact" w:line="600"/>
              <w:jc w:val="center"/>
            </w:pPr>
            <w:r/>
            <w:r>
              <w:rPr>
                <w:rFonts w:ascii="仿宋_GB2312" w:hAnsi="仿宋_GB2312" w:eastAsia="仿宋_GB2312"/>
                <w:b w:val="0"/>
                <w:color w:val="000000"/>
                <w:sz w:val="32"/>
              </w:rPr>
              <w:t>正式启用</w:t>
            </w:r>
          </w:p>
        </w:tc>
        <w:tc>
          <w:tcPr>
            <w:tcW w:type="dxa" w:w="2551"/>
          </w:tcPr>
          <w:p>
            <w:pPr>
              <w:spacing w:lineRule="exact" w:line="600"/>
              <w:jc w:val="center"/>
            </w:pPr>
            <w:r/>
            <w:r>
              <w:rPr>
                <w:rFonts w:ascii="仿宋_GB2312" w:hAnsi="仿宋_GB2312" w:eastAsia="仿宋_GB2312"/>
                <w:b w:val="0"/>
                <w:color w:val="000000"/>
                <w:sz w:val="32"/>
              </w:rPr>
              <w:t>社区养老</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（一）医疗器械技术</w:t>
      </w:r>
    </w:p>
    <w:p>
      <w:pPr>
        <w:spacing w:lineRule="exact" w:line="600" w:before="0" w:after="0"/>
        <w:ind w:firstLine="420"/>
        <w:jc w:val="both"/>
      </w:pPr>
      <w:r>
        <w:rPr>
          <w:rFonts w:ascii="仿宋_GB2312" w:hAnsi="仿宋_GB2312" w:eastAsia="仿宋_GB2312"/>
          <w:b w:val="0"/>
          <w:color w:val="000000"/>
          <w:sz w:val="32"/>
        </w:rPr>
        <w:t>大汉医疗作为高新技术企业，在医用中心供氧/吸引系统的管路设计、智能控制与呼吸麻醉急救器械的可靠性上具备自有技术，服务涵盖手术室、ICU净化等医疗工程，体现「设备+工程」集成能力。其省级专精特新属性表明在细分领域有持续研发投入与专利积累，是本地医养制造的技术标杆。</w:t>
      </w:r>
    </w:p>
    <w:p>
      <w:pPr>
        <w:spacing w:lineRule="exact" w:line="600" w:before="120" w:after="120"/>
        <w:ind w:firstLine="420"/>
        <w:jc w:val="left"/>
      </w:pPr>
      <w:r>
        <w:rPr>
          <w:rFonts w:ascii="楷体_GB2312" w:hAnsi="楷体_GB2312" w:eastAsia="楷体_GB2312"/>
          <w:b w:val="0"/>
          <w:color w:val="000000"/>
          <w:sz w:val="32"/>
        </w:rPr>
        <w:t>（二）盐健康产品工艺</w:t>
      </w:r>
    </w:p>
    <w:p>
      <w:pPr>
        <w:spacing w:lineRule="exact" w:line="600" w:before="0" w:after="0"/>
        <w:ind w:firstLine="420"/>
        <w:jc w:val="both"/>
      </w:pPr>
      <w:r>
        <w:rPr>
          <w:rFonts w:ascii="仿宋_GB2312" w:hAnsi="仿宋_GB2312" w:eastAsia="仿宋_GB2312"/>
          <w:b w:val="0"/>
          <w:color w:val="000000"/>
          <w:sz w:val="32"/>
        </w:rPr>
        <w:t>热敷盐、足浴盐等以深井岩盐研磨、配比、封装为核心，工艺相对成熟；高端化方向包括矿物成分标准化、控温材料复合、理疗功效验证等。肥城可借岩盐纯度优势（井矿盐低杂质）建立品质标准，向「功能化、品牌化」升级，弥补当前多以原料级/贴牌为主的短板。</w:t>
      </w:r>
    </w:p>
    <w:p>
      <w:pPr>
        <w:spacing w:lineRule="exact" w:line="600" w:before="120" w:after="120"/>
        <w:ind w:firstLine="420"/>
        <w:jc w:val="left"/>
      </w:pPr>
      <w:r>
        <w:rPr>
          <w:rFonts w:ascii="楷体_GB2312" w:hAnsi="楷体_GB2312" w:eastAsia="楷体_GB2312"/>
          <w:b w:val="0"/>
          <w:color w:val="000000"/>
          <w:sz w:val="32"/>
        </w:rPr>
        <w:t>（三）研发与标准</w:t>
      </w:r>
    </w:p>
    <w:p>
      <w:pPr>
        <w:spacing w:lineRule="exact" w:line="600" w:before="0" w:after="0"/>
        <w:ind w:firstLine="420"/>
        <w:jc w:val="both"/>
      </w:pPr>
      <w:r>
        <w:rPr>
          <w:rFonts w:ascii="仿宋_GB2312" w:hAnsi="仿宋_GB2312" w:eastAsia="仿宋_GB2312"/>
          <w:b w:val="0"/>
          <w:color w:val="000000"/>
          <w:sz w:val="32"/>
        </w:rPr>
        <w:t>医疗器械需遵循GB医疗器械标准体系并通过注册；盐健康消费品缺乏统一功效标准，亟待团体/行业标准引领。建议依托「岩盐医养健康」集群共建检测与标准平台，鼓励大汉医疗等牵头细分标准，提升整体制造能级与创新可信度。</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969"/>
          </w:tcPr>
          <w:p>
            <w:pPr>
              <w:spacing w:lineRule="exact" w:line="600"/>
              <w:jc w:val="center"/>
            </w:pPr>
            <w:r/>
            <w:r>
              <w:rPr>
                <w:rFonts w:ascii="黑体" w:hAnsi="黑体" w:eastAsia="黑体"/>
                <w:b/>
                <w:color w:val="000000"/>
                <w:sz w:val="32"/>
              </w:rPr>
              <w:t>水平/特征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大汉医疗资质</w:t>
            </w:r>
          </w:p>
        </w:tc>
        <w:tc>
          <w:tcPr>
            <w:tcW w:type="dxa" w:w="3969"/>
          </w:tcPr>
          <w:p>
            <w:pPr>
              <w:spacing w:lineRule="exact" w:line="600"/>
              <w:jc w:val="center"/>
            </w:pPr>
            <w:r/>
            <w:r>
              <w:rPr>
                <w:rFonts w:ascii="仿宋_GB2312" w:hAnsi="仿宋_GB2312" w:eastAsia="仿宋_GB2312"/>
                <w:b w:val="0"/>
                <w:color w:val="000000"/>
                <w:sz w:val="32"/>
              </w:rPr>
              <w:t>省级专精特新+高新技术企业</w:t>
            </w:r>
          </w:p>
        </w:tc>
        <w:tc>
          <w:tcPr>
            <w:tcW w:type="dxa" w:w="2835"/>
          </w:tcPr>
          <w:p>
            <w:pPr>
              <w:spacing w:lineRule="exact" w:line="600"/>
              <w:jc w:val="center"/>
            </w:pPr>
            <w:r/>
            <w:r>
              <w:rPr>
                <w:rFonts w:ascii="仿宋_GB2312" w:hAnsi="仿宋_GB2312" w:eastAsia="仿宋_GB2312"/>
                <w:b w:val="0"/>
                <w:color w:val="000000"/>
                <w:sz w:val="32"/>
              </w:rPr>
              <w:t>天眼查/公示</w:t>
            </w:r>
          </w:p>
        </w:tc>
      </w:tr>
      <w:tr>
        <w:tc>
          <w:tcPr>
            <w:tcW w:type="dxa" w:w="2268"/>
          </w:tcPr>
          <w:p>
            <w:pPr>
              <w:spacing w:lineRule="exact" w:line="600"/>
              <w:jc w:val="center"/>
            </w:pPr>
            <w:r/>
            <w:r>
              <w:rPr>
                <w:rFonts w:ascii="仿宋_GB2312" w:hAnsi="仿宋_GB2312" w:eastAsia="仿宋_GB2312"/>
                <w:b w:val="0"/>
                <w:color w:val="000000"/>
                <w:sz w:val="32"/>
              </w:rPr>
              <w:t>技术方向</w:t>
            </w:r>
          </w:p>
        </w:tc>
        <w:tc>
          <w:tcPr>
            <w:tcW w:type="dxa" w:w="3969"/>
          </w:tcPr>
          <w:p>
            <w:pPr>
              <w:spacing w:lineRule="exact" w:line="600"/>
              <w:jc w:val="center"/>
            </w:pPr>
            <w:r/>
            <w:r>
              <w:rPr>
                <w:rFonts w:ascii="仿宋_GB2312" w:hAnsi="仿宋_GB2312" w:eastAsia="仿宋_GB2312"/>
                <w:b w:val="0"/>
                <w:color w:val="000000"/>
                <w:sz w:val="32"/>
              </w:rPr>
              <w:t>医疗设备+工程集成</w:t>
            </w:r>
          </w:p>
        </w:tc>
        <w:tc>
          <w:tcPr>
            <w:tcW w:type="dxa" w:w="2835"/>
          </w:tcPr>
          <w:p>
            <w:pPr>
              <w:spacing w:lineRule="exact" w:line="600"/>
              <w:jc w:val="center"/>
            </w:pPr>
            <w:r/>
            <w:r>
              <w:rPr>
                <w:rFonts w:ascii="仿宋_GB2312" w:hAnsi="仿宋_GB2312" w:eastAsia="仿宋_GB2312"/>
                <w:b w:val="0"/>
                <w:color w:val="000000"/>
                <w:sz w:val="32"/>
              </w:rPr>
              <w:t>大汉医疗</w:t>
            </w:r>
          </w:p>
        </w:tc>
      </w:tr>
      <w:tr>
        <w:tc>
          <w:tcPr>
            <w:tcW w:type="dxa" w:w="2268"/>
          </w:tcPr>
          <w:p>
            <w:pPr>
              <w:spacing w:lineRule="exact" w:line="600"/>
              <w:jc w:val="center"/>
            </w:pPr>
            <w:r/>
            <w:r>
              <w:rPr>
                <w:rFonts w:ascii="仿宋_GB2312" w:hAnsi="仿宋_GB2312" w:eastAsia="仿宋_GB2312"/>
                <w:b w:val="0"/>
                <w:color w:val="000000"/>
                <w:sz w:val="32"/>
              </w:rPr>
              <w:t>盐品工艺</w:t>
            </w:r>
          </w:p>
        </w:tc>
        <w:tc>
          <w:tcPr>
            <w:tcW w:type="dxa" w:w="3969"/>
          </w:tcPr>
          <w:p>
            <w:pPr>
              <w:spacing w:lineRule="exact" w:line="600"/>
              <w:jc w:val="center"/>
            </w:pPr>
            <w:r/>
            <w:r>
              <w:rPr>
                <w:rFonts w:ascii="仿宋_GB2312" w:hAnsi="仿宋_GB2312" w:eastAsia="仿宋_GB2312"/>
                <w:b w:val="0"/>
                <w:color w:val="000000"/>
                <w:sz w:val="32"/>
              </w:rPr>
              <w:t>研磨配比封装成熟</w:t>
            </w:r>
          </w:p>
        </w:tc>
        <w:tc>
          <w:tcPr>
            <w:tcW w:type="dxa" w:w="2835"/>
          </w:tcPr>
          <w:p>
            <w:pPr>
              <w:spacing w:lineRule="exact" w:line="600"/>
              <w:jc w:val="center"/>
            </w:pPr>
            <w:r/>
            <w:r>
              <w:rPr>
                <w:rFonts w:ascii="仿宋_GB2312" w:hAnsi="仿宋_GB2312" w:eastAsia="仿宋_GB2312"/>
                <w:b w:val="0"/>
                <w:color w:val="000000"/>
                <w:sz w:val="32"/>
              </w:rPr>
              <w:t>行业通用</w:t>
            </w:r>
          </w:p>
        </w:tc>
      </w:tr>
      <w:tr>
        <w:tc>
          <w:tcPr>
            <w:tcW w:type="dxa" w:w="2268"/>
          </w:tcPr>
          <w:p>
            <w:pPr>
              <w:spacing w:lineRule="exact" w:line="600"/>
              <w:jc w:val="center"/>
            </w:pPr>
            <w:r/>
            <w:r>
              <w:rPr>
                <w:rFonts w:ascii="仿宋_GB2312" w:hAnsi="仿宋_GB2312" w:eastAsia="仿宋_GB2312"/>
                <w:b w:val="0"/>
                <w:color w:val="000000"/>
                <w:sz w:val="32"/>
              </w:rPr>
              <w:t>标准缺口</w:t>
            </w:r>
          </w:p>
        </w:tc>
        <w:tc>
          <w:tcPr>
            <w:tcW w:type="dxa" w:w="3969"/>
          </w:tcPr>
          <w:p>
            <w:pPr>
              <w:spacing w:lineRule="exact" w:line="600"/>
              <w:jc w:val="center"/>
            </w:pPr>
            <w:r/>
            <w:r>
              <w:rPr>
                <w:rFonts w:ascii="仿宋_GB2312" w:hAnsi="仿宋_GB2312" w:eastAsia="仿宋_GB2312"/>
                <w:b w:val="0"/>
                <w:color w:val="000000"/>
                <w:sz w:val="32"/>
              </w:rPr>
              <w:t>盐健康品待团体标准</w:t>
            </w:r>
          </w:p>
        </w:tc>
        <w:tc>
          <w:tcPr>
            <w:tcW w:type="dxa" w:w="2835"/>
          </w:tcPr>
          <w:p>
            <w:pPr>
              <w:spacing w:lineRule="exact" w:line="600"/>
              <w:jc w:val="center"/>
            </w:pPr>
            <w:r/>
            <w:r>
              <w:rPr>
                <w:rFonts w:ascii="仿宋_GB2312" w:hAnsi="仿宋_GB2312" w:eastAsia="仿宋_GB2312"/>
                <w:b w:val="0"/>
                <w:color w:val="000000"/>
                <w:sz w:val="32"/>
              </w:rPr>
              <w:t>分析</w:t>
            </w:r>
          </w:p>
        </w:tc>
      </w:tr>
      <w:tr>
        <w:tc>
          <w:tcPr>
            <w:tcW w:type="dxa" w:w="2268"/>
          </w:tcPr>
          <w:p>
            <w:pPr>
              <w:spacing w:lineRule="exact" w:line="600"/>
              <w:jc w:val="center"/>
            </w:pPr>
            <w:r/>
            <w:r>
              <w:rPr>
                <w:rFonts w:ascii="仿宋_GB2312" w:hAnsi="仿宋_GB2312" w:eastAsia="仿宋_GB2312"/>
                <w:b w:val="0"/>
                <w:color w:val="000000"/>
                <w:sz w:val="32"/>
              </w:rPr>
              <w:t>研发模式</w:t>
            </w:r>
          </w:p>
        </w:tc>
        <w:tc>
          <w:tcPr>
            <w:tcW w:type="dxa" w:w="3969"/>
          </w:tcPr>
          <w:p>
            <w:pPr>
              <w:spacing w:lineRule="exact" w:line="600"/>
              <w:jc w:val="center"/>
            </w:pPr>
            <w:r/>
            <w:r>
              <w:rPr>
                <w:rFonts w:ascii="仿宋_GB2312" w:hAnsi="仿宋_GB2312" w:eastAsia="仿宋_GB2312"/>
                <w:b w:val="0"/>
                <w:color w:val="000000"/>
                <w:sz w:val="32"/>
              </w:rPr>
              <w:t>临床—制造反馈</w:t>
            </w:r>
          </w:p>
        </w:tc>
        <w:tc>
          <w:tcPr>
            <w:tcW w:type="dxa" w:w="2835"/>
          </w:tcPr>
          <w:p>
            <w:pPr>
              <w:spacing w:lineRule="exact" w:line="600"/>
              <w:jc w:val="center"/>
            </w:pPr>
            <w:r/>
            <w:r>
              <w:rPr>
                <w:rFonts w:ascii="仿宋_GB2312" w:hAnsi="仿宋_GB2312" w:eastAsia="仿宋_GB2312"/>
                <w:b w:val="0"/>
                <w:color w:val="000000"/>
                <w:sz w:val="32"/>
              </w:rPr>
              <w:t>集群协同</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医疗器械制造成本以元件（阀门、管路、传感器）、人工与资质维护为主，规模化与国产替代降低采购成本；盐健康消费品以岩盐原料（本地廉价）、包装与物流为主，毛利空间依赖品牌与渠道。两大方向均属中等要素密集，对研发投入与营销费用敏感。</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肥城为医养健康制造提供用地与政策保障，专精特新企业可享研发补助、高企税收优惠；医疗器械生产需洁净车间与许可，要素门槛高于盐消费品。银发经济与省级三年行动计划导向下，相关企业可争取技改、创新券与首台套等政策工具。</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医疗器械扩产与注册、盐健康品品牌建设均需资金；专精特新企业可借科创再贷款、专精特新专项融资降本。当前以企业自筹与订单垫资为主，需引入产业基金与银行授信，缓解中标项目（如千万级维保）履约的资金占用。</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969"/>
          </w:tcPr>
          <w:p>
            <w:pPr>
              <w:spacing w:lineRule="exact" w:line="600"/>
              <w:jc w:val="center"/>
            </w:pPr>
            <w:r/>
            <w:r>
              <w:rPr>
                <w:rFonts w:ascii="黑体" w:hAnsi="黑体" w:eastAsia="黑体"/>
                <w:b/>
                <w:color w:val="000000"/>
                <w:sz w:val="32"/>
              </w:rPr>
              <w:t>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大汉医疗规模</w:t>
            </w:r>
          </w:p>
        </w:tc>
        <w:tc>
          <w:tcPr>
            <w:tcW w:type="dxa" w:w="3969"/>
          </w:tcPr>
          <w:p>
            <w:pPr>
              <w:spacing w:lineRule="exact" w:line="600"/>
              <w:jc w:val="center"/>
            </w:pPr>
            <w:r/>
            <w:r>
              <w:rPr>
                <w:rFonts w:ascii="仿宋_GB2312" w:hAnsi="仿宋_GB2312" w:eastAsia="仿宋_GB2312"/>
                <w:b w:val="0"/>
                <w:color w:val="000000"/>
                <w:sz w:val="32"/>
              </w:rPr>
              <w:t>注册资本6600万/员工63</w:t>
            </w:r>
          </w:p>
        </w:tc>
        <w:tc>
          <w:tcPr>
            <w:tcW w:type="dxa" w:w="2835"/>
          </w:tcPr>
          <w:p>
            <w:pPr>
              <w:spacing w:lineRule="exact" w:line="600"/>
              <w:jc w:val="center"/>
            </w:pPr>
            <w:r/>
            <w:r>
              <w:rPr>
                <w:rFonts w:ascii="仿宋_GB2312" w:hAnsi="仿宋_GB2312" w:eastAsia="仿宋_GB2312"/>
                <w:b w:val="0"/>
                <w:color w:val="000000"/>
                <w:sz w:val="32"/>
              </w:rPr>
              <w:t>天眼查</w:t>
            </w:r>
          </w:p>
        </w:tc>
      </w:tr>
      <w:tr>
        <w:tc>
          <w:tcPr>
            <w:tcW w:type="dxa" w:w="2268"/>
          </w:tcPr>
          <w:p>
            <w:pPr>
              <w:spacing w:lineRule="exact" w:line="600"/>
              <w:jc w:val="center"/>
            </w:pPr>
            <w:r/>
            <w:r>
              <w:rPr>
                <w:rFonts w:ascii="仿宋_GB2312" w:hAnsi="仿宋_GB2312" w:eastAsia="仿宋_GB2312"/>
                <w:b w:val="0"/>
                <w:color w:val="000000"/>
                <w:sz w:val="32"/>
              </w:rPr>
              <w:t>政策工具</w:t>
            </w:r>
          </w:p>
        </w:tc>
        <w:tc>
          <w:tcPr>
            <w:tcW w:type="dxa" w:w="3969"/>
          </w:tcPr>
          <w:p>
            <w:pPr>
              <w:spacing w:lineRule="exact" w:line="600"/>
              <w:jc w:val="center"/>
            </w:pPr>
            <w:r/>
            <w:r>
              <w:rPr>
                <w:rFonts w:ascii="仿宋_GB2312" w:hAnsi="仿宋_GB2312" w:eastAsia="仿宋_GB2312"/>
                <w:b w:val="0"/>
                <w:color w:val="000000"/>
                <w:sz w:val="32"/>
              </w:rPr>
              <w:t>研发补助/高企税收</w:t>
            </w:r>
          </w:p>
        </w:tc>
        <w:tc>
          <w:tcPr>
            <w:tcW w:type="dxa" w:w="2835"/>
          </w:tcPr>
          <w:p>
            <w:pPr>
              <w:spacing w:lineRule="exact" w:line="600"/>
              <w:jc w:val="center"/>
            </w:pPr>
            <w:r/>
            <w:r>
              <w:rPr>
                <w:rFonts w:ascii="仿宋_GB2312" w:hAnsi="仿宋_GB2312" w:eastAsia="仿宋_GB2312"/>
                <w:b w:val="0"/>
                <w:color w:val="000000"/>
                <w:sz w:val="32"/>
              </w:rPr>
              <w:t>省级三年行动</w:t>
            </w:r>
          </w:p>
        </w:tc>
      </w:tr>
      <w:tr>
        <w:tc>
          <w:tcPr>
            <w:tcW w:type="dxa" w:w="2268"/>
          </w:tcPr>
          <w:p>
            <w:pPr>
              <w:spacing w:lineRule="exact" w:line="600"/>
              <w:jc w:val="center"/>
            </w:pPr>
            <w:r/>
            <w:r>
              <w:rPr>
                <w:rFonts w:ascii="仿宋_GB2312" w:hAnsi="仿宋_GB2312" w:eastAsia="仿宋_GB2312"/>
                <w:b w:val="0"/>
                <w:color w:val="000000"/>
                <w:sz w:val="32"/>
              </w:rPr>
              <w:t>资金现状</w:t>
            </w:r>
          </w:p>
        </w:tc>
        <w:tc>
          <w:tcPr>
            <w:tcW w:type="dxa" w:w="3969"/>
          </w:tcPr>
          <w:p>
            <w:pPr>
              <w:spacing w:lineRule="exact" w:line="600"/>
              <w:jc w:val="center"/>
            </w:pPr>
            <w:r/>
            <w:r>
              <w:rPr>
                <w:rFonts w:ascii="仿宋_GB2312" w:hAnsi="仿宋_GB2312" w:eastAsia="仿宋_GB2312"/>
                <w:b w:val="0"/>
                <w:color w:val="000000"/>
                <w:sz w:val="32"/>
              </w:rPr>
              <w:t>自筹+订单垫资</w:t>
            </w:r>
          </w:p>
        </w:tc>
        <w:tc>
          <w:tcPr>
            <w:tcW w:type="dxa" w:w="2835"/>
          </w:tcPr>
          <w:p>
            <w:pPr>
              <w:spacing w:lineRule="exact" w:line="600"/>
              <w:jc w:val="center"/>
            </w:pPr>
            <w:r/>
            <w:r>
              <w:rPr>
                <w:rFonts w:ascii="仿宋_GB2312" w:hAnsi="仿宋_GB2312" w:eastAsia="仿宋_GB2312"/>
                <w:b w:val="0"/>
                <w:color w:val="000000"/>
                <w:sz w:val="32"/>
              </w:rPr>
              <w:t>分析</w:t>
            </w:r>
          </w:p>
        </w:tc>
      </w:tr>
      <w:tr>
        <w:tc>
          <w:tcPr>
            <w:tcW w:type="dxa" w:w="2268"/>
          </w:tcPr>
          <w:p>
            <w:pPr>
              <w:spacing w:lineRule="exact" w:line="600"/>
              <w:jc w:val="center"/>
            </w:pPr>
            <w:r/>
            <w:r>
              <w:rPr>
                <w:rFonts w:ascii="仿宋_GB2312" w:hAnsi="仿宋_GB2312" w:eastAsia="仿宋_GB2312"/>
                <w:b w:val="0"/>
                <w:color w:val="000000"/>
                <w:sz w:val="32"/>
              </w:rPr>
              <w:t>融资渠道</w:t>
            </w:r>
          </w:p>
        </w:tc>
        <w:tc>
          <w:tcPr>
            <w:tcW w:type="dxa" w:w="3969"/>
          </w:tcPr>
          <w:p>
            <w:pPr>
              <w:spacing w:lineRule="exact" w:line="600"/>
              <w:jc w:val="center"/>
            </w:pPr>
            <w:r/>
            <w:r>
              <w:rPr>
                <w:rFonts w:ascii="仿宋_GB2312" w:hAnsi="仿宋_GB2312" w:eastAsia="仿宋_GB2312"/>
                <w:b w:val="0"/>
                <w:color w:val="000000"/>
                <w:sz w:val="32"/>
              </w:rPr>
              <w:t>科创贷/专特新融资</w:t>
            </w:r>
          </w:p>
        </w:tc>
        <w:tc>
          <w:tcPr>
            <w:tcW w:type="dxa" w:w="2835"/>
          </w:tcPr>
          <w:p>
            <w:pPr>
              <w:spacing w:lineRule="exact" w:line="600"/>
              <w:jc w:val="center"/>
            </w:pPr>
            <w:r/>
            <w:r>
              <w:rPr>
                <w:rFonts w:ascii="仿宋_GB2312" w:hAnsi="仿宋_GB2312" w:eastAsia="仿宋_GB2312"/>
                <w:b w:val="0"/>
                <w:color w:val="000000"/>
                <w:sz w:val="32"/>
              </w:rPr>
              <w:t>政策导向</w:t>
            </w:r>
          </w:p>
        </w:tc>
      </w:tr>
    </w:tbl>
    <w:p>
      <w:pPr>
        <w:spacing w:lineRule="exact" w:line="600" w:before="120" w:after="120"/>
        <w:ind w:firstLine="420"/>
        <w:jc w:val="left"/>
      </w:pPr>
      <w:r>
        <w:rPr>
          <w:rFonts w:ascii="楷体_GB2312" w:hAnsi="楷体_GB2312" w:eastAsia="楷体_GB2312"/>
          <w:b w:val="0"/>
          <w:color w:val="000000"/>
          <w:sz w:val="32"/>
        </w:rPr>
        <w:t>制盐成本与效益（本批真实数据补充·来源见正文）</w:t>
      </w:r>
    </w:p>
    <w:p>
      <w:pPr>
        <w:spacing w:lineRule="exact" w:line="600" w:before="0" w:after="0"/>
        <w:ind w:firstLine="420"/>
        <w:jc w:val="both"/>
      </w:pPr>
      <w:r>
        <w:rPr>
          <w:rFonts w:ascii="仿宋_GB2312" w:hAnsi="仿宋_GB2312" w:eastAsia="仿宋_GB2312"/>
          <w:b w:val="0"/>
          <w:color w:val="000000"/>
          <w:sz w:val="32"/>
        </w:rPr>
        <w:t>肥城精制盐厂整体搬迁至经开区后，吨盐成本直接下降12元；海晶盐化120万吨/年绿色生态精制盐项目总投资6.7亿元，建成后年均销售收入8亿元、利润总额近1.5亿元。盐穴资源为储能提供低成本腔体空间。（来源：今日头条2024肥城制盐项目、肥城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吨盐成本下降</w:t>
            </w:r>
          </w:p>
        </w:tc>
        <w:tc>
          <w:tcPr>
            <w:tcW w:type="dxa" w:w="2835"/>
          </w:tcPr>
          <w:p>
            <w:pPr>
              <w:spacing w:lineRule="exact" w:line="600"/>
              <w:jc w:val="center"/>
            </w:pPr>
            <w:r/>
            <w:r>
              <w:rPr>
                <w:rFonts w:ascii="仿宋_GB2312" w:hAnsi="仿宋_GB2312" w:eastAsia="仿宋_GB2312"/>
                <w:b w:val="0"/>
                <w:color w:val="000000"/>
                <w:sz w:val="32"/>
              </w:rPr>
              <w:t>12元</w:t>
            </w:r>
          </w:p>
        </w:tc>
        <w:tc>
          <w:tcPr>
            <w:tcW w:type="dxa" w:w="2551"/>
          </w:tcPr>
          <w:p>
            <w:pPr>
              <w:spacing w:lineRule="exact" w:line="600"/>
              <w:jc w:val="center"/>
            </w:pPr>
            <w:r/>
            <w:r>
              <w:rPr>
                <w:rFonts w:ascii="仿宋_GB2312" w:hAnsi="仿宋_GB2312" w:eastAsia="仿宋_GB2312"/>
                <w:b w:val="0"/>
                <w:color w:val="000000"/>
                <w:sz w:val="32"/>
              </w:rPr>
              <w:t>搬迁新厂区</w:t>
            </w:r>
          </w:p>
        </w:tc>
      </w:tr>
      <w:tr>
        <w:tc>
          <w:tcPr>
            <w:tcW w:type="dxa" w:w="3118"/>
          </w:tcPr>
          <w:p>
            <w:pPr>
              <w:spacing w:lineRule="exact" w:line="600"/>
              <w:jc w:val="center"/>
            </w:pPr>
            <w:r/>
            <w:r>
              <w:rPr>
                <w:rFonts w:ascii="仿宋_GB2312" w:hAnsi="仿宋_GB2312" w:eastAsia="仿宋_GB2312"/>
                <w:b w:val="0"/>
                <w:color w:val="000000"/>
                <w:sz w:val="32"/>
              </w:rPr>
              <w:t>海晶项目总投资</w:t>
            </w:r>
          </w:p>
        </w:tc>
        <w:tc>
          <w:tcPr>
            <w:tcW w:type="dxa" w:w="2835"/>
          </w:tcPr>
          <w:p>
            <w:pPr>
              <w:spacing w:lineRule="exact" w:line="600"/>
              <w:jc w:val="center"/>
            </w:pPr>
            <w:r/>
            <w:r>
              <w:rPr>
                <w:rFonts w:ascii="仿宋_GB2312" w:hAnsi="仿宋_GB2312" w:eastAsia="仿宋_GB2312"/>
                <w:b w:val="0"/>
                <w:color w:val="000000"/>
                <w:sz w:val="32"/>
              </w:rPr>
              <w:t>6.7亿元</w:t>
            </w:r>
          </w:p>
        </w:tc>
        <w:tc>
          <w:tcPr>
            <w:tcW w:type="dxa" w:w="2551"/>
          </w:tcPr>
          <w:p>
            <w:pPr>
              <w:spacing w:lineRule="exact" w:line="600"/>
              <w:jc w:val="center"/>
            </w:pPr>
            <w:r/>
            <w:r>
              <w:rPr>
                <w:rFonts w:ascii="仿宋_GB2312" w:hAnsi="仿宋_GB2312" w:eastAsia="仿宋_GB2312"/>
                <w:b w:val="0"/>
                <w:color w:val="000000"/>
                <w:sz w:val="32"/>
              </w:rPr>
              <w:t>120万吨/年</w:t>
            </w:r>
          </w:p>
        </w:tc>
      </w:tr>
      <w:tr>
        <w:tc>
          <w:tcPr>
            <w:tcW w:type="dxa" w:w="3118"/>
          </w:tcPr>
          <w:p>
            <w:pPr>
              <w:spacing w:lineRule="exact" w:line="600"/>
              <w:jc w:val="center"/>
            </w:pPr>
            <w:r/>
            <w:r>
              <w:rPr>
                <w:rFonts w:ascii="仿宋_GB2312" w:hAnsi="仿宋_GB2312" w:eastAsia="仿宋_GB2312"/>
                <w:b w:val="0"/>
                <w:color w:val="000000"/>
                <w:sz w:val="32"/>
              </w:rPr>
              <w:t>海晶年均销售收入</w:t>
            </w:r>
          </w:p>
        </w:tc>
        <w:tc>
          <w:tcPr>
            <w:tcW w:type="dxa" w:w="2835"/>
          </w:tcPr>
          <w:p>
            <w:pPr>
              <w:spacing w:lineRule="exact" w:line="600"/>
              <w:jc w:val="center"/>
            </w:pPr>
            <w:r/>
            <w:r>
              <w:rPr>
                <w:rFonts w:ascii="仿宋_GB2312" w:hAnsi="仿宋_GB2312" w:eastAsia="仿宋_GB2312"/>
                <w:b w:val="0"/>
                <w:color w:val="000000"/>
                <w:sz w:val="32"/>
              </w:rPr>
              <w:t>8亿元</w:t>
            </w:r>
          </w:p>
        </w:tc>
        <w:tc>
          <w:tcPr>
            <w:tcW w:type="dxa" w:w="2551"/>
          </w:tcPr>
          <w:p>
            <w:pPr>
              <w:spacing w:lineRule="exact" w:line="600"/>
              <w:jc w:val="center"/>
            </w:pPr>
            <w:r/>
            <w:r>
              <w:rPr>
                <w:rFonts w:ascii="仿宋_GB2312" w:hAnsi="仿宋_GB2312" w:eastAsia="仿宋_GB2312"/>
                <w:b w:val="0"/>
                <w:color w:val="000000"/>
                <w:sz w:val="32"/>
              </w:rPr>
              <w:t>利润近1.5亿元</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银发经济与省级三年行动计划释放医养产品需求；肥城医养结合机构网络（11家、长护险19家）提供应用场景；「岩盐+健康」区域品牌具差异化；大汉医疗专精特新资质利于争取集采与医院订单；盐健康消费品借直播电商可快速起量。</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本地医养制造集群度低、企业规模小；盐健康消费品多为贴牌、标准缺失、溢价弱；高端医疗器械被全国龙头挤压；研发与品牌投入不足，产品以中低端为主；公共检测与标准平台缺位制约提档。</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医疗器械监管趋严、注册与飞行检查风险；医保控费与集采压价影响医院端订单利润；盐健康消费品若功效宣传越界面临合规风险；原料（岩盐）价格波动与代工质量不稳影响品牌信誉；过度依赖少量中标项目带来收入波动。</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监管</w:t>
            </w:r>
          </w:p>
        </w:tc>
        <w:tc>
          <w:tcPr>
            <w:tcW w:type="dxa" w:w="4535"/>
          </w:tcPr>
          <w:p>
            <w:pPr>
              <w:spacing w:lineRule="exact" w:line="600"/>
              <w:jc w:val="center"/>
            </w:pPr>
            <w:r/>
            <w:r>
              <w:rPr>
                <w:rFonts w:ascii="仿宋_GB2312" w:hAnsi="仿宋_GB2312" w:eastAsia="仿宋_GB2312"/>
                <w:b w:val="0"/>
                <w:color w:val="000000"/>
                <w:sz w:val="32"/>
              </w:rPr>
              <w:t>器械注册/飞检</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集采压价</w:t>
            </w:r>
          </w:p>
        </w:tc>
        <w:tc>
          <w:tcPr>
            <w:tcW w:type="dxa" w:w="4535"/>
          </w:tcPr>
          <w:p>
            <w:pPr>
              <w:spacing w:lineRule="exact" w:line="600"/>
              <w:jc w:val="center"/>
            </w:pPr>
            <w:r/>
            <w:r>
              <w:rPr>
                <w:rFonts w:ascii="仿宋_GB2312" w:hAnsi="仿宋_GB2312" w:eastAsia="仿宋_GB2312"/>
                <w:b w:val="0"/>
                <w:color w:val="000000"/>
                <w:sz w:val="32"/>
              </w:rPr>
              <w:t>医院端利润降</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合规</w:t>
            </w:r>
          </w:p>
        </w:tc>
        <w:tc>
          <w:tcPr>
            <w:tcW w:type="dxa" w:w="4535"/>
          </w:tcPr>
          <w:p>
            <w:pPr>
              <w:spacing w:lineRule="exact" w:line="600"/>
              <w:jc w:val="center"/>
            </w:pPr>
            <w:r/>
            <w:r>
              <w:rPr>
                <w:rFonts w:ascii="仿宋_GB2312" w:hAnsi="仿宋_GB2312" w:eastAsia="仿宋_GB2312"/>
                <w:b w:val="0"/>
                <w:color w:val="000000"/>
                <w:sz w:val="32"/>
              </w:rPr>
              <w:t>盐品宣传越界</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波动</w:t>
            </w:r>
          </w:p>
        </w:tc>
        <w:tc>
          <w:tcPr>
            <w:tcW w:type="dxa" w:w="4535"/>
          </w:tcPr>
          <w:p>
            <w:pPr>
              <w:spacing w:lineRule="exact" w:line="600"/>
              <w:jc w:val="center"/>
            </w:pPr>
            <w:r/>
            <w:r>
              <w:rPr>
                <w:rFonts w:ascii="仿宋_GB2312" w:hAnsi="仿宋_GB2312" w:eastAsia="仿宋_GB2312"/>
                <w:b w:val="0"/>
                <w:color w:val="000000"/>
                <w:sz w:val="32"/>
              </w:rPr>
              <w:t>依赖少量中标</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标准</w:t>
            </w:r>
          </w:p>
        </w:tc>
        <w:tc>
          <w:tcPr>
            <w:tcW w:type="dxa" w:w="4535"/>
          </w:tcPr>
          <w:p>
            <w:pPr>
              <w:spacing w:lineRule="exact" w:line="600"/>
              <w:jc w:val="center"/>
            </w:pPr>
            <w:r/>
            <w:r>
              <w:rPr>
                <w:rFonts w:ascii="仿宋_GB2312" w:hAnsi="仿宋_GB2312" w:eastAsia="仿宋_GB2312"/>
                <w:b w:val="0"/>
                <w:color w:val="000000"/>
                <w:sz w:val="32"/>
              </w:rPr>
              <w:t>盐品缺标准</w:t>
            </w:r>
          </w:p>
        </w:tc>
        <w:tc>
          <w:tcPr>
            <w:tcW w:type="dxa" w:w="2268"/>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（一）医疗器械专精特深化</w:t>
      </w:r>
    </w:p>
    <w:p>
      <w:pPr>
        <w:spacing w:lineRule="exact" w:line="600" w:before="0" w:after="0"/>
        <w:ind w:firstLine="420"/>
        <w:jc w:val="both"/>
      </w:pPr>
      <w:r>
        <w:rPr>
          <w:rFonts w:ascii="仿宋_GB2312" w:hAnsi="仿宋_GB2312" w:eastAsia="仿宋_GB2312"/>
          <w:b w:val="0"/>
          <w:color w:val="000000"/>
          <w:sz w:val="32"/>
        </w:rPr>
        <w:t>支持大汉医疗等深耕医用气体、呼吸麻醉、医疗工程细分，向智能化（物联网供氧监测）、一体化（手术室整体方案）升级；鼓励申报二类/三类注册证与首台套，争取集采与医院绿色采购；以「临床—制造」闭环迭代产品，培育区域医养器械单项冠军。</w:t>
      </w:r>
    </w:p>
    <w:p>
      <w:pPr>
        <w:spacing w:lineRule="exact" w:line="600" w:before="120" w:after="120"/>
        <w:ind w:firstLine="420"/>
        <w:jc w:val="left"/>
      </w:pPr>
      <w:r>
        <w:rPr>
          <w:rFonts w:ascii="楷体_GB2312" w:hAnsi="楷体_GB2312" w:eastAsia="楷体_GB2312"/>
          <w:b w:val="0"/>
          <w:color w:val="000000"/>
          <w:sz w:val="32"/>
        </w:rPr>
        <w:t>（二）盐健康品品牌化</w:t>
      </w:r>
    </w:p>
    <w:p>
      <w:pPr>
        <w:spacing w:lineRule="exact" w:line="600" w:before="0" w:after="0"/>
        <w:ind w:firstLine="420"/>
        <w:jc w:val="both"/>
      </w:pPr>
      <w:r>
        <w:rPr>
          <w:rFonts w:ascii="仿宋_GB2312" w:hAnsi="仿宋_GB2312" w:eastAsia="仿宋_GB2312"/>
          <w:b w:val="0"/>
          <w:color w:val="000000"/>
          <w:sz w:val="32"/>
        </w:rPr>
        <w:t>建立深井岩盐健康消费品团体标准，规范矿物成分与功效宣称；打造「肥城岩盐康养」公共品牌，开发控温热敷、矿物洗护、盐疗居家套装等中高端线；借直播电商与医养机构渠道双轮推广，由贴牌转向自主品牌，提升溢价。</w:t>
      </w:r>
    </w:p>
    <w:p>
      <w:pPr>
        <w:spacing w:lineRule="exact" w:line="600" w:before="120" w:after="120"/>
        <w:ind w:firstLine="420"/>
        <w:jc w:val="left"/>
      </w:pPr>
      <w:r>
        <w:rPr>
          <w:rFonts w:ascii="楷体_GB2312" w:hAnsi="楷体_GB2312" w:eastAsia="楷体_GB2312"/>
          <w:b w:val="0"/>
          <w:color w:val="000000"/>
          <w:sz w:val="32"/>
        </w:rPr>
        <w:t>（三）平台与集群培育</w:t>
      </w:r>
    </w:p>
    <w:p>
      <w:pPr>
        <w:spacing w:lineRule="exact" w:line="600" w:before="0" w:after="0"/>
        <w:ind w:firstLine="420"/>
        <w:jc w:val="both"/>
      </w:pPr>
      <w:r>
        <w:rPr>
          <w:rFonts w:ascii="仿宋_GB2312" w:hAnsi="仿宋_GB2312" w:eastAsia="仿宋_GB2312"/>
          <w:b w:val="0"/>
          <w:color w:val="000000"/>
          <w:sz w:val="32"/>
        </w:rPr>
        <w:t>建设医养健康制造公共研发检测与中试平台，降低中小企业创新成本；以「岩盐医养健康」集群招引辅具、可穿戴、智能监测企业，补全产业链；设立专项基金与订单融资，培育「专精特新—单项冠军—链主」梯度企业群。</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器械专精</w:t>
            </w:r>
          </w:p>
        </w:tc>
        <w:tc>
          <w:tcPr>
            <w:tcW w:type="dxa" w:w="4535"/>
          </w:tcPr>
          <w:p>
            <w:pPr>
              <w:spacing w:lineRule="exact" w:line="600"/>
              <w:jc w:val="center"/>
            </w:pPr>
            <w:r/>
            <w:r>
              <w:rPr>
                <w:rFonts w:ascii="仿宋_GB2312" w:hAnsi="仿宋_GB2312" w:eastAsia="仿宋_GB2312"/>
                <w:b w:val="0"/>
                <w:color w:val="000000"/>
                <w:sz w:val="32"/>
              </w:rPr>
              <w:t>智能供氧/整体方案</w:t>
            </w:r>
          </w:p>
        </w:tc>
        <w:tc>
          <w:tcPr>
            <w:tcW w:type="dxa" w:w="2268"/>
          </w:tcPr>
          <w:p>
            <w:pPr>
              <w:spacing w:lineRule="exact" w:line="600"/>
              <w:jc w:val="center"/>
            </w:pPr>
            <w:r/>
            <w:r>
              <w:rPr>
                <w:rFonts w:ascii="仿宋_GB2312" w:hAnsi="仿宋_GB2312" w:eastAsia="仿宋_GB2312"/>
                <w:b w:val="0"/>
                <w:color w:val="000000"/>
                <w:sz w:val="32"/>
              </w:rPr>
              <w:t>单项冠军</w:t>
            </w:r>
          </w:p>
        </w:tc>
      </w:tr>
      <w:tr>
        <w:tc>
          <w:tcPr>
            <w:tcW w:type="dxa" w:w="1701"/>
          </w:tcPr>
          <w:p>
            <w:pPr>
              <w:spacing w:lineRule="exact" w:line="600"/>
              <w:jc w:val="center"/>
            </w:pPr>
            <w:r/>
            <w:r>
              <w:rPr>
                <w:rFonts w:ascii="仿宋_GB2312" w:hAnsi="仿宋_GB2312" w:eastAsia="仿宋_GB2312"/>
                <w:b w:val="0"/>
                <w:color w:val="000000"/>
                <w:sz w:val="32"/>
              </w:rPr>
              <w:t>盐品品牌</w:t>
            </w:r>
          </w:p>
        </w:tc>
        <w:tc>
          <w:tcPr>
            <w:tcW w:type="dxa" w:w="4535"/>
          </w:tcPr>
          <w:p>
            <w:pPr>
              <w:spacing w:lineRule="exact" w:line="600"/>
              <w:jc w:val="center"/>
            </w:pPr>
            <w:r/>
            <w:r>
              <w:rPr>
                <w:rFonts w:ascii="仿宋_GB2312" w:hAnsi="仿宋_GB2312" w:eastAsia="仿宋_GB2312"/>
                <w:b w:val="0"/>
                <w:color w:val="000000"/>
                <w:sz w:val="32"/>
              </w:rPr>
              <w:t>团体标准+公共品牌</w:t>
            </w:r>
          </w:p>
        </w:tc>
        <w:tc>
          <w:tcPr>
            <w:tcW w:type="dxa" w:w="2268"/>
          </w:tcPr>
          <w:p>
            <w:pPr>
              <w:spacing w:lineRule="exact" w:line="600"/>
              <w:jc w:val="center"/>
            </w:pPr>
            <w:r/>
            <w:r>
              <w:rPr>
                <w:rFonts w:ascii="仿宋_GB2312" w:hAnsi="仿宋_GB2312" w:eastAsia="仿宋_GB2312"/>
                <w:b w:val="0"/>
                <w:color w:val="000000"/>
                <w:sz w:val="32"/>
              </w:rPr>
              <w:t>溢价提升</w:t>
            </w:r>
          </w:p>
        </w:tc>
      </w:tr>
      <w:tr>
        <w:tc>
          <w:tcPr>
            <w:tcW w:type="dxa" w:w="1701"/>
          </w:tcPr>
          <w:p>
            <w:pPr>
              <w:spacing w:lineRule="exact" w:line="600"/>
              <w:jc w:val="center"/>
            </w:pPr>
            <w:r/>
            <w:r>
              <w:rPr>
                <w:rFonts w:ascii="仿宋_GB2312" w:hAnsi="仿宋_GB2312" w:eastAsia="仿宋_GB2312"/>
                <w:b w:val="0"/>
                <w:color w:val="000000"/>
                <w:sz w:val="32"/>
              </w:rPr>
              <w:t>平台集群</w:t>
            </w:r>
          </w:p>
        </w:tc>
        <w:tc>
          <w:tcPr>
            <w:tcW w:type="dxa" w:w="4535"/>
          </w:tcPr>
          <w:p>
            <w:pPr>
              <w:spacing w:lineRule="exact" w:line="600"/>
              <w:jc w:val="center"/>
            </w:pPr>
            <w:r/>
            <w:r>
              <w:rPr>
                <w:rFonts w:ascii="仿宋_GB2312" w:hAnsi="仿宋_GB2312" w:eastAsia="仿宋_GB2312"/>
                <w:b w:val="0"/>
                <w:color w:val="000000"/>
                <w:sz w:val="32"/>
              </w:rPr>
              <w:t>研发检测+招商</w:t>
            </w:r>
          </w:p>
        </w:tc>
        <w:tc>
          <w:tcPr>
            <w:tcW w:type="dxa" w:w="2268"/>
          </w:tcPr>
          <w:p>
            <w:pPr>
              <w:spacing w:lineRule="exact" w:line="600"/>
              <w:jc w:val="center"/>
            </w:pPr>
            <w:r/>
            <w:r>
              <w:rPr>
                <w:rFonts w:ascii="仿宋_GB2312" w:hAnsi="仿宋_GB2312" w:eastAsia="仿宋_GB2312"/>
                <w:b w:val="0"/>
                <w:color w:val="000000"/>
                <w:sz w:val="32"/>
              </w:rPr>
              <w:t>梯度培育</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（一）医疗器械扩产与注册融资</w:t>
      </w:r>
    </w:p>
    <w:p>
      <w:pPr>
        <w:spacing w:lineRule="exact" w:line="600" w:before="0" w:after="0"/>
        <w:ind w:firstLine="420"/>
        <w:jc w:val="both"/>
      </w:pPr>
      <w:r>
        <w:rPr>
          <w:rFonts w:ascii="仿宋_GB2312" w:hAnsi="仿宋_GB2312" w:eastAsia="仿宋_GB2312"/>
          <w:b w:val="0"/>
          <w:color w:val="000000"/>
          <w:sz w:val="32"/>
        </w:rPr>
        <w:t>大汉医疗等扩产洁净车间、新增注册证（二/三类）与智能产品研发需固定资产贷款、科创再贷款与注册专项补助；千万级中标项目（如1215万元维保）履约需流动资金贷款与保函授信，建议以订单融资缓解垫资压力。</w:t>
      </w:r>
    </w:p>
    <w:p>
      <w:pPr>
        <w:spacing w:lineRule="exact" w:line="600" w:before="120" w:after="120"/>
        <w:ind w:firstLine="420"/>
        <w:jc w:val="left"/>
      </w:pPr>
      <w:r>
        <w:rPr>
          <w:rFonts w:ascii="楷体_GB2312" w:hAnsi="楷体_GB2312" w:eastAsia="楷体_GB2312"/>
          <w:b w:val="0"/>
          <w:color w:val="000000"/>
          <w:sz w:val="32"/>
        </w:rPr>
        <w:t>（二）盐健康品品牌建设融资</w:t>
      </w:r>
    </w:p>
    <w:p>
      <w:pPr>
        <w:spacing w:lineRule="exact" w:line="600" w:before="0" w:after="0"/>
        <w:ind w:firstLine="420"/>
        <w:jc w:val="both"/>
      </w:pPr>
      <w:r>
        <w:rPr>
          <w:rFonts w:ascii="仿宋_GB2312" w:hAnsi="仿宋_GB2312" w:eastAsia="仿宋_GB2312"/>
          <w:b w:val="0"/>
          <w:color w:val="000000"/>
          <w:sz w:val="32"/>
        </w:rPr>
        <w:t>「肥城岩盐康养」公共品牌打造、团体标准制定、控温热敷与矿物洗护产线建设需品牌与产线融资；直播电商与渠道拓展需营运资金，可借供应链金融与文创/消费基金支持，推动由贴牌向自主品牌转型。</w:t>
      </w:r>
    </w:p>
    <w:p>
      <w:pPr>
        <w:spacing w:lineRule="exact" w:line="600" w:before="120" w:after="120"/>
        <w:ind w:firstLine="420"/>
        <w:jc w:val="left"/>
      </w:pPr>
      <w:r>
        <w:rPr>
          <w:rFonts w:ascii="楷体_GB2312" w:hAnsi="楷体_GB2312" w:eastAsia="楷体_GB2312"/>
          <w:b w:val="0"/>
          <w:color w:val="000000"/>
          <w:sz w:val="32"/>
        </w:rPr>
        <w:t>（三）平台与基金</w:t>
      </w:r>
    </w:p>
    <w:p>
      <w:pPr>
        <w:spacing w:lineRule="exact" w:line="600" w:before="0" w:after="0"/>
        <w:ind w:firstLine="420"/>
        <w:jc w:val="both"/>
      </w:pPr>
      <w:r>
        <w:rPr>
          <w:rFonts w:ascii="仿宋_GB2312" w:hAnsi="仿宋_GB2312" w:eastAsia="仿宋_GB2312"/>
          <w:b w:val="0"/>
          <w:color w:val="000000"/>
          <w:sz w:val="32"/>
        </w:rPr>
        <w:t>医养健康制造公共研发检测平台、中试基地需政府专项债与引导基金；设立岩盐医养健康产业基金，以股权方式支持专精特新与辅具企业成长；探索知识产权质押、首台套保险补偿等创新工具，完善科技金融供给。</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器械扩产</w:t>
            </w:r>
          </w:p>
        </w:tc>
        <w:tc>
          <w:tcPr>
            <w:tcW w:type="dxa" w:w="3969"/>
          </w:tcPr>
          <w:p>
            <w:pPr>
              <w:spacing w:lineRule="exact" w:line="600"/>
              <w:jc w:val="center"/>
            </w:pPr>
            <w:r/>
            <w:r>
              <w:rPr>
                <w:rFonts w:ascii="仿宋_GB2312" w:hAnsi="仿宋_GB2312" w:eastAsia="仿宋_GB2312"/>
                <w:b w:val="0"/>
                <w:color w:val="000000"/>
                <w:sz w:val="32"/>
              </w:rPr>
              <w:t>洁净车间/注册</w:t>
            </w:r>
          </w:p>
        </w:tc>
        <w:tc>
          <w:tcPr>
            <w:tcW w:type="dxa" w:w="3118"/>
          </w:tcPr>
          <w:p>
            <w:pPr>
              <w:spacing w:lineRule="exact" w:line="600"/>
              <w:jc w:val="center"/>
            </w:pPr>
            <w:r/>
            <w:r>
              <w:rPr>
                <w:rFonts w:ascii="仿宋_GB2312" w:hAnsi="仿宋_GB2312" w:eastAsia="仿宋_GB2312"/>
                <w:b w:val="0"/>
                <w:color w:val="000000"/>
                <w:sz w:val="32"/>
              </w:rPr>
              <w:t>科创贷、项目贷</w:t>
            </w:r>
          </w:p>
        </w:tc>
      </w:tr>
      <w:tr>
        <w:tc>
          <w:tcPr>
            <w:tcW w:type="dxa" w:w="1984"/>
          </w:tcPr>
          <w:p>
            <w:pPr>
              <w:spacing w:lineRule="exact" w:line="600"/>
              <w:jc w:val="center"/>
            </w:pPr>
            <w:r/>
            <w:r>
              <w:rPr>
                <w:rFonts w:ascii="仿宋_GB2312" w:hAnsi="仿宋_GB2312" w:eastAsia="仿宋_GB2312"/>
                <w:b w:val="0"/>
                <w:color w:val="000000"/>
                <w:sz w:val="32"/>
              </w:rPr>
              <w:t>中标履约</w:t>
            </w:r>
          </w:p>
        </w:tc>
        <w:tc>
          <w:tcPr>
            <w:tcW w:type="dxa" w:w="3969"/>
          </w:tcPr>
          <w:p>
            <w:pPr>
              <w:spacing w:lineRule="exact" w:line="600"/>
              <w:jc w:val="center"/>
            </w:pPr>
            <w:r/>
            <w:r>
              <w:rPr>
                <w:rFonts w:ascii="仿宋_GB2312" w:hAnsi="仿宋_GB2312" w:eastAsia="仿宋_GB2312"/>
                <w:b w:val="0"/>
                <w:color w:val="000000"/>
                <w:sz w:val="32"/>
              </w:rPr>
              <w:t>1215万维保等</w:t>
            </w:r>
          </w:p>
        </w:tc>
        <w:tc>
          <w:tcPr>
            <w:tcW w:type="dxa" w:w="3118"/>
          </w:tcPr>
          <w:p>
            <w:pPr>
              <w:spacing w:lineRule="exact" w:line="600"/>
              <w:jc w:val="center"/>
            </w:pPr>
            <w:r/>
            <w:r>
              <w:rPr>
                <w:rFonts w:ascii="仿宋_GB2312" w:hAnsi="仿宋_GB2312" w:eastAsia="仿宋_GB2312"/>
                <w:b w:val="0"/>
                <w:color w:val="000000"/>
                <w:sz w:val="32"/>
              </w:rPr>
              <w:t>订单融资、保函</w:t>
            </w:r>
          </w:p>
        </w:tc>
      </w:tr>
      <w:tr>
        <w:tc>
          <w:tcPr>
            <w:tcW w:type="dxa" w:w="1984"/>
          </w:tcPr>
          <w:p>
            <w:pPr>
              <w:spacing w:lineRule="exact" w:line="600"/>
              <w:jc w:val="center"/>
            </w:pPr>
            <w:r/>
            <w:r>
              <w:rPr>
                <w:rFonts w:ascii="仿宋_GB2312" w:hAnsi="仿宋_GB2312" w:eastAsia="仿宋_GB2312"/>
                <w:b w:val="0"/>
                <w:color w:val="000000"/>
                <w:sz w:val="32"/>
              </w:rPr>
              <w:t>盐品品牌</w:t>
            </w:r>
          </w:p>
        </w:tc>
        <w:tc>
          <w:tcPr>
            <w:tcW w:type="dxa" w:w="3969"/>
          </w:tcPr>
          <w:p>
            <w:pPr>
              <w:spacing w:lineRule="exact" w:line="600"/>
              <w:jc w:val="center"/>
            </w:pPr>
            <w:r/>
            <w:r>
              <w:rPr>
                <w:rFonts w:ascii="仿宋_GB2312" w:hAnsi="仿宋_GB2312" w:eastAsia="仿宋_GB2312"/>
                <w:b w:val="0"/>
                <w:color w:val="000000"/>
                <w:sz w:val="32"/>
              </w:rPr>
              <w:t>产线+渠道</w:t>
            </w:r>
          </w:p>
        </w:tc>
        <w:tc>
          <w:tcPr>
            <w:tcW w:type="dxa" w:w="3118"/>
          </w:tcPr>
          <w:p>
            <w:pPr>
              <w:spacing w:lineRule="exact" w:line="600"/>
              <w:jc w:val="center"/>
            </w:pPr>
            <w:r/>
            <w:r>
              <w:rPr>
                <w:rFonts w:ascii="仿宋_GB2312" w:hAnsi="仿宋_GB2312" w:eastAsia="仿宋_GB2312"/>
                <w:b w:val="0"/>
                <w:color w:val="000000"/>
                <w:sz w:val="32"/>
              </w:rPr>
              <w:t>供应链金融</w:t>
            </w:r>
          </w:p>
        </w:tc>
      </w:tr>
      <w:tr>
        <w:tc>
          <w:tcPr>
            <w:tcW w:type="dxa" w:w="1984"/>
          </w:tcPr>
          <w:p>
            <w:pPr>
              <w:spacing w:lineRule="exact" w:line="600"/>
              <w:jc w:val="center"/>
            </w:pPr>
            <w:r/>
            <w:r>
              <w:rPr>
                <w:rFonts w:ascii="仿宋_GB2312" w:hAnsi="仿宋_GB2312" w:eastAsia="仿宋_GB2312"/>
                <w:b w:val="0"/>
                <w:color w:val="000000"/>
                <w:sz w:val="32"/>
              </w:rPr>
              <w:t>平台基金</w:t>
            </w:r>
          </w:p>
        </w:tc>
        <w:tc>
          <w:tcPr>
            <w:tcW w:type="dxa" w:w="3969"/>
          </w:tcPr>
          <w:p>
            <w:pPr>
              <w:spacing w:lineRule="exact" w:line="600"/>
              <w:jc w:val="center"/>
            </w:pPr>
            <w:r/>
            <w:r>
              <w:rPr>
                <w:rFonts w:ascii="仿宋_GB2312" w:hAnsi="仿宋_GB2312" w:eastAsia="仿宋_GB2312"/>
                <w:b w:val="0"/>
                <w:color w:val="000000"/>
                <w:sz w:val="32"/>
              </w:rPr>
              <w:t>研发检测平台</w:t>
            </w:r>
          </w:p>
        </w:tc>
        <w:tc>
          <w:tcPr>
            <w:tcW w:type="dxa" w:w="3118"/>
          </w:tcPr>
          <w:p>
            <w:pPr>
              <w:spacing w:lineRule="exact" w:line="600"/>
              <w:jc w:val="center"/>
            </w:pPr>
            <w:r/>
            <w:r>
              <w:rPr>
                <w:rFonts w:ascii="仿宋_GB2312" w:hAnsi="仿宋_GB2312" w:eastAsia="仿宋_GB2312"/>
                <w:b w:val="0"/>
                <w:color w:val="000000"/>
                <w:sz w:val="32"/>
              </w:rPr>
              <w:t>专项债、产业基金</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大汉医疗股份有限公司（及相关主体）：2006年成立，注册资本6600万元，员工63人，为省级专精特新、高新技术企业，主营医用中心供氧/吸引系统、呼吸麻醉急救器械与医疗工程（手术室、ICU净化等），曾中标山东省立医院正负压设备381万元、鄄城县人民医院维保1215万元项目，是肥城医养健康产品制造环节的技术标杆。来源：天眼查、招投标公告、肥城医养健康集群资料。</w:t>
      </w:r>
    </w:p>
    <w:p>
      <w:pPr>
        <w:spacing w:lineRule="exact" w:line="600" w:before="0" w:after="0"/>
        <w:ind w:firstLine="420"/>
        <w:jc w:val="both"/>
      </w:pPr>
      <w:r>
        <w:rPr>
          <w:rFonts w:ascii="仿宋_GB2312" w:hAnsi="仿宋_GB2312" w:eastAsia="仿宋_GB2312"/>
          <w:b w:val="0"/>
          <w:color w:val="000000"/>
          <w:sz w:val="32"/>
        </w:rPr>
        <w:t>肥城精制盐厂（健康盐延伸）：在240万吨/年制盐产能基础上，依托深井岩盐资源具备向药用氯化钠、健康盐、矿物盐洗护延伸的资力，是「岩盐—健康消费品」链条的潜在龙头，可协同本地盐健康消费品加工点做大康养产品线。来源：肥城市政府官网、海晶/精制盐厂公开资料。</w:t>
      </w:r>
    </w:p>
    <w:p>
      <w:pPr>
        <w:spacing w:lineRule="exact" w:line="600" w:before="0" w:after="0"/>
        <w:ind w:firstLine="420"/>
        <w:jc w:val="both"/>
      </w:pPr>
      <w:r>
        <w:rPr>
          <w:rFonts w:ascii="仿宋_GB2312" w:hAnsi="仿宋_GB2312" w:eastAsia="仿宋_GB2312"/>
          <w:b w:val="0"/>
          <w:color w:val="000000"/>
          <w:sz w:val="32"/>
        </w:rPr>
        <w:t>肥城本地盐健康消费品加工与代工企业群：以深井岩盐为原料开发热敷盐袋、足浴盐、沐浴盐、盐灯、矿物盐洗护等，借「岩盐医养健康」区域品牌与电商渠道拓展，目前以贴牌与原料级为主，正朝团体标准与自主品牌升级。来源：肥城产业集群规划、行业分析。</w:t>
      </w:r>
    </w:p>
    <w:p>
      <w:pPr>
        <w:spacing w:lineRule="exact" w:line="600" w:before="0" w:after="0"/>
        <w:jc w:val="left"/>
      </w:pPr>
      <w:r>
        <w:rPr>
          <w:rFonts w:ascii="仿宋_GB2312" w:hAnsi="仿宋_GB2312" w:eastAsia="仿宋_GB2312"/>
          <w:b w:val="0"/>
          <w:color w:val="000000"/>
          <w:sz w:val="28"/>
        </w:rPr>
        <w:t>主要数据来源：肥城市人民政府官网（医养结合创新引领县、11家医养结合机构、长护险19家等公开报道）；山东省人民政府办公厅《山东省养老服务高质量发展三年行动计划（2024—2026年）》（鲁政办字〔2023〕207号）；大众日报/大众网关于肥城医养结合「五种模式」典型案例报道；山东大汉医疗公开信息（天眼查：注册资本6600万、员工63人、省级专精特新、高企）；招投标公告（山东省立医院正负压设备381万元、鄄城县人民医院维保1215万元）；天津长芦海晶集团及肥城精制盐厂公开资料（岩盐资源与 health 延伸潜力）</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