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山东肥城（岩盐医养健康）特色产业集群</w:t>
      </w:r>
    </w:p>
    <w:p>
      <w:pPr>
        <w:spacing w:lineRule="exact" w:line="600" w:before="240" w:after="240"/>
        <w:ind w:firstLine="0"/>
        <w:jc w:val="center"/>
      </w:pPr>
      <w:r>
        <w:rPr>
          <w:rFonts w:ascii="方正小标宋简体" w:hAnsi="方正小标宋简体" w:eastAsia="方正小标宋简体"/>
          <w:b w:val="0"/>
          <w:color w:val="000000"/>
          <w:sz w:val="44"/>
        </w:rPr>
        <w:t>医养健康服务行业深度分析报告</w:t>
      </w:r>
    </w:p>
    <w:p>
      <w:pPr>
        <w:spacing w:lineRule="exact" w:line="600" w:before="0" w:after="0"/>
        <w:jc w:val="left"/>
      </w:pPr>
      <w:r>
        <w:rPr>
          <w:rFonts w:ascii="仿宋_GB2312" w:hAnsi="仿宋_GB2312" w:eastAsia="仿宋_GB2312"/>
          <w:b w:val="0"/>
          <w:color w:val="000000"/>
          <w:sz w:val="28"/>
        </w:rPr>
        <w:t>本报告聚焦肥城岩盐医养健康集群的医养健康服务环节，包括医养结合机构、居家社区养老、长护险、家庭医生与康养文旅等。数据来源于肥城市政府官网、山东省民政厅/卫健委公开政策、大众日报关于肥城医养结合创新引领县典型案例报道。数据截至2024—2025年。</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医养健康服务是肥城岩盐医养健康特色产业集群的需求终端与场景入口，也是「岩盐—健康制造—健康服务」闭环的落脚点。肥城以创建山东省医养结合高质量发展创新引领县为抓手，构建「居家医养、长护险、两院一体、社会兴办、互联网+护理」五种模式。全市组建家庭医生团队268个、服务点605处，65岁以上老年人医养结合服务覆盖率达94.3%、家医签约率94.8%；泰安率先实行「1+1」长护险，19家医疗机构为定点、累计拨付3300余万元、4300余名失能家庭受益；14家卫生院与养老机构签约「两院一体」；两证齐全医养结合机构11家（社会兴办9家），山医康养中心200张、子梅护理院200张失能特困养护床位。政策上《山东省养老服务高质量发展三年行动计划（2024—2026年）》与普惠性养老机构认定办法（2024年9月施行）提供制度保障。肥城还推进「红色医养」社区治理，争创全省养老服务高质量发展提升行动试点市。该环节需求刚性、政策支持强，但专业护理人才、支付能力与农村养老仍是短板，需以盐穴储能等产业反哺、撬动银发经济服务升级。</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老人医养服务覆盖率</w:t>
            </w:r>
          </w:p>
        </w:tc>
        <w:tc>
          <w:tcPr>
            <w:tcW w:type="dxa" w:w="2835"/>
          </w:tcPr>
          <w:p>
            <w:pPr>
              <w:spacing w:lineRule="exact" w:line="600"/>
              <w:jc w:val="center"/>
            </w:pPr>
            <w:r/>
            <w:r>
              <w:rPr>
                <w:rFonts w:ascii="仿宋_GB2312" w:hAnsi="仿宋_GB2312" w:eastAsia="仿宋_GB2312"/>
                <w:b w:val="0"/>
                <w:color w:val="000000"/>
                <w:sz w:val="32"/>
              </w:rPr>
              <w:t>94.3%（65岁以上）</w:t>
            </w:r>
          </w:p>
        </w:tc>
        <w:tc>
          <w:tcPr>
            <w:tcW w:type="dxa" w:w="3118"/>
          </w:tcPr>
          <w:p>
            <w:pPr>
              <w:spacing w:lineRule="exact" w:line="600"/>
              <w:jc w:val="center"/>
            </w:pPr>
            <w:r/>
            <w:r>
              <w:rPr>
                <w:rFonts w:ascii="仿宋_GB2312" w:hAnsi="仿宋_GB2312" w:eastAsia="仿宋_GB2312"/>
                <w:b w:val="0"/>
                <w:color w:val="000000"/>
                <w:sz w:val="32"/>
              </w:rPr>
              <w:t>肥城医养案例</w:t>
            </w:r>
          </w:p>
        </w:tc>
      </w:tr>
      <w:tr>
        <w:tc>
          <w:tcPr>
            <w:tcW w:type="dxa" w:w="2835"/>
          </w:tcPr>
          <w:p>
            <w:pPr>
              <w:spacing w:lineRule="exact" w:line="600"/>
              <w:jc w:val="center"/>
            </w:pPr>
            <w:r/>
            <w:r>
              <w:rPr>
                <w:rFonts w:ascii="仿宋_GB2312" w:hAnsi="仿宋_GB2312" w:eastAsia="仿宋_GB2312"/>
                <w:b w:val="0"/>
                <w:color w:val="000000"/>
                <w:sz w:val="32"/>
              </w:rPr>
              <w:t>家医签约率</w:t>
            </w:r>
          </w:p>
        </w:tc>
        <w:tc>
          <w:tcPr>
            <w:tcW w:type="dxa" w:w="2835"/>
          </w:tcPr>
          <w:p>
            <w:pPr>
              <w:spacing w:lineRule="exact" w:line="600"/>
              <w:jc w:val="center"/>
            </w:pPr>
            <w:r/>
            <w:r>
              <w:rPr>
                <w:rFonts w:ascii="仿宋_GB2312" w:hAnsi="仿宋_GB2312" w:eastAsia="仿宋_GB2312"/>
                <w:b w:val="0"/>
                <w:color w:val="000000"/>
                <w:sz w:val="32"/>
              </w:rPr>
              <w:t>94.8%</w:t>
            </w:r>
          </w:p>
        </w:tc>
        <w:tc>
          <w:tcPr>
            <w:tcW w:type="dxa" w:w="3118"/>
          </w:tcPr>
          <w:p>
            <w:pPr>
              <w:spacing w:lineRule="exact" w:line="600"/>
              <w:jc w:val="center"/>
            </w:pPr>
            <w:r/>
            <w:r>
              <w:rPr>
                <w:rFonts w:ascii="仿宋_GB2312" w:hAnsi="仿宋_GB2312" w:eastAsia="仿宋_GB2312"/>
                <w:b w:val="0"/>
                <w:color w:val="000000"/>
                <w:sz w:val="32"/>
              </w:rPr>
              <w:t>肥城医养案例</w:t>
            </w:r>
          </w:p>
        </w:tc>
      </w:tr>
      <w:tr>
        <w:tc>
          <w:tcPr>
            <w:tcW w:type="dxa" w:w="2835"/>
          </w:tcPr>
          <w:p>
            <w:pPr>
              <w:spacing w:lineRule="exact" w:line="600"/>
              <w:jc w:val="center"/>
            </w:pPr>
            <w:r/>
            <w:r>
              <w:rPr>
                <w:rFonts w:ascii="仿宋_GB2312" w:hAnsi="仿宋_GB2312" w:eastAsia="仿宋_GB2312"/>
                <w:b w:val="0"/>
                <w:color w:val="000000"/>
                <w:sz w:val="32"/>
              </w:rPr>
              <w:t>家庭医生团队</w:t>
            </w:r>
          </w:p>
        </w:tc>
        <w:tc>
          <w:tcPr>
            <w:tcW w:type="dxa" w:w="2835"/>
          </w:tcPr>
          <w:p>
            <w:pPr>
              <w:spacing w:lineRule="exact" w:line="600"/>
              <w:jc w:val="center"/>
            </w:pPr>
            <w:r/>
            <w:r>
              <w:rPr>
                <w:rFonts w:ascii="仿宋_GB2312" w:hAnsi="仿宋_GB2312" w:eastAsia="仿宋_GB2312"/>
                <w:b w:val="0"/>
                <w:color w:val="000000"/>
                <w:sz w:val="32"/>
              </w:rPr>
              <w:t>268个/服务点605处</w:t>
            </w:r>
          </w:p>
        </w:tc>
        <w:tc>
          <w:tcPr>
            <w:tcW w:type="dxa" w:w="3118"/>
          </w:tcPr>
          <w:p>
            <w:pPr>
              <w:spacing w:lineRule="exact" w:line="600"/>
              <w:jc w:val="center"/>
            </w:pPr>
            <w:r/>
            <w:r>
              <w:rPr>
                <w:rFonts w:ascii="仿宋_GB2312" w:hAnsi="仿宋_GB2312" w:eastAsia="仿宋_GB2312"/>
                <w:b w:val="0"/>
                <w:color w:val="000000"/>
                <w:sz w:val="32"/>
              </w:rPr>
              <w:t>肥城医养案例</w:t>
            </w:r>
          </w:p>
        </w:tc>
      </w:tr>
      <w:tr>
        <w:tc>
          <w:tcPr>
            <w:tcW w:type="dxa" w:w="2835"/>
          </w:tcPr>
          <w:p>
            <w:pPr>
              <w:spacing w:lineRule="exact" w:line="600"/>
              <w:jc w:val="center"/>
            </w:pPr>
            <w:r/>
            <w:r>
              <w:rPr>
                <w:rFonts w:ascii="仿宋_GB2312" w:hAnsi="仿宋_GB2312" w:eastAsia="仿宋_GB2312"/>
                <w:b w:val="0"/>
                <w:color w:val="000000"/>
                <w:sz w:val="32"/>
              </w:rPr>
              <w:t>互联网+护理</w:t>
            </w:r>
          </w:p>
        </w:tc>
        <w:tc>
          <w:tcPr>
            <w:tcW w:type="dxa" w:w="2835"/>
          </w:tcPr>
          <w:p>
            <w:pPr>
              <w:spacing w:lineRule="exact" w:line="600"/>
              <w:jc w:val="center"/>
            </w:pPr>
            <w:r/>
            <w:r>
              <w:rPr>
                <w:rFonts w:ascii="仿宋_GB2312" w:hAnsi="仿宋_GB2312" w:eastAsia="仿宋_GB2312"/>
                <w:b w:val="0"/>
                <w:color w:val="000000"/>
                <w:sz w:val="32"/>
              </w:rPr>
              <w:t>310人/20项</w:t>
            </w:r>
          </w:p>
        </w:tc>
        <w:tc>
          <w:tcPr>
            <w:tcW w:type="dxa" w:w="3118"/>
          </w:tcPr>
          <w:p>
            <w:pPr>
              <w:spacing w:lineRule="exact" w:line="600"/>
              <w:jc w:val="center"/>
            </w:pPr>
            <w:r/>
            <w:r>
              <w:rPr>
                <w:rFonts w:ascii="仿宋_GB2312" w:hAnsi="仿宋_GB2312" w:eastAsia="仿宋_GB2312"/>
                <w:b w:val="0"/>
                <w:color w:val="000000"/>
                <w:sz w:val="32"/>
              </w:rPr>
              <w:t>肥城医养案例</w:t>
            </w:r>
          </w:p>
        </w:tc>
      </w:tr>
      <w:tr>
        <w:tc>
          <w:tcPr>
            <w:tcW w:type="dxa" w:w="2835"/>
          </w:tcPr>
          <w:p>
            <w:pPr>
              <w:spacing w:lineRule="exact" w:line="600"/>
              <w:jc w:val="center"/>
            </w:pPr>
            <w:r/>
            <w:r>
              <w:rPr>
                <w:rFonts w:ascii="仿宋_GB2312" w:hAnsi="仿宋_GB2312" w:eastAsia="仿宋_GB2312"/>
                <w:b w:val="0"/>
                <w:color w:val="000000"/>
                <w:sz w:val="32"/>
              </w:rPr>
              <w:t>长护险定点</w:t>
            </w:r>
          </w:p>
        </w:tc>
        <w:tc>
          <w:tcPr>
            <w:tcW w:type="dxa" w:w="2835"/>
          </w:tcPr>
          <w:p>
            <w:pPr>
              <w:spacing w:lineRule="exact" w:line="600"/>
              <w:jc w:val="center"/>
            </w:pPr>
            <w:r/>
            <w:r>
              <w:rPr>
                <w:rFonts w:ascii="仿宋_GB2312" w:hAnsi="仿宋_GB2312" w:eastAsia="仿宋_GB2312"/>
                <w:b w:val="0"/>
                <w:color w:val="000000"/>
                <w:sz w:val="32"/>
              </w:rPr>
              <w:t>19家/拨付3300余万</w:t>
            </w:r>
          </w:p>
        </w:tc>
        <w:tc>
          <w:tcPr>
            <w:tcW w:type="dxa" w:w="3118"/>
          </w:tcPr>
          <w:p>
            <w:pPr>
              <w:spacing w:lineRule="exact" w:line="600"/>
              <w:jc w:val="center"/>
            </w:pPr>
            <w:r/>
            <w:r>
              <w:rPr>
                <w:rFonts w:ascii="仿宋_GB2312" w:hAnsi="仿宋_GB2312" w:eastAsia="仿宋_GB2312"/>
                <w:b w:val="0"/>
                <w:color w:val="000000"/>
                <w:sz w:val="32"/>
              </w:rPr>
              <w:t>肥城/泰安</w:t>
            </w:r>
          </w:p>
        </w:tc>
      </w:tr>
      <w:tr>
        <w:tc>
          <w:tcPr>
            <w:tcW w:type="dxa" w:w="2835"/>
          </w:tcPr>
          <w:p>
            <w:pPr>
              <w:spacing w:lineRule="exact" w:line="600"/>
              <w:jc w:val="center"/>
            </w:pPr>
            <w:r/>
            <w:r>
              <w:rPr>
                <w:rFonts w:ascii="仿宋_GB2312" w:hAnsi="仿宋_GB2312" w:eastAsia="仿宋_GB2312"/>
                <w:b w:val="0"/>
                <w:color w:val="000000"/>
                <w:sz w:val="32"/>
              </w:rPr>
              <w:t>长护险受益</w:t>
            </w:r>
          </w:p>
        </w:tc>
        <w:tc>
          <w:tcPr>
            <w:tcW w:type="dxa" w:w="2835"/>
          </w:tcPr>
          <w:p>
            <w:pPr>
              <w:spacing w:lineRule="exact" w:line="600"/>
              <w:jc w:val="center"/>
            </w:pPr>
            <w:r/>
            <w:r>
              <w:rPr>
                <w:rFonts w:ascii="仿宋_GB2312" w:hAnsi="仿宋_GB2312" w:eastAsia="仿宋_GB2312"/>
                <w:b w:val="0"/>
                <w:color w:val="000000"/>
                <w:sz w:val="32"/>
              </w:rPr>
              <w:t>4300余家庭</w:t>
            </w:r>
          </w:p>
        </w:tc>
        <w:tc>
          <w:tcPr>
            <w:tcW w:type="dxa" w:w="3118"/>
          </w:tcPr>
          <w:p>
            <w:pPr>
              <w:spacing w:lineRule="exact" w:line="600"/>
              <w:jc w:val="center"/>
            </w:pPr>
            <w:r/>
            <w:r>
              <w:rPr>
                <w:rFonts w:ascii="仿宋_GB2312" w:hAnsi="仿宋_GB2312" w:eastAsia="仿宋_GB2312"/>
                <w:b w:val="0"/>
                <w:color w:val="000000"/>
                <w:sz w:val="32"/>
              </w:rPr>
              <w:t>肥城/泰安</w:t>
            </w:r>
          </w:p>
        </w:tc>
      </w:tr>
      <w:tr>
        <w:tc>
          <w:tcPr>
            <w:tcW w:type="dxa" w:w="2835"/>
          </w:tcPr>
          <w:p>
            <w:pPr>
              <w:spacing w:lineRule="exact" w:line="600"/>
              <w:jc w:val="center"/>
            </w:pPr>
            <w:r/>
            <w:r>
              <w:rPr>
                <w:rFonts w:ascii="仿宋_GB2312" w:hAnsi="仿宋_GB2312" w:eastAsia="仿宋_GB2312"/>
                <w:b w:val="0"/>
                <w:color w:val="000000"/>
                <w:sz w:val="32"/>
              </w:rPr>
              <w:t>两证齐全机构</w:t>
            </w:r>
          </w:p>
        </w:tc>
        <w:tc>
          <w:tcPr>
            <w:tcW w:type="dxa" w:w="2835"/>
          </w:tcPr>
          <w:p>
            <w:pPr>
              <w:spacing w:lineRule="exact" w:line="600"/>
              <w:jc w:val="center"/>
            </w:pPr>
            <w:r/>
            <w:r>
              <w:rPr>
                <w:rFonts w:ascii="仿宋_GB2312" w:hAnsi="仿宋_GB2312" w:eastAsia="仿宋_GB2312"/>
                <w:b w:val="0"/>
                <w:color w:val="000000"/>
                <w:sz w:val="32"/>
              </w:rPr>
              <w:t>11家（社会兴办9家）</w:t>
            </w:r>
          </w:p>
        </w:tc>
        <w:tc>
          <w:tcPr>
            <w:tcW w:type="dxa" w:w="3118"/>
          </w:tcPr>
          <w:p>
            <w:pPr>
              <w:spacing w:lineRule="exact" w:line="600"/>
              <w:jc w:val="center"/>
            </w:pPr>
            <w:r/>
            <w:r>
              <w:rPr>
                <w:rFonts w:ascii="仿宋_GB2312" w:hAnsi="仿宋_GB2312" w:eastAsia="仿宋_GB2312"/>
                <w:b w:val="0"/>
                <w:color w:val="000000"/>
                <w:sz w:val="32"/>
              </w:rPr>
              <w:t>肥城医养案例</w:t>
            </w:r>
          </w:p>
        </w:tc>
      </w:tr>
      <w:tr>
        <w:tc>
          <w:tcPr>
            <w:tcW w:type="dxa" w:w="2835"/>
          </w:tcPr>
          <w:p>
            <w:pPr>
              <w:spacing w:lineRule="exact" w:line="600"/>
              <w:jc w:val="center"/>
            </w:pPr>
            <w:r/>
            <w:r>
              <w:rPr>
                <w:rFonts w:ascii="仿宋_GB2312" w:hAnsi="仿宋_GB2312" w:eastAsia="仿宋_GB2312"/>
                <w:b w:val="0"/>
                <w:color w:val="000000"/>
                <w:sz w:val="32"/>
              </w:rPr>
              <w:t>两院一体</w:t>
            </w:r>
          </w:p>
        </w:tc>
        <w:tc>
          <w:tcPr>
            <w:tcW w:type="dxa" w:w="2835"/>
          </w:tcPr>
          <w:p>
            <w:pPr>
              <w:spacing w:lineRule="exact" w:line="600"/>
              <w:jc w:val="center"/>
            </w:pPr>
            <w:r/>
            <w:r>
              <w:rPr>
                <w:rFonts w:ascii="仿宋_GB2312" w:hAnsi="仿宋_GB2312" w:eastAsia="仿宋_GB2312"/>
                <w:b w:val="0"/>
                <w:color w:val="000000"/>
                <w:sz w:val="32"/>
              </w:rPr>
              <w:t>14家卫生院签约</w:t>
            </w:r>
          </w:p>
        </w:tc>
        <w:tc>
          <w:tcPr>
            <w:tcW w:type="dxa" w:w="3118"/>
          </w:tcPr>
          <w:p>
            <w:pPr>
              <w:spacing w:lineRule="exact" w:line="600"/>
              <w:jc w:val="center"/>
            </w:pPr>
            <w:r/>
            <w:r>
              <w:rPr>
                <w:rFonts w:ascii="仿宋_GB2312" w:hAnsi="仿宋_GB2312" w:eastAsia="仿宋_GB2312"/>
                <w:b w:val="0"/>
                <w:color w:val="000000"/>
                <w:sz w:val="32"/>
              </w:rPr>
              <w:t>肥城医养案例</w:t>
            </w:r>
          </w:p>
        </w:tc>
      </w:tr>
      <w:tr>
        <w:tc>
          <w:tcPr>
            <w:tcW w:type="dxa" w:w="2835"/>
          </w:tcPr>
          <w:p>
            <w:pPr>
              <w:spacing w:lineRule="exact" w:line="600"/>
              <w:jc w:val="center"/>
            </w:pPr>
            <w:r/>
            <w:r>
              <w:rPr>
                <w:rFonts w:ascii="仿宋_GB2312" w:hAnsi="仿宋_GB2312" w:eastAsia="仿宋_GB2312"/>
                <w:b w:val="0"/>
                <w:color w:val="000000"/>
                <w:sz w:val="32"/>
              </w:rPr>
              <w:t>失能评估</w:t>
            </w:r>
          </w:p>
        </w:tc>
        <w:tc>
          <w:tcPr>
            <w:tcW w:type="dxa" w:w="2835"/>
          </w:tcPr>
          <w:p>
            <w:pPr>
              <w:spacing w:lineRule="exact" w:line="600"/>
              <w:jc w:val="center"/>
            </w:pPr>
            <w:r/>
            <w:r>
              <w:rPr>
                <w:rFonts w:ascii="仿宋_GB2312" w:hAnsi="仿宋_GB2312" w:eastAsia="仿宋_GB2312"/>
                <w:b w:val="0"/>
                <w:color w:val="000000"/>
                <w:sz w:val="32"/>
              </w:rPr>
              <w:t>1.2万人/100%</w:t>
            </w:r>
          </w:p>
        </w:tc>
        <w:tc>
          <w:tcPr>
            <w:tcW w:type="dxa" w:w="3118"/>
          </w:tcPr>
          <w:p>
            <w:pPr>
              <w:spacing w:lineRule="exact" w:line="600"/>
              <w:jc w:val="center"/>
            </w:pPr>
            <w:r/>
            <w:r>
              <w:rPr>
                <w:rFonts w:ascii="仿宋_GB2312" w:hAnsi="仿宋_GB2312" w:eastAsia="仿宋_GB2312"/>
                <w:b w:val="0"/>
                <w:color w:val="000000"/>
                <w:sz w:val="32"/>
              </w:rPr>
              <w:t>肥城医养案例</w:t>
            </w:r>
          </w:p>
        </w:tc>
      </w:tr>
      <w:tr>
        <w:tc>
          <w:tcPr>
            <w:tcW w:type="dxa" w:w="2835"/>
          </w:tcPr>
          <w:p>
            <w:pPr>
              <w:spacing w:lineRule="exact" w:line="600"/>
              <w:jc w:val="center"/>
            </w:pPr>
            <w:r/>
            <w:r>
              <w:rPr>
                <w:rFonts w:ascii="仿宋_GB2312" w:hAnsi="仿宋_GB2312" w:eastAsia="仿宋_GB2312"/>
                <w:b w:val="0"/>
                <w:color w:val="000000"/>
                <w:sz w:val="32"/>
              </w:rPr>
              <w:t>护理型补贴</w:t>
            </w:r>
          </w:p>
        </w:tc>
        <w:tc>
          <w:tcPr>
            <w:tcW w:type="dxa" w:w="2835"/>
          </w:tcPr>
          <w:p>
            <w:pPr>
              <w:spacing w:lineRule="exact" w:line="600"/>
              <w:jc w:val="center"/>
            </w:pPr>
            <w:r/>
            <w:r>
              <w:rPr>
                <w:rFonts w:ascii="仿宋_GB2312" w:hAnsi="仿宋_GB2312" w:eastAsia="仿宋_GB2312"/>
                <w:b w:val="0"/>
                <w:color w:val="000000"/>
                <w:sz w:val="32"/>
              </w:rPr>
              <w:t>371万元（2家机构）</w:t>
            </w:r>
          </w:p>
        </w:tc>
        <w:tc>
          <w:tcPr>
            <w:tcW w:type="dxa" w:w="3118"/>
          </w:tcPr>
          <w:p>
            <w:pPr>
              <w:spacing w:lineRule="exact" w:line="600"/>
              <w:jc w:val="center"/>
            </w:pPr>
            <w:r/>
            <w:r>
              <w:rPr>
                <w:rFonts w:ascii="仿宋_GB2312" w:hAnsi="仿宋_GB2312" w:eastAsia="仿宋_GB2312"/>
                <w:b w:val="0"/>
                <w:color w:val="000000"/>
                <w:sz w:val="32"/>
              </w:rPr>
              <w:t>肥城医养案例</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（一）老龄化与政策红利</w:t>
      </w:r>
    </w:p>
    <w:p>
      <w:pPr>
        <w:spacing w:lineRule="exact" w:line="600" w:before="0" w:after="0"/>
        <w:ind w:firstLine="420"/>
        <w:jc w:val="both"/>
      </w:pPr>
      <w:r>
        <w:rPr>
          <w:rFonts w:ascii="仿宋_GB2312" w:hAnsi="仿宋_GB2312" w:eastAsia="仿宋_GB2312"/>
          <w:b w:val="0"/>
          <w:color w:val="000000"/>
          <w:sz w:val="32"/>
        </w:rPr>
        <w:t>山东是全国老年人口第一大省，老龄化程度深、增速快，医养健康服务需求刚性且持续增长。省级《山东省养老服务高质量发展三年行动计划（2024—2026年）》（鲁政办字〔2023〕207号）明确到2026年养老机构护理型床位占比保持70%以上、医养结合服务覆盖率100%、发展智慧养老院100家，为县域医养服务提供顶层支撑。肥城把握机遇，争创医养结合高质量发展创新引领县与全省养老服务高质量发展提升行动试点市。</w:t>
      </w:r>
    </w:p>
    <w:p>
      <w:pPr>
        <w:spacing w:lineRule="exact" w:line="600" w:before="120" w:after="120"/>
        <w:ind w:firstLine="420"/>
        <w:jc w:val="left"/>
      </w:pPr>
      <w:r>
        <w:rPr>
          <w:rFonts w:ascii="楷体_GB2312" w:hAnsi="楷体_GB2312" w:eastAsia="楷体_GB2312"/>
          <w:b w:val="0"/>
          <w:color w:val="000000"/>
          <w:sz w:val="32"/>
        </w:rPr>
        <w:t>（二）区域服务定位</w:t>
      </w:r>
    </w:p>
    <w:p>
      <w:pPr>
        <w:spacing w:lineRule="exact" w:line="600" w:before="0" w:after="0"/>
        <w:ind w:firstLine="420"/>
        <w:jc w:val="both"/>
      </w:pPr>
      <w:r>
        <w:rPr>
          <w:rFonts w:ascii="仿宋_GB2312" w:hAnsi="仿宋_GB2312" w:eastAsia="仿宋_GB2312"/>
          <w:b w:val="0"/>
          <w:color w:val="000000"/>
          <w:sz w:val="32"/>
        </w:rPr>
        <w:t>肥城将医养健康服务作为「岩盐医养健康」集群的场景与流量入口，以「红色医养」社区治理为特色，推动国企建设重点养老项目与居家社区养老服务网络。在市级层面将医养结合纳入市政府常务会专题（2024年9月第26次常务会议），听取养老服务体系高质量发展汇报，体现高位推进。服务定位由兜底保障向普惠多元、由机构为主向「居家—社区—机构」协调转变。</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宏观要素</w:t>
            </w:r>
          </w:p>
        </w:tc>
        <w:tc>
          <w:tcPr>
            <w:tcW w:type="dxa" w:w="3969"/>
          </w:tcPr>
          <w:p>
            <w:pPr>
              <w:spacing w:lineRule="exact" w:line="600"/>
              <w:jc w:val="center"/>
            </w:pPr>
            <w:r/>
            <w:r>
              <w:rPr>
                <w:rFonts w:ascii="黑体" w:hAnsi="黑体" w:eastAsia="黑体"/>
                <w:b/>
                <w:color w:val="000000"/>
                <w:sz w:val="32"/>
              </w:rPr>
              <w:t>核心内容</w:t>
            </w:r>
          </w:p>
        </w:tc>
        <w:tc>
          <w:tcPr>
            <w:tcW w:type="dxa" w:w="2551"/>
          </w:tcPr>
          <w:p>
            <w:pPr>
              <w:spacing w:lineRule="exact" w:line="600"/>
              <w:jc w:val="center"/>
            </w:pPr>
            <w:r/>
            <w:r>
              <w:rPr>
                <w:rFonts w:ascii="黑体" w:hAnsi="黑体" w:eastAsia="黑体"/>
                <w:b/>
                <w:color w:val="000000"/>
                <w:sz w:val="32"/>
              </w:rPr>
              <w:t>来源/年份</w:t>
            </w:r>
          </w:p>
        </w:tc>
      </w:tr>
      <w:tr>
        <w:tc>
          <w:tcPr>
            <w:tcW w:type="dxa" w:w="2551"/>
          </w:tcPr>
          <w:p>
            <w:pPr>
              <w:spacing w:lineRule="exact" w:line="600"/>
              <w:jc w:val="center"/>
            </w:pPr>
            <w:r/>
            <w:r>
              <w:rPr>
                <w:rFonts w:ascii="仿宋_GB2312" w:hAnsi="仿宋_GB2312" w:eastAsia="仿宋_GB2312"/>
                <w:b w:val="0"/>
                <w:color w:val="000000"/>
                <w:sz w:val="32"/>
              </w:rPr>
              <w:t>省级三年行动计划</w:t>
            </w:r>
          </w:p>
        </w:tc>
        <w:tc>
          <w:tcPr>
            <w:tcW w:type="dxa" w:w="3969"/>
          </w:tcPr>
          <w:p>
            <w:pPr>
              <w:spacing w:lineRule="exact" w:line="600"/>
              <w:jc w:val="center"/>
            </w:pPr>
            <w:r/>
            <w:r>
              <w:rPr>
                <w:rFonts w:ascii="仿宋_GB2312" w:hAnsi="仿宋_GB2312" w:eastAsia="仿宋_GB2312"/>
                <w:b w:val="0"/>
                <w:color w:val="000000"/>
                <w:sz w:val="32"/>
              </w:rPr>
              <w:t>护理型床位70%+、医养覆盖100%</w:t>
            </w:r>
          </w:p>
        </w:tc>
        <w:tc>
          <w:tcPr>
            <w:tcW w:type="dxa" w:w="2551"/>
          </w:tcPr>
          <w:p>
            <w:pPr>
              <w:spacing w:lineRule="exact" w:line="600"/>
              <w:jc w:val="center"/>
            </w:pPr>
            <w:r/>
            <w:r>
              <w:rPr>
                <w:rFonts w:ascii="仿宋_GB2312" w:hAnsi="仿宋_GB2312" w:eastAsia="仿宋_GB2312"/>
                <w:b w:val="0"/>
                <w:color w:val="000000"/>
                <w:sz w:val="32"/>
              </w:rPr>
              <w:t>鲁政办字〔2023〕207号</w:t>
            </w:r>
          </w:p>
        </w:tc>
      </w:tr>
      <w:tr>
        <w:tc>
          <w:tcPr>
            <w:tcW w:type="dxa" w:w="2551"/>
          </w:tcPr>
          <w:p>
            <w:pPr>
              <w:spacing w:lineRule="exact" w:line="600"/>
              <w:jc w:val="center"/>
            </w:pPr>
            <w:r/>
            <w:r>
              <w:rPr>
                <w:rFonts w:ascii="仿宋_GB2312" w:hAnsi="仿宋_GB2312" w:eastAsia="仿宋_GB2312"/>
                <w:b w:val="0"/>
                <w:color w:val="000000"/>
                <w:sz w:val="32"/>
              </w:rPr>
              <w:t>创新引领县</w:t>
            </w:r>
          </w:p>
        </w:tc>
        <w:tc>
          <w:tcPr>
            <w:tcW w:type="dxa" w:w="3969"/>
          </w:tcPr>
          <w:p>
            <w:pPr>
              <w:spacing w:lineRule="exact" w:line="600"/>
              <w:jc w:val="center"/>
            </w:pPr>
            <w:r/>
            <w:r>
              <w:rPr>
                <w:rFonts w:ascii="仿宋_GB2312" w:hAnsi="仿宋_GB2312" w:eastAsia="仿宋_GB2312"/>
                <w:b w:val="0"/>
                <w:color w:val="000000"/>
                <w:sz w:val="32"/>
              </w:rPr>
              <w:t>肥城医养结合试点</w:t>
            </w:r>
          </w:p>
        </w:tc>
        <w:tc>
          <w:tcPr>
            <w:tcW w:type="dxa" w:w="2551"/>
          </w:tcPr>
          <w:p>
            <w:pPr>
              <w:spacing w:lineRule="exact" w:line="600"/>
              <w:jc w:val="center"/>
            </w:pPr>
            <w:r/>
            <w:r>
              <w:rPr>
                <w:rFonts w:ascii="仿宋_GB2312" w:hAnsi="仿宋_GB2312" w:eastAsia="仿宋_GB2312"/>
                <w:b w:val="0"/>
                <w:color w:val="000000"/>
                <w:sz w:val="32"/>
              </w:rPr>
              <w:t>省卫健委/肥城</w:t>
            </w:r>
          </w:p>
        </w:tc>
      </w:tr>
      <w:tr>
        <w:tc>
          <w:tcPr>
            <w:tcW w:type="dxa" w:w="2551"/>
          </w:tcPr>
          <w:p>
            <w:pPr>
              <w:spacing w:lineRule="exact" w:line="600"/>
              <w:jc w:val="center"/>
            </w:pPr>
            <w:r/>
            <w:r>
              <w:rPr>
                <w:rFonts w:ascii="仿宋_GB2312" w:hAnsi="仿宋_GB2312" w:eastAsia="仿宋_GB2312"/>
                <w:b w:val="0"/>
                <w:color w:val="000000"/>
                <w:sz w:val="32"/>
              </w:rPr>
              <w:t>红色医养</w:t>
            </w:r>
          </w:p>
        </w:tc>
        <w:tc>
          <w:tcPr>
            <w:tcW w:type="dxa" w:w="3969"/>
          </w:tcPr>
          <w:p>
            <w:pPr>
              <w:spacing w:lineRule="exact" w:line="600"/>
              <w:jc w:val="center"/>
            </w:pPr>
            <w:r/>
            <w:r>
              <w:rPr>
                <w:rFonts w:ascii="仿宋_GB2312" w:hAnsi="仿宋_GB2312" w:eastAsia="仿宋_GB2312"/>
                <w:b w:val="0"/>
                <w:color w:val="000000"/>
                <w:sz w:val="32"/>
              </w:rPr>
              <w:t>社区治理+国企养老</w:t>
            </w:r>
          </w:p>
        </w:tc>
        <w:tc>
          <w:tcPr>
            <w:tcW w:type="dxa" w:w="2551"/>
          </w:tcPr>
          <w:p>
            <w:pPr>
              <w:spacing w:lineRule="exact" w:line="600"/>
              <w:jc w:val="center"/>
            </w:pPr>
            <w:r/>
            <w:r>
              <w:rPr>
                <w:rFonts w:ascii="仿宋_GB2312" w:hAnsi="仿宋_GB2312" w:eastAsia="仿宋_GB2312"/>
                <w:b w:val="0"/>
                <w:color w:val="000000"/>
                <w:sz w:val="32"/>
              </w:rPr>
              <w:t>肥城市政府</w:t>
            </w:r>
          </w:p>
        </w:tc>
      </w:tr>
      <w:tr>
        <w:tc>
          <w:tcPr>
            <w:tcW w:type="dxa" w:w="2551"/>
          </w:tcPr>
          <w:p>
            <w:pPr>
              <w:spacing w:lineRule="exact" w:line="600"/>
              <w:jc w:val="center"/>
            </w:pPr>
            <w:r/>
            <w:r>
              <w:rPr>
                <w:rFonts w:ascii="仿宋_GB2312" w:hAnsi="仿宋_GB2312" w:eastAsia="仿宋_GB2312"/>
                <w:b w:val="0"/>
                <w:color w:val="000000"/>
                <w:sz w:val="32"/>
              </w:rPr>
              <w:t>常务会议</w:t>
            </w:r>
          </w:p>
        </w:tc>
        <w:tc>
          <w:tcPr>
            <w:tcW w:type="dxa" w:w="3969"/>
          </w:tcPr>
          <w:p>
            <w:pPr>
              <w:spacing w:lineRule="exact" w:line="600"/>
              <w:jc w:val="center"/>
            </w:pPr>
            <w:r/>
            <w:r>
              <w:rPr>
                <w:rFonts w:ascii="仿宋_GB2312" w:hAnsi="仿宋_GB2312" w:eastAsia="仿宋_GB2312"/>
                <w:b w:val="0"/>
                <w:color w:val="000000"/>
                <w:sz w:val="32"/>
              </w:rPr>
              <w:t>养老服务高质量发展专题</w:t>
            </w:r>
          </w:p>
        </w:tc>
        <w:tc>
          <w:tcPr>
            <w:tcW w:type="dxa" w:w="2551"/>
          </w:tcPr>
          <w:p>
            <w:pPr>
              <w:spacing w:lineRule="exact" w:line="600"/>
              <w:jc w:val="center"/>
            </w:pPr>
            <w:r/>
            <w:r>
              <w:rPr>
                <w:rFonts w:ascii="仿宋_GB2312" w:hAnsi="仿宋_GB2312" w:eastAsia="仿宋_GB2312"/>
                <w:b w:val="0"/>
                <w:color w:val="000000"/>
                <w:sz w:val="32"/>
              </w:rPr>
              <w:t>肥城19届26次，2024.9</w:t>
            </w:r>
          </w:p>
        </w:tc>
      </w:tr>
    </w:tbl>
    <w:p>
      <w:pPr>
        <w:spacing w:lineRule="exact" w:line="600" w:before="120" w:after="120"/>
        <w:ind w:firstLine="420"/>
        <w:jc w:val="left"/>
      </w:pPr>
      <w:r>
        <w:rPr>
          <w:rFonts w:ascii="楷体_GB2312" w:hAnsi="楷体_GB2312" w:eastAsia="楷体_GB2312"/>
          <w:b w:val="0"/>
          <w:color w:val="000000"/>
          <w:sz w:val="32"/>
        </w:rPr>
        <w:t>县域经济与工业强市（本批真实数据补充·来源见正文）</w:t>
      </w:r>
    </w:p>
    <w:p>
      <w:pPr>
        <w:spacing w:lineRule="exact" w:line="600" w:before="0" w:after="0"/>
        <w:ind w:firstLine="420"/>
        <w:jc w:val="both"/>
      </w:pPr>
      <w:r>
        <w:rPr>
          <w:rFonts w:ascii="仿宋_GB2312" w:hAnsi="仿宋_GB2312" w:eastAsia="仿宋_GB2312"/>
          <w:b w:val="0"/>
          <w:color w:val="000000"/>
          <w:sz w:val="32"/>
        </w:rPr>
        <w:t>肥城市2024年地区生产总值965.6亿元、增长6.4%；一般公共预算收入53.5亿元，税收收入45.3亿元，纳税过亿元企业18家；规上工业增加值增长8.9%。肥城连续6年位居全省建筑业十强县榜首。（来源：肥城市2025年政府工作报告）</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地区生产总值</w:t>
            </w:r>
          </w:p>
        </w:tc>
        <w:tc>
          <w:tcPr>
            <w:tcW w:type="dxa" w:w="3118"/>
          </w:tcPr>
          <w:p>
            <w:pPr>
              <w:spacing w:lineRule="exact" w:line="600"/>
              <w:jc w:val="center"/>
            </w:pPr>
            <w:r/>
            <w:r>
              <w:rPr>
                <w:rFonts w:ascii="仿宋_GB2312" w:hAnsi="仿宋_GB2312" w:eastAsia="仿宋_GB2312"/>
                <w:b w:val="0"/>
                <w:color w:val="000000"/>
                <w:sz w:val="32"/>
              </w:rPr>
              <w:t>965.6亿元（增长6.4%）</w:t>
            </w:r>
          </w:p>
        </w:tc>
        <w:tc>
          <w:tcPr>
            <w:tcW w:type="dxa" w:w="2551"/>
          </w:tcPr>
          <w:p>
            <w:pPr>
              <w:spacing w:lineRule="exact" w:line="600"/>
              <w:jc w:val="center"/>
            </w:pPr>
            <w:r/>
            <w:r>
              <w:rPr>
                <w:rFonts w:ascii="仿宋_GB2312" w:hAnsi="仿宋_GB2312" w:eastAsia="仿宋_GB2312"/>
                <w:b w:val="0"/>
                <w:color w:val="000000"/>
                <w:sz w:val="32"/>
              </w:rPr>
              <w:t>肥城2024</w:t>
            </w:r>
          </w:p>
        </w:tc>
      </w:tr>
      <w:tr>
        <w:tc>
          <w:tcPr>
            <w:tcW w:type="dxa" w:w="2835"/>
          </w:tcPr>
          <w:p>
            <w:pPr>
              <w:spacing w:lineRule="exact" w:line="600"/>
              <w:jc w:val="center"/>
            </w:pPr>
            <w:r/>
            <w:r>
              <w:rPr>
                <w:rFonts w:ascii="仿宋_GB2312" w:hAnsi="仿宋_GB2312" w:eastAsia="仿宋_GB2312"/>
                <w:b w:val="0"/>
                <w:color w:val="000000"/>
                <w:sz w:val="32"/>
              </w:rPr>
              <w:t>一般公共预算收入</w:t>
            </w:r>
          </w:p>
        </w:tc>
        <w:tc>
          <w:tcPr>
            <w:tcW w:type="dxa" w:w="3118"/>
          </w:tcPr>
          <w:p>
            <w:pPr>
              <w:spacing w:lineRule="exact" w:line="600"/>
              <w:jc w:val="center"/>
            </w:pPr>
            <w:r/>
            <w:r>
              <w:rPr>
                <w:rFonts w:ascii="仿宋_GB2312" w:hAnsi="仿宋_GB2312" w:eastAsia="仿宋_GB2312"/>
                <w:b w:val="0"/>
                <w:color w:val="000000"/>
                <w:sz w:val="32"/>
              </w:rPr>
              <w:t>53.5亿元</w:t>
            </w:r>
          </w:p>
        </w:tc>
        <w:tc>
          <w:tcPr>
            <w:tcW w:type="dxa" w:w="2551"/>
          </w:tcPr>
          <w:p>
            <w:pPr>
              <w:spacing w:lineRule="exact" w:line="600"/>
              <w:jc w:val="center"/>
            </w:pPr>
            <w:r/>
            <w:r>
              <w:rPr>
                <w:rFonts w:ascii="仿宋_GB2312" w:hAnsi="仿宋_GB2312" w:eastAsia="仿宋_GB2312"/>
                <w:b w:val="0"/>
                <w:color w:val="000000"/>
                <w:sz w:val="32"/>
              </w:rPr>
              <w:t>税收45.3亿元</w:t>
            </w:r>
          </w:p>
        </w:tc>
      </w:tr>
      <w:tr>
        <w:tc>
          <w:tcPr>
            <w:tcW w:type="dxa" w:w="2835"/>
          </w:tcPr>
          <w:p>
            <w:pPr>
              <w:spacing w:lineRule="exact" w:line="600"/>
              <w:jc w:val="center"/>
            </w:pPr>
            <w:r/>
            <w:r>
              <w:rPr>
                <w:rFonts w:ascii="仿宋_GB2312" w:hAnsi="仿宋_GB2312" w:eastAsia="仿宋_GB2312"/>
                <w:b w:val="0"/>
                <w:color w:val="000000"/>
                <w:sz w:val="32"/>
              </w:rPr>
              <w:t>纳税过亿元企业</w:t>
            </w:r>
          </w:p>
        </w:tc>
        <w:tc>
          <w:tcPr>
            <w:tcW w:type="dxa" w:w="3118"/>
          </w:tcPr>
          <w:p>
            <w:pPr>
              <w:spacing w:lineRule="exact" w:line="600"/>
              <w:jc w:val="center"/>
            </w:pPr>
            <w:r/>
            <w:r>
              <w:rPr>
                <w:rFonts w:ascii="仿宋_GB2312" w:hAnsi="仿宋_GB2312" w:eastAsia="仿宋_GB2312"/>
                <w:b w:val="0"/>
                <w:color w:val="000000"/>
                <w:sz w:val="32"/>
              </w:rPr>
              <w:t>18家</w:t>
            </w:r>
          </w:p>
        </w:tc>
        <w:tc>
          <w:tcPr>
            <w:tcW w:type="dxa" w:w="2551"/>
          </w:tcPr>
          <w:p>
            <w:pPr>
              <w:spacing w:lineRule="exact" w:line="600"/>
              <w:jc w:val="center"/>
            </w:pPr>
            <w:r/>
            <w:r>
              <w:rPr>
                <w:rFonts w:ascii="仿宋_GB2312" w:hAnsi="仿宋_GB2312" w:eastAsia="仿宋_GB2312"/>
                <w:b w:val="0"/>
                <w:color w:val="000000"/>
                <w:sz w:val="32"/>
              </w:rPr>
              <w:t>肥城2024</w:t>
            </w:r>
          </w:p>
        </w:tc>
      </w:tr>
      <w:tr>
        <w:tc>
          <w:tcPr>
            <w:tcW w:type="dxa" w:w="2835"/>
          </w:tcPr>
          <w:p>
            <w:pPr>
              <w:spacing w:lineRule="exact" w:line="600"/>
              <w:jc w:val="center"/>
            </w:pPr>
            <w:r/>
            <w:r>
              <w:rPr>
                <w:rFonts w:ascii="仿宋_GB2312" w:hAnsi="仿宋_GB2312" w:eastAsia="仿宋_GB2312"/>
                <w:b w:val="0"/>
                <w:color w:val="000000"/>
                <w:sz w:val="32"/>
              </w:rPr>
              <w:t>规上工业增加值增速</w:t>
            </w:r>
          </w:p>
        </w:tc>
        <w:tc>
          <w:tcPr>
            <w:tcW w:type="dxa" w:w="3118"/>
          </w:tcPr>
          <w:p>
            <w:pPr>
              <w:spacing w:lineRule="exact" w:line="600"/>
              <w:jc w:val="center"/>
            </w:pPr>
            <w:r/>
            <w:r>
              <w:rPr>
                <w:rFonts w:ascii="仿宋_GB2312" w:hAnsi="仿宋_GB2312" w:eastAsia="仿宋_GB2312"/>
                <w:b w:val="0"/>
                <w:color w:val="000000"/>
                <w:sz w:val="32"/>
              </w:rPr>
              <w:t>8.9%</w:t>
            </w:r>
          </w:p>
        </w:tc>
        <w:tc>
          <w:tcPr>
            <w:tcW w:type="dxa" w:w="2551"/>
          </w:tcPr>
          <w:p>
            <w:pPr>
              <w:spacing w:lineRule="exact" w:line="600"/>
              <w:jc w:val="center"/>
            </w:pPr>
            <w:r/>
            <w:r>
              <w:rPr>
                <w:rFonts w:ascii="仿宋_GB2312" w:hAnsi="仿宋_GB2312" w:eastAsia="仿宋_GB2312"/>
                <w:b w:val="0"/>
                <w:color w:val="000000"/>
                <w:sz w:val="32"/>
              </w:rPr>
              <w:t>新型工业化</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（一）居家与社区医养</w:t>
      </w:r>
    </w:p>
    <w:p>
      <w:pPr>
        <w:spacing w:lineRule="exact" w:line="600" w:before="0" w:after="0"/>
        <w:ind w:firstLine="420"/>
        <w:jc w:val="both"/>
      </w:pPr>
      <w:r>
        <w:rPr>
          <w:rFonts w:ascii="仿宋_GB2312" w:hAnsi="仿宋_GB2312" w:eastAsia="仿宋_GB2312"/>
          <w:b w:val="0"/>
          <w:color w:val="000000"/>
          <w:sz w:val="32"/>
        </w:rPr>
        <w:t>居家医养以家庭医生团队（268个）与服务点（605处）为载体，提供基本公卫、基本医疗与个性化签约包，并为失智失能老人上门服务；「互联网+护理」服务队310人提供换管、换药等20项上门护理。社区层面以日间照料、老年助餐、长者食堂构成15分钟服务圈，是服务网络的基础层，覆盖最广、频次最高。</w:t>
      </w:r>
    </w:p>
    <w:p>
      <w:pPr>
        <w:spacing w:lineRule="exact" w:line="600" w:before="120" w:after="120"/>
        <w:ind w:firstLine="420"/>
        <w:jc w:val="left"/>
      </w:pPr>
      <w:r>
        <w:rPr>
          <w:rFonts w:ascii="楷体_GB2312" w:hAnsi="楷体_GB2312" w:eastAsia="楷体_GB2312"/>
          <w:b w:val="0"/>
          <w:color w:val="000000"/>
          <w:sz w:val="32"/>
        </w:rPr>
        <w:t>（二）机构医养结合</w:t>
      </w:r>
    </w:p>
    <w:p>
      <w:pPr>
        <w:spacing w:lineRule="exact" w:line="600" w:before="0" w:after="0"/>
        <w:ind w:firstLine="420"/>
        <w:jc w:val="both"/>
      </w:pPr>
      <w:r>
        <w:rPr>
          <w:rFonts w:ascii="仿宋_GB2312" w:hAnsi="仿宋_GB2312" w:eastAsia="仿宋_GB2312"/>
          <w:b w:val="0"/>
          <w:color w:val="000000"/>
          <w:sz w:val="32"/>
        </w:rPr>
        <w:t>机构层含「两院一体」（14家卫生院与养老机构签约，开通就医绿色通道）与社会兴办医养结合机构（两证齐全11家、社会兴办9家）。山医康养中心设200张医养护理床位收住失能半失能老人、累计服务680余人次；子梅护理院设200张床位集中养护失能特困人员。机构层提供专业护理、康复与临终关怀，是重度失能兜底核心。</w:t>
      </w:r>
    </w:p>
    <w:p>
      <w:pPr>
        <w:spacing w:lineRule="exact" w:line="600" w:before="120" w:after="120"/>
        <w:ind w:firstLine="420"/>
        <w:jc w:val="left"/>
      </w:pPr>
      <w:r>
        <w:rPr>
          <w:rFonts w:ascii="楷体_GB2312" w:hAnsi="楷体_GB2312" w:eastAsia="楷体_GB2312"/>
          <w:b w:val="0"/>
          <w:color w:val="000000"/>
          <w:sz w:val="32"/>
        </w:rPr>
        <w:t>（三）支付与支撑体系</w:t>
      </w:r>
    </w:p>
    <w:p>
      <w:pPr>
        <w:spacing w:lineRule="exact" w:line="600" w:before="0" w:after="0"/>
        <w:ind w:firstLine="420"/>
        <w:jc w:val="both"/>
      </w:pPr>
      <w:r>
        <w:rPr>
          <w:rFonts w:ascii="仿宋_GB2312" w:hAnsi="仿宋_GB2312" w:eastAsia="仿宋_GB2312"/>
          <w:b w:val="0"/>
          <w:color w:val="000000"/>
          <w:sz w:val="32"/>
        </w:rPr>
        <w:t>长护险（泰安「1+1」模式，19家定点、拨付3300余万元、4300余家庭受益）与普惠养老补贴（护理型机构新增贷款贴息≤50万、失能老人运营补贴≥200元/月/人）构成支付支撑；经济困难失能老人集中照护设11家定点机构，城市1952元/月、农村1700元/月标准。教育培训（1400余人次培训）与「齐鲁和谐使者」等人才政策提供人力支撑。</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环节</w:t>
            </w:r>
          </w:p>
        </w:tc>
        <w:tc>
          <w:tcPr>
            <w:tcW w:type="dxa" w:w="3969"/>
          </w:tcPr>
          <w:p>
            <w:pPr>
              <w:spacing w:lineRule="exact" w:line="600"/>
              <w:jc w:val="center"/>
            </w:pPr>
            <w:r/>
            <w:r>
              <w:rPr>
                <w:rFonts w:ascii="黑体" w:hAnsi="黑体" w:eastAsia="黑体"/>
                <w:b/>
                <w:color w:val="000000"/>
                <w:sz w:val="32"/>
              </w:rPr>
              <w:t>关键载体/指标</w:t>
            </w:r>
          </w:p>
        </w:tc>
        <w:tc>
          <w:tcPr>
            <w:tcW w:type="dxa" w:w="3118"/>
          </w:tcPr>
          <w:p>
            <w:pPr>
              <w:spacing w:lineRule="exact" w:line="600"/>
              <w:jc w:val="center"/>
            </w:pPr>
            <w:r/>
            <w:r>
              <w:rPr>
                <w:rFonts w:ascii="黑体" w:hAnsi="黑体" w:eastAsia="黑体"/>
                <w:b/>
                <w:color w:val="000000"/>
                <w:sz w:val="32"/>
              </w:rPr>
              <w:t>特征</w:t>
            </w:r>
          </w:p>
        </w:tc>
      </w:tr>
      <w:tr>
        <w:tc>
          <w:tcPr>
            <w:tcW w:type="dxa" w:w="1984"/>
          </w:tcPr>
          <w:p>
            <w:pPr>
              <w:spacing w:lineRule="exact" w:line="600"/>
              <w:jc w:val="center"/>
            </w:pPr>
            <w:r/>
            <w:r>
              <w:rPr>
                <w:rFonts w:ascii="仿宋_GB2312" w:hAnsi="仿宋_GB2312" w:eastAsia="仿宋_GB2312"/>
                <w:b w:val="0"/>
                <w:color w:val="000000"/>
                <w:sz w:val="32"/>
              </w:rPr>
              <w:t>居家社区</w:t>
            </w:r>
          </w:p>
        </w:tc>
        <w:tc>
          <w:tcPr>
            <w:tcW w:type="dxa" w:w="3969"/>
          </w:tcPr>
          <w:p>
            <w:pPr>
              <w:spacing w:lineRule="exact" w:line="600"/>
              <w:jc w:val="center"/>
            </w:pPr>
            <w:r/>
            <w:r>
              <w:rPr>
                <w:rFonts w:ascii="仿宋_GB2312" w:hAnsi="仿宋_GB2312" w:eastAsia="仿宋_GB2312"/>
                <w:b w:val="0"/>
                <w:color w:val="000000"/>
                <w:sz w:val="32"/>
              </w:rPr>
              <w:t>家医268队/605点/310护理队</w:t>
            </w:r>
          </w:p>
        </w:tc>
        <w:tc>
          <w:tcPr>
            <w:tcW w:type="dxa" w:w="3118"/>
          </w:tcPr>
          <w:p>
            <w:pPr>
              <w:spacing w:lineRule="exact" w:line="600"/>
              <w:jc w:val="center"/>
            </w:pPr>
            <w:r/>
            <w:r>
              <w:rPr>
                <w:rFonts w:ascii="仿宋_GB2312" w:hAnsi="仿宋_GB2312" w:eastAsia="仿宋_GB2312"/>
                <w:b w:val="0"/>
                <w:color w:val="000000"/>
                <w:sz w:val="32"/>
              </w:rPr>
              <w:t>覆盖最广</w:t>
            </w:r>
          </w:p>
        </w:tc>
      </w:tr>
      <w:tr>
        <w:tc>
          <w:tcPr>
            <w:tcW w:type="dxa" w:w="1984"/>
          </w:tcPr>
          <w:p>
            <w:pPr>
              <w:spacing w:lineRule="exact" w:line="600"/>
              <w:jc w:val="center"/>
            </w:pPr>
            <w:r/>
            <w:r>
              <w:rPr>
                <w:rFonts w:ascii="仿宋_GB2312" w:hAnsi="仿宋_GB2312" w:eastAsia="仿宋_GB2312"/>
                <w:b w:val="0"/>
                <w:color w:val="000000"/>
                <w:sz w:val="32"/>
              </w:rPr>
              <w:t>机构医养</w:t>
            </w:r>
          </w:p>
        </w:tc>
        <w:tc>
          <w:tcPr>
            <w:tcW w:type="dxa" w:w="3969"/>
          </w:tcPr>
          <w:p>
            <w:pPr>
              <w:spacing w:lineRule="exact" w:line="600"/>
              <w:jc w:val="center"/>
            </w:pPr>
            <w:r/>
            <w:r>
              <w:rPr>
                <w:rFonts w:ascii="仿宋_GB2312" w:hAnsi="仿宋_GB2312" w:eastAsia="仿宋_GB2312"/>
                <w:b w:val="0"/>
                <w:color w:val="000000"/>
                <w:sz w:val="32"/>
              </w:rPr>
              <w:t>11家两证齐全/14家两院一体</w:t>
            </w:r>
          </w:p>
        </w:tc>
        <w:tc>
          <w:tcPr>
            <w:tcW w:type="dxa" w:w="3118"/>
          </w:tcPr>
          <w:p>
            <w:pPr>
              <w:spacing w:lineRule="exact" w:line="600"/>
              <w:jc w:val="center"/>
            </w:pPr>
            <w:r/>
            <w:r>
              <w:rPr>
                <w:rFonts w:ascii="仿宋_GB2312" w:hAnsi="仿宋_GB2312" w:eastAsia="仿宋_GB2312"/>
                <w:b w:val="0"/>
                <w:color w:val="000000"/>
                <w:sz w:val="32"/>
              </w:rPr>
              <w:t>专业兜底</w:t>
            </w:r>
          </w:p>
        </w:tc>
      </w:tr>
      <w:tr>
        <w:tc>
          <w:tcPr>
            <w:tcW w:type="dxa" w:w="1984"/>
          </w:tcPr>
          <w:p>
            <w:pPr>
              <w:spacing w:lineRule="exact" w:line="600"/>
              <w:jc w:val="center"/>
            </w:pPr>
            <w:r/>
            <w:r>
              <w:rPr>
                <w:rFonts w:ascii="仿宋_GB2312" w:hAnsi="仿宋_GB2312" w:eastAsia="仿宋_GB2312"/>
                <w:b w:val="0"/>
                <w:color w:val="000000"/>
                <w:sz w:val="32"/>
              </w:rPr>
              <w:t>支付</w:t>
            </w:r>
          </w:p>
        </w:tc>
        <w:tc>
          <w:tcPr>
            <w:tcW w:type="dxa" w:w="3969"/>
          </w:tcPr>
          <w:p>
            <w:pPr>
              <w:spacing w:lineRule="exact" w:line="600"/>
              <w:jc w:val="center"/>
            </w:pPr>
            <w:r/>
            <w:r>
              <w:rPr>
                <w:rFonts w:ascii="仿宋_GB2312" w:hAnsi="仿宋_GB2312" w:eastAsia="仿宋_GB2312"/>
                <w:b w:val="0"/>
                <w:color w:val="000000"/>
                <w:sz w:val="32"/>
              </w:rPr>
              <w:t>长护险19家/3300万+</w:t>
            </w:r>
          </w:p>
        </w:tc>
        <w:tc>
          <w:tcPr>
            <w:tcW w:type="dxa" w:w="3118"/>
          </w:tcPr>
          <w:p>
            <w:pPr>
              <w:spacing w:lineRule="exact" w:line="600"/>
              <w:jc w:val="center"/>
            </w:pPr>
            <w:r/>
            <w:r>
              <w:rPr>
                <w:rFonts w:ascii="仿宋_GB2312" w:hAnsi="仿宋_GB2312" w:eastAsia="仿宋_GB2312"/>
                <w:b w:val="0"/>
                <w:color w:val="000000"/>
                <w:sz w:val="32"/>
              </w:rPr>
              <w:t>支付支撑</w:t>
            </w:r>
          </w:p>
        </w:tc>
      </w:tr>
      <w:tr>
        <w:tc>
          <w:tcPr>
            <w:tcW w:type="dxa" w:w="1984"/>
          </w:tcPr>
          <w:p>
            <w:pPr>
              <w:spacing w:lineRule="exact" w:line="600"/>
              <w:jc w:val="center"/>
            </w:pPr>
            <w:r/>
            <w:r>
              <w:rPr>
                <w:rFonts w:ascii="仿宋_GB2312" w:hAnsi="仿宋_GB2312" w:eastAsia="仿宋_GB2312"/>
                <w:b w:val="0"/>
                <w:color w:val="000000"/>
                <w:sz w:val="32"/>
              </w:rPr>
              <w:t>人才</w:t>
            </w:r>
          </w:p>
        </w:tc>
        <w:tc>
          <w:tcPr>
            <w:tcW w:type="dxa" w:w="3969"/>
          </w:tcPr>
          <w:p>
            <w:pPr>
              <w:spacing w:lineRule="exact" w:line="600"/>
              <w:jc w:val="center"/>
            </w:pPr>
            <w:r/>
            <w:r>
              <w:rPr>
                <w:rFonts w:ascii="仿宋_GB2312" w:hAnsi="仿宋_GB2312" w:eastAsia="仿宋_GB2312"/>
                <w:b w:val="0"/>
                <w:color w:val="000000"/>
                <w:sz w:val="32"/>
              </w:rPr>
              <w:t>培训1400余人次</w:t>
            </w:r>
          </w:p>
        </w:tc>
        <w:tc>
          <w:tcPr>
            <w:tcW w:type="dxa" w:w="3118"/>
          </w:tcPr>
          <w:p>
            <w:pPr>
              <w:spacing w:lineRule="exact" w:line="600"/>
              <w:jc w:val="center"/>
            </w:pPr>
            <w:r/>
            <w:r>
              <w:rPr>
                <w:rFonts w:ascii="仿宋_GB2312" w:hAnsi="仿宋_GB2312" w:eastAsia="仿宋_GB2312"/>
                <w:b w:val="0"/>
                <w:color w:val="000000"/>
                <w:sz w:val="32"/>
              </w:rPr>
              <w:t>人力支撑</w:t>
            </w:r>
          </w:p>
        </w:tc>
      </w:tr>
    </w:tbl>
    <w:p>
      <w:pPr>
        <w:spacing w:lineRule="exact" w:line="600" w:before="120" w:after="120"/>
        <w:ind w:firstLine="420"/>
        <w:jc w:val="left"/>
      </w:pPr>
      <w:r>
        <w:rPr>
          <w:rFonts w:ascii="楷体_GB2312" w:hAnsi="楷体_GB2312" w:eastAsia="楷体_GB2312"/>
          <w:b w:val="0"/>
          <w:color w:val="000000"/>
          <w:sz w:val="32"/>
        </w:rPr>
        <w:t>岩盐资源与制盐产能（本批真实数据补充·来源见正文）</w:t>
      </w:r>
    </w:p>
    <w:p>
      <w:pPr>
        <w:spacing w:lineRule="exact" w:line="600" w:before="0" w:after="0"/>
        <w:ind w:firstLine="420"/>
        <w:jc w:val="both"/>
      </w:pPr>
      <w:r>
        <w:rPr>
          <w:rFonts w:ascii="仿宋_GB2312" w:hAnsi="仿宋_GB2312" w:eastAsia="仿宋_GB2312"/>
          <w:b w:val="0"/>
          <w:color w:val="000000"/>
          <w:sz w:val="32"/>
        </w:rPr>
        <w:t>肥城地处大汶口盆地，探明岩盐储量50.2亿吨，年制盐1060万吨；现有盐穴腔体46对，可利用腔体2000万立方米。辖区4家盐厂2024年实现产值24.74亿元、税收3.59亿元；精制盐厂年产能240万吨，海晶盐化精制工业盐产能240万吨/年。（来源：泰安市商务局2026、肥城经开区推介）</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资源/产能</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探明岩盐储量</w:t>
            </w:r>
          </w:p>
        </w:tc>
        <w:tc>
          <w:tcPr>
            <w:tcW w:type="dxa" w:w="3118"/>
          </w:tcPr>
          <w:p>
            <w:pPr>
              <w:spacing w:lineRule="exact" w:line="600"/>
              <w:jc w:val="center"/>
            </w:pPr>
            <w:r/>
            <w:r>
              <w:rPr>
                <w:rFonts w:ascii="仿宋_GB2312" w:hAnsi="仿宋_GB2312" w:eastAsia="仿宋_GB2312"/>
                <w:b w:val="0"/>
                <w:color w:val="000000"/>
                <w:sz w:val="32"/>
              </w:rPr>
              <w:t>50.2亿吨</w:t>
            </w:r>
          </w:p>
        </w:tc>
        <w:tc>
          <w:tcPr>
            <w:tcW w:type="dxa" w:w="2551"/>
          </w:tcPr>
          <w:p>
            <w:pPr>
              <w:spacing w:lineRule="exact" w:line="600"/>
              <w:jc w:val="center"/>
            </w:pPr>
            <w:r/>
            <w:r>
              <w:rPr>
                <w:rFonts w:ascii="仿宋_GB2312" w:hAnsi="仿宋_GB2312" w:eastAsia="仿宋_GB2312"/>
                <w:b w:val="0"/>
                <w:color w:val="000000"/>
                <w:sz w:val="32"/>
              </w:rPr>
              <w:t>大汶口盆地</w:t>
            </w:r>
          </w:p>
        </w:tc>
      </w:tr>
      <w:tr>
        <w:tc>
          <w:tcPr>
            <w:tcW w:type="dxa" w:w="2835"/>
          </w:tcPr>
          <w:p>
            <w:pPr>
              <w:spacing w:lineRule="exact" w:line="600"/>
              <w:jc w:val="center"/>
            </w:pPr>
            <w:r/>
            <w:r>
              <w:rPr>
                <w:rFonts w:ascii="仿宋_GB2312" w:hAnsi="仿宋_GB2312" w:eastAsia="仿宋_GB2312"/>
                <w:b w:val="0"/>
                <w:color w:val="000000"/>
                <w:sz w:val="32"/>
              </w:rPr>
              <w:t>年制盐规模</w:t>
            </w:r>
          </w:p>
        </w:tc>
        <w:tc>
          <w:tcPr>
            <w:tcW w:type="dxa" w:w="3118"/>
          </w:tcPr>
          <w:p>
            <w:pPr>
              <w:spacing w:lineRule="exact" w:line="600"/>
              <w:jc w:val="center"/>
            </w:pPr>
            <w:r/>
            <w:r>
              <w:rPr>
                <w:rFonts w:ascii="仿宋_GB2312" w:hAnsi="仿宋_GB2312" w:eastAsia="仿宋_GB2312"/>
                <w:b w:val="0"/>
                <w:color w:val="000000"/>
                <w:sz w:val="32"/>
              </w:rPr>
              <w:t>1060万吨</w:t>
            </w:r>
          </w:p>
        </w:tc>
        <w:tc>
          <w:tcPr>
            <w:tcW w:type="dxa" w:w="2551"/>
          </w:tcPr>
          <w:p>
            <w:pPr>
              <w:spacing w:lineRule="exact" w:line="600"/>
              <w:jc w:val="center"/>
            </w:pPr>
            <w:r/>
            <w:r>
              <w:rPr>
                <w:rFonts w:ascii="仿宋_GB2312" w:hAnsi="仿宋_GB2312" w:eastAsia="仿宋_GB2312"/>
                <w:b w:val="0"/>
                <w:color w:val="000000"/>
                <w:sz w:val="32"/>
              </w:rPr>
              <w:t>4家盐厂</w:t>
            </w:r>
          </w:p>
        </w:tc>
      </w:tr>
      <w:tr>
        <w:tc>
          <w:tcPr>
            <w:tcW w:type="dxa" w:w="2835"/>
          </w:tcPr>
          <w:p>
            <w:pPr>
              <w:spacing w:lineRule="exact" w:line="600"/>
              <w:jc w:val="center"/>
            </w:pPr>
            <w:r/>
            <w:r>
              <w:rPr>
                <w:rFonts w:ascii="仿宋_GB2312" w:hAnsi="仿宋_GB2312" w:eastAsia="仿宋_GB2312"/>
                <w:b w:val="0"/>
                <w:color w:val="000000"/>
                <w:sz w:val="32"/>
              </w:rPr>
              <w:t>盐厂产值（2024）</w:t>
            </w:r>
          </w:p>
        </w:tc>
        <w:tc>
          <w:tcPr>
            <w:tcW w:type="dxa" w:w="3118"/>
          </w:tcPr>
          <w:p>
            <w:pPr>
              <w:spacing w:lineRule="exact" w:line="600"/>
              <w:jc w:val="center"/>
            </w:pPr>
            <w:r/>
            <w:r>
              <w:rPr>
                <w:rFonts w:ascii="仿宋_GB2312" w:hAnsi="仿宋_GB2312" w:eastAsia="仿宋_GB2312"/>
                <w:b w:val="0"/>
                <w:color w:val="000000"/>
                <w:sz w:val="32"/>
              </w:rPr>
              <w:t>24.74亿元</w:t>
            </w:r>
          </w:p>
        </w:tc>
        <w:tc>
          <w:tcPr>
            <w:tcW w:type="dxa" w:w="2551"/>
          </w:tcPr>
          <w:p>
            <w:pPr>
              <w:spacing w:lineRule="exact" w:line="600"/>
              <w:jc w:val="center"/>
            </w:pPr>
            <w:r/>
            <w:r>
              <w:rPr>
                <w:rFonts w:ascii="仿宋_GB2312" w:hAnsi="仿宋_GB2312" w:eastAsia="仿宋_GB2312"/>
                <w:b w:val="0"/>
                <w:color w:val="000000"/>
                <w:sz w:val="32"/>
              </w:rPr>
              <w:t>税收3.59亿元</w:t>
            </w:r>
          </w:p>
        </w:tc>
      </w:tr>
      <w:tr>
        <w:tc>
          <w:tcPr>
            <w:tcW w:type="dxa" w:w="2835"/>
          </w:tcPr>
          <w:p>
            <w:pPr>
              <w:spacing w:lineRule="exact" w:line="600"/>
              <w:jc w:val="center"/>
            </w:pPr>
            <w:r/>
            <w:r>
              <w:rPr>
                <w:rFonts w:ascii="仿宋_GB2312" w:hAnsi="仿宋_GB2312" w:eastAsia="仿宋_GB2312"/>
                <w:b w:val="0"/>
                <w:color w:val="000000"/>
                <w:sz w:val="32"/>
              </w:rPr>
              <w:t>精制盐产能</w:t>
            </w:r>
          </w:p>
        </w:tc>
        <w:tc>
          <w:tcPr>
            <w:tcW w:type="dxa" w:w="3118"/>
          </w:tcPr>
          <w:p>
            <w:pPr>
              <w:spacing w:lineRule="exact" w:line="600"/>
              <w:jc w:val="center"/>
            </w:pPr>
            <w:r/>
            <w:r>
              <w:rPr>
                <w:rFonts w:ascii="仿宋_GB2312" w:hAnsi="仿宋_GB2312" w:eastAsia="仿宋_GB2312"/>
                <w:b w:val="0"/>
                <w:color w:val="000000"/>
                <w:sz w:val="32"/>
              </w:rPr>
              <w:t>240万吨/年</w:t>
            </w:r>
          </w:p>
        </w:tc>
        <w:tc>
          <w:tcPr>
            <w:tcW w:type="dxa" w:w="2551"/>
          </w:tcPr>
          <w:p>
            <w:pPr>
              <w:spacing w:lineRule="exact" w:line="600"/>
              <w:jc w:val="center"/>
            </w:pPr>
            <w:r/>
            <w:r>
              <w:rPr>
                <w:rFonts w:ascii="仿宋_GB2312" w:hAnsi="仿宋_GB2312" w:eastAsia="仿宋_GB2312"/>
                <w:b w:val="0"/>
                <w:color w:val="000000"/>
                <w:sz w:val="32"/>
              </w:rPr>
              <w:t>精制盐厂</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（一）需求规模</w:t>
      </w:r>
    </w:p>
    <w:p>
      <w:pPr>
        <w:spacing w:lineRule="exact" w:line="600" w:before="0" w:after="0"/>
        <w:ind w:firstLine="420"/>
        <w:jc w:val="both"/>
      </w:pPr>
      <w:r>
        <w:rPr>
          <w:rFonts w:ascii="仿宋_GB2312" w:hAnsi="仿宋_GB2312" w:eastAsia="仿宋_GB2312"/>
          <w:b w:val="0"/>
          <w:color w:val="000000"/>
          <w:sz w:val="32"/>
        </w:rPr>
        <w:t>肥城65岁以上老年人医养结合服务覆盖率已达94.3%、家医签约率94.8%，对1.2万名失能失智老人健康评估率100%，显示需求被高度激活。随老龄化加深与失能半失能比例上升，专业护理、长护险、机构床位需求持续扩张。农村养老、经济困难失能照护（11家定点）构成刚性缺口市场。</w:t>
      </w:r>
    </w:p>
    <w:p>
      <w:pPr>
        <w:spacing w:lineRule="exact" w:line="600" w:before="120" w:after="120"/>
        <w:ind w:firstLine="420"/>
        <w:jc w:val="left"/>
      </w:pPr>
      <w:r>
        <w:rPr>
          <w:rFonts w:ascii="楷体_GB2312" w:hAnsi="楷体_GB2312" w:eastAsia="楷体_GB2312"/>
          <w:b w:val="0"/>
          <w:color w:val="000000"/>
          <w:sz w:val="32"/>
        </w:rPr>
        <w:t>（二）供给格局</w:t>
      </w:r>
    </w:p>
    <w:p>
      <w:pPr>
        <w:spacing w:lineRule="exact" w:line="600" w:before="0" w:after="0"/>
        <w:ind w:firstLine="420"/>
        <w:jc w:val="both"/>
      </w:pPr>
      <w:r>
        <w:rPr>
          <w:rFonts w:ascii="仿宋_GB2312" w:hAnsi="仿宋_GB2312" w:eastAsia="仿宋_GB2312"/>
          <w:b w:val="0"/>
          <w:color w:val="000000"/>
          <w:sz w:val="32"/>
        </w:rPr>
        <w:t>供给以公办兜底（敬老院、子梅护理院失能特困养护）+社会兴办（9家）+卫生院转型（两院一体14家）多元构成。普惠性养老机构认定办法（2024年9月施行）引导民办机构降价提质，扩大普惠供给。相较济南、青岛等市，肥城机构总量与连锁化品牌偏少，但县域全覆盖度高、模式完整。</w:t>
      </w:r>
    </w:p>
    <w:p>
      <w:pPr>
        <w:spacing w:lineRule="exact" w:line="600" w:before="120" w:after="120"/>
        <w:ind w:firstLine="420"/>
        <w:jc w:val="left"/>
      </w:pPr>
      <w:r>
        <w:rPr>
          <w:rFonts w:ascii="楷体_GB2312" w:hAnsi="楷体_GB2312" w:eastAsia="楷体_GB2312"/>
          <w:b w:val="0"/>
          <w:color w:val="000000"/>
          <w:sz w:val="32"/>
        </w:rPr>
        <w:t>（三）竞争与差异化</w:t>
      </w:r>
    </w:p>
    <w:p>
      <w:pPr>
        <w:spacing w:lineRule="exact" w:line="600" w:before="0" w:after="0"/>
        <w:ind w:firstLine="420"/>
        <w:jc w:val="both"/>
      </w:pPr>
      <w:r>
        <w:rPr>
          <w:rFonts w:ascii="仿宋_GB2312" w:hAnsi="仿宋_GB2312" w:eastAsia="仿宋_GB2312"/>
          <w:b w:val="0"/>
          <w:color w:val="000000"/>
          <w:sz w:val="32"/>
        </w:rPr>
        <w:t>肥城医养服务以「五种模式+红色医养」形成县域特色，山医康养、子梅护理院等本地品牌占据主导；外部连锁品牌进入有限。差异化在于国企办养老（红色医养）、长护险先行（泰安「1+1」）与高覆盖率，竞争强度低于大城市，但人才与支付能力是共性约束。</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指标</w:t>
            </w:r>
          </w:p>
        </w:tc>
        <w:tc>
          <w:tcPr>
            <w:tcW w:type="dxa" w:w="3969"/>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老人服务覆盖率</w:t>
            </w:r>
          </w:p>
        </w:tc>
        <w:tc>
          <w:tcPr>
            <w:tcW w:type="dxa" w:w="3969"/>
          </w:tcPr>
          <w:p>
            <w:pPr>
              <w:spacing w:lineRule="exact" w:line="600"/>
              <w:jc w:val="center"/>
            </w:pPr>
            <w:r/>
            <w:r>
              <w:rPr>
                <w:rFonts w:ascii="仿宋_GB2312" w:hAnsi="仿宋_GB2312" w:eastAsia="仿宋_GB2312"/>
                <w:b w:val="0"/>
                <w:color w:val="000000"/>
                <w:sz w:val="32"/>
              </w:rPr>
              <w:t>94.3%（65岁以上）</w:t>
            </w:r>
          </w:p>
        </w:tc>
        <w:tc>
          <w:tcPr>
            <w:tcW w:type="dxa" w:w="2835"/>
          </w:tcPr>
          <w:p>
            <w:pPr>
              <w:spacing w:lineRule="exact" w:line="600"/>
              <w:jc w:val="center"/>
            </w:pPr>
            <w:r/>
            <w:r>
              <w:rPr>
                <w:rFonts w:ascii="仿宋_GB2312" w:hAnsi="仿宋_GB2312" w:eastAsia="仿宋_GB2312"/>
                <w:b w:val="0"/>
                <w:color w:val="000000"/>
                <w:sz w:val="32"/>
              </w:rPr>
              <w:t>肥城医养案例</w:t>
            </w:r>
          </w:p>
        </w:tc>
      </w:tr>
      <w:tr>
        <w:tc>
          <w:tcPr>
            <w:tcW w:type="dxa" w:w="2268"/>
          </w:tcPr>
          <w:p>
            <w:pPr>
              <w:spacing w:lineRule="exact" w:line="600"/>
              <w:jc w:val="center"/>
            </w:pPr>
            <w:r/>
            <w:r>
              <w:rPr>
                <w:rFonts w:ascii="仿宋_GB2312" w:hAnsi="仿宋_GB2312" w:eastAsia="仿宋_GB2312"/>
                <w:b w:val="0"/>
                <w:color w:val="000000"/>
                <w:sz w:val="32"/>
              </w:rPr>
              <w:t>家医签约率</w:t>
            </w:r>
          </w:p>
        </w:tc>
        <w:tc>
          <w:tcPr>
            <w:tcW w:type="dxa" w:w="3969"/>
          </w:tcPr>
          <w:p>
            <w:pPr>
              <w:spacing w:lineRule="exact" w:line="600"/>
              <w:jc w:val="center"/>
            </w:pPr>
            <w:r/>
            <w:r>
              <w:rPr>
                <w:rFonts w:ascii="仿宋_GB2312" w:hAnsi="仿宋_GB2312" w:eastAsia="仿宋_GB2312"/>
                <w:b w:val="0"/>
                <w:color w:val="000000"/>
                <w:sz w:val="32"/>
              </w:rPr>
              <w:t>94.8%</w:t>
            </w:r>
          </w:p>
        </w:tc>
        <w:tc>
          <w:tcPr>
            <w:tcW w:type="dxa" w:w="2835"/>
          </w:tcPr>
          <w:p>
            <w:pPr>
              <w:spacing w:lineRule="exact" w:line="600"/>
              <w:jc w:val="center"/>
            </w:pPr>
            <w:r/>
            <w:r>
              <w:rPr>
                <w:rFonts w:ascii="仿宋_GB2312" w:hAnsi="仿宋_GB2312" w:eastAsia="仿宋_GB2312"/>
                <w:b w:val="0"/>
                <w:color w:val="000000"/>
                <w:sz w:val="32"/>
              </w:rPr>
              <w:t>肥城医养案例</w:t>
            </w:r>
          </w:p>
        </w:tc>
      </w:tr>
      <w:tr>
        <w:tc>
          <w:tcPr>
            <w:tcW w:type="dxa" w:w="2268"/>
          </w:tcPr>
          <w:p>
            <w:pPr>
              <w:spacing w:lineRule="exact" w:line="600"/>
              <w:jc w:val="center"/>
            </w:pPr>
            <w:r/>
            <w:r>
              <w:rPr>
                <w:rFonts w:ascii="仿宋_GB2312" w:hAnsi="仿宋_GB2312" w:eastAsia="仿宋_GB2312"/>
                <w:b w:val="0"/>
                <w:color w:val="000000"/>
                <w:sz w:val="32"/>
              </w:rPr>
              <w:t>失能评估</w:t>
            </w:r>
          </w:p>
        </w:tc>
        <w:tc>
          <w:tcPr>
            <w:tcW w:type="dxa" w:w="3969"/>
          </w:tcPr>
          <w:p>
            <w:pPr>
              <w:spacing w:lineRule="exact" w:line="600"/>
              <w:jc w:val="center"/>
            </w:pPr>
            <w:r/>
            <w:r>
              <w:rPr>
                <w:rFonts w:ascii="仿宋_GB2312" w:hAnsi="仿宋_GB2312" w:eastAsia="仿宋_GB2312"/>
                <w:b w:val="0"/>
                <w:color w:val="000000"/>
                <w:sz w:val="32"/>
              </w:rPr>
              <w:t>1.2万人/100%</w:t>
            </w:r>
          </w:p>
        </w:tc>
        <w:tc>
          <w:tcPr>
            <w:tcW w:type="dxa" w:w="2835"/>
          </w:tcPr>
          <w:p>
            <w:pPr>
              <w:spacing w:lineRule="exact" w:line="600"/>
              <w:jc w:val="center"/>
            </w:pPr>
            <w:r/>
            <w:r>
              <w:rPr>
                <w:rFonts w:ascii="仿宋_GB2312" w:hAnsi="仿宋_GB2312" w:eastAsia="仿宋_GB2312"/>
                <w:b w:val="0"/>
                <w:color w:val="000000"/>
                <w:sz w:val="32"/>
              </w:rPr>
              <w:t>肥城医养案例</w:t>
            </w:r>
          </w:p>
        </w:tc>
      </w:tr>
      <w:tr>
        <w:tc>
          <w:tcPr>
            <w:tcW w:type="dxa" w:w="2268"/>
          </w:tcPr>
          <w:p>
            <w:pPr>
              <w:spacing w:lineRule="exact" w:line="600"/>
              <w:jc w:val="center"/>
            </w:pPr>
            <w:r/>
            <w:r>
              <w:rPr>
                <w:rFonts w:ascii="仿宋_GB2312" w:hAnsi="仿宋_GB2312" w:eastAsia="仿宋_GB2312"/>
                <w:b w:val="0"/>
                <w:color w:val="000000"/>
                <w:sz w:val="32"/>
              </w:rPr>
              <w:t>长护险受益</w:t>
            </w:r>
          </w:p>
        </w:tc>
        <w:tc>
          <w:tcPr>
            <w:tcW w:type="dxa" w:w="3969"/>
          </w:tcPr>
          <w:p>
            <w:pPr>
              <w:spacing w:lineRule="exact" w:line="600"/>
              <w:jc w:val="center"/>
            </w:pPr>
            <w:r/>
            <w:r>
              <w:rPr>
                <w:rFonts w:ascii="仿宋_GB2312" w:hAnsi="仿宋_GB2312" w:eastAsia="仿宋_GB2312"/>
                <w:b w:val="0"/>
                <w:color w:val="000000"/>
                <w:sz w:val="32"/>
              </w:rPr>
              <w:t>4300余家庭/3300万+</w:t>
            </w:r>
          </w:p>
        </w:tc>
        <w:tc>
          <w:tcPr>
            <w:tcW w:type="dxa" w:w="2835"/>
          </w:tcPr>
          <w:p>
            <w:pPr>
              <w:spacing w:lineRule="exact" w:line="600"/>
              <w:jc w:val="center"/>
            </w:pPr>
            <w:r/>
            <w:r>
              <w:rPr>
                <w:rFonts w:ascii="仿宋_GB2312" w:hAnsi="仿宋_GB2312" w:eastAsia="仿宋_GB2312"/>
                <w:b w:val="0"/>
                <w:color w:val="000000"/>
                <w:sz w:val="32"/>
              </w:rPr>
              <w:t>肥城/泰安</w:t>
            </w:r>
          </w:p>
        </w:tc>
      </w:tr>
      <w:tr>
        <w:tc>
          <w:tcPr>
            <w:tcW w:type="dxa" w:w="2268"/>
          </w:tcPr>
          <w:p>
            <w:pPr>
              <w:spacing w:lineRule="exact" w:line="600"/>
              <w:jc w:val="center"/>
            </w:pPr>
            <w:r/>
            <w:r>
              <w:rPr>
                <w:rFonts w:ascii="仿宋_GB2312" w:hAnsi="仿宋_GB2312" w:eastAsia="仿宋_GB2312"/>
                <w:b w:val="0"/>
                <w:color w:val="000000"/>
                <w:sz w:val="32"/>
              </w:rPr>
              <w:t>普惠机构</w:t>
            </w:r>
          </w:p>
        </w:tc>
        <w:tc>
          <w:tcPr>
            <w:tcW w:type="dxa" w:w="3969"/>
          </w:tcPr>
          <w:p>
            <w:pPr>
              <w:spacing w:lineRule="exact" w:line="600"/>
              <w:jc w:val="center"/>
            </w:pPr>
            <w:r/>
            <w:r>
              <w:rPr>
                <w:rFonts w:ascii="仿宋_GB2312" w:hAnsi="仿宋_GB2312" w:eastAsia="仿宋_GB2312"/>
                <w:b w:val="0"/>
                <w:color w:val="000000"/>
                <w:sz w:val="32"/>
              </w:rPr>
              <w:t>认定办法2024.9施行</w:t>
            </w:r>
          </w:p>
        </w:tc>
        <w:tc>
          <w:tcPr>
            <w:tcW w:type="dxa" w:w="2835"/>
          </w:tcPr>
          <w:p>
            <w:pPr>
              <w:spacing w:lineRule="exact" w:line="600"/>
              <w:jc w:val="center"/>
            </w:pPr>
            <w:r/>
            <w:r>
              <w:rPr>
                <w:rFonts w:ascii="仿宋_GB2312" w:hAnsi="仿宋_GB2312" w:eastAsia="仿宋_GB2312"/>
                <w:b w:val="0"/>
                <w:color w:val="000000"/>
                <w:sz w:val="32"/>
              </w:rPr>
              <w:t>省民政厅</w:t>
            </w:r>
          </w:p>
        </w:tc>
      </w:tr>
    </w:tbl>
    <w:p>
      <w:pPr>
        <w:spacing w:lineRule="exact" w:line="600" w:before="120" w:after="120"/>
        <w:ind w:firstLine="420"/>
        <w:jc w:val="left"/>
      </w:pPr>
      <w:r>
        <w:rPr>
          <w:rFonts w:ascii="楷体_GB2312" w:hAnsi="楷体_GB2312" w:eastAsia="楷体_GB2312"/>
          <w:b w:val="0"/>
          <w:color w:val="000000"/>
          <w:sz w:val="32"/>
        </w:rPr>
        <w:t>盐穴储能新赛道（本批真实数据补充·来源见正文）</w:t>
      </w:r>
    </w:p>
    <w:p>
      <w:pPr>
        <w:spacing w:lineRule="exact" w:line="600" w:before="0" w:after="0"/>
        <w:ind w:firstLine="420"/>
        <w:jc w:val="both"/>
      </w:pPr>
      <w:r>
        <w:rPr>
          <w:rFonts w:ascii="仿宋_GB2312" w:hAnsi="仿宋_GB2312" w:eastAsia="仿宋_GB2312"/>
          <w:b w:val="0"/>
          <w:color w:val="000000"/>
          <w:sz w:val="32"/>
        </w:rPr>
        <w:t>肥城按“前端扩能建穴—中端盐穴储能—后端建网延链”路径发展，新型储能产业22个项目落地、总装机3480MW，成为全国最大的盐穴储能示范应用基地，入选全省首批未来产业集群。中储国能300MW先进压缩空气储能国家示范电站并网发电，年发电量可达5.94亿千瓦时。（来源：肥城市2025政府工作报告、泰安商务局2026）</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项目/指标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地位</w:t>
            </w:r>
          </w:p>
        </w:tc>
      </w:tr>
      <w:tr>
        <w:tc>
          <w:tcPr>
            <w:tcW w:type="dxa" w:w="3118"/>
          </w:tcPr>
          <w:p>
            <w:pPr>
              <w:spacing w:lineRule="exact" w:line="600"/>
              <w:jc w:val="center"/>
            </w:pPr>
            <w:r/>
            <w:r>
              <w:rPr>
                <w:rFonts w:ascii="仿宋_GB2312" w:hAnsi="仿宋_GB2312" w:eastAsia="仿宋_GB2312"/>
                <w:b w:val="0"/>
                <w:color w:val="000000"/>
                <w:sz w:val="32"/>
              </w:rPr>
              <w:t>新型储能项目</w:t>
            </w:r>
          </w:p>
        </w:tc>
        <w:tc>
          <w:tcPr>
            <w:tcW w:type="dxa" w:w="2835"/>
          </w:tcPr>
          <w:p>
            <w:pPr>
              <w:spacing w:lineRule="exact" w:line="600"/>
              <w:jc w:val="center"/>
            </w:pPr>
            <w:r/>
            <w:r>
              <w:rPr>
                <w:rFonts w:ascii="仿宋_GB2312" w:hAnsi="仿宋_GB2312" w:eastAsia="仿宋_GB2312"/>
                <w:b w:val="0"/>
                <w:color w:val="000000"/>
                <w:sz w:val="32"/>
              </w:rPr>
              <w:t>22个落地</w:t>
            </w:r>
          </w:p>
        </w:tc>
        <w:tc>
          <w:tcPr>
            <w:tcW w:type="dxa" w:w="2551"/>
          </w:tcPr>
          <w:p>
            <w:pPr>
              <w:spacing w:lineRule="exact" w:line="600"/>
              <w:jc w:val="center"/>
            </w:pPr>
            <w:r/>
            <w:r>
              <w:rPr>
                <w:rFonts w:ascii="仿宋_GB2312" w:hAnsi="仿宋_GB2312" w:eastAsia="仿宋_GB2312"/>
                <w:b w:val="0"/>
                <w:color w:val="000000"/>
                <w:sz w:val="32"/>
              </w:rPr>
              <w:t>总装机3480MW</w:t>
            </w:r>
          </w:p>
        </w:tc>
      </w:tr>
      <w:tr>
        <w:tc>
          <w:tcPr>
            <w:tcW w:type="dxa" w:w="3118"/>
          </w:tcPr>
          <w:p>
            <w:pPr>
              <w:spacing w:lineRule="exact" w:line="600"/>
              <w:jc w:val="center"/>
            </w:pPr>
            <w:r/>
            <w:r>
              <w:rPr>
                <w:rFonts w:ascii="仿宋_GB2312" w:hAnsi="仿宋_GB2312" w:eastAsia="仿宋_GB2312"/>
                <w:b w:val="0"/>
                <w:color w:val="000000"/>
                <w:sz w:val="32"/>
              </w:rPr>
              <w:t>盐穴储能示范基地</w:t>
            </w:r>
          </w:p>
        </w:tc>
        <w:tc>
          <w:tcPr>
            <w:tcW w:type="dxa" w:w="2835"/>
          </w:tcPr>
          <w:p>
            <w:pPr>
              <w:spacing w:lineRule="exact" w:line="600"/>
              <w:jc w:val="center"/>
            </w:pPr>
            <w:r/>
            <w:r>
              <w:rPr>
                <w:rFonts w:ascii="仿宋_GB2312" w:hAnsi="仿宋_GB2312" w:eastAsia="仿宋_GB2312"/>
                <w:b w:val="0"/>
                <w:color w:val="000000"/>
                <w:sz w:val="32"/>
              </w:rPr>
              <w:t>全国最大</w:t>
            </w:r>
          </w:p>
        </w:tc>
        <w:tc>
          <w:tcPr>
            <w:tcW w:type="dxa" w:w="2551"/>
          </w:tcPr>
          <w:p>
            <w:pPr>
              <w:spacing w:lineRule="exact" w:line="600"/>
              <w:jc w:val="center"/>
            </w:pPr>
            <w:r/>
            <w:r>
              <w:rPr>
                <w:rFonts w:ascii="仿宋_GB2312" w:hAnsi="仿宋_GB2312" w:eastAsia="仿宋_GB2312"/>
                <w:b w:val="0"/>
                <w:color w:val="000000"/>
                <w:sz w:val="32"/>
              </w:rPr>
              <w:t>未来产业集群</w:t>
            </w:r>
          </w:p>
        </w:tc>
      </w:tr>
      <w:tr>
        <w:tc>
          <w:tcPr>
            <w:tcW w:type="dxa" w:w="3118"/>
          </w:tcPr>
          <w:p>
            <w:pPr>
              <w:spacing w:lineRule="exact" w:line="600"/>
              <w:jc w:val="center"/>
            </w:pPr>
            <w:r/>
            <w:r>
              <w:rPr>
                <w:rFonts w:ascii="仿宋_GB2312" w:hAnsi="仿宋_GB2312" w:eastAsia="仿宋_GB2312"/>
                <w:b w:val="0"/>
                <w:color w:val="000000"/>
                <w:sz w:val="32"/>
              </w:rPr>
              <w:t>300MW储能电站年发电</w:t>
            </w:r>
          </w:p>
        </w:tc>
        <w:tc>
          <w:tcPr>
            <w:tcW w:type="dxa" w:w="2835"/>
          </w:tcPr>
          <w:p>
            <w:pPr>
              <w:spacing w:lineRule="exact" w:line="600"/>
              <w:jc w:val="center"/>
            </w:pPr>
            <w:r/>
            <w:r>
              <w:rPr>
                <w:rFonts w:ascii="仿宋_GB2312" w:hAnsi="仿宋_GB2312" w:eastAsia="仿宋_GB2312"/>
                <w:b w:val="0"/>
                <w:color w:val="000000"/>
                <w:sz w:val="32"/>
              </w:rPr>
              <w:t>5.94亿千瓦时</w:t>
            </w:r>
          </w:p>
        </w:tc>
        <w:tc>
          <w:tcPr>
            <w:tcW w:type="dxa" w:w="2551"/>
          </w:tcPr>
          <w:p>
            <w:pPr>
              <w:spacing w:lineRule="exact" w:line="600"/>
              <w:jc w:val="center"/>
            </w:pPr>
            <w:r/>
            <w:r>
              <w:rPr>
                <w:rFonts w:ascii="仿宋_GB2312" w:hAnsi="仿宋_GB2312" w:eastAsia="仿宋_GB2312"/>
                <w:b w:val="0"/>
                <w:color w:val="000000"/>
                <w:sz w:val="32"/>
              </w:rPr>
              <w:t>国家示范</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（一）服务网络总体</w:t>
      </w:r>
    </w:p>
    <w:p>
      <w:pPr>
        <w:spacing w:lineRule="exact" w:line="600" w:before="0" w:after="0"/>
        <w:ind w:firstLine="420"/>
        <w:jc w:val="both"/>
      </w:pPr>
      <w:r>
        <w:rPr>
          <w:rFonts w:ascii="仿宋_GB2312" w:hAnsi="仿宋_GB2312" w:eastAsia="仿宋_GB2312"/>
          <w:b w:val="0"/>
          <w:color w:val="000000"/>
          <w:sz w:val="32"/>
        </w:rPr>
        <w:t>肥城已建成覆盖城乡的医养健康服务网络：家庭医生团队268个、服务点605处、「互联网+护理」310人；两证齐全医养结合机构11家（社会兴办9家）；14家卫生院与养老机构签约；长护险定点19家。网络密度在县域领先，为「岩盐医养健康」集群提供真实应用场景与流量入口。</w:t>
      </w:r>
    </w:p>
    <w:p>
      <w:pPr>
        <w:spacing w:lineRule="exact" w:line="600" w:before="120" w:after="120"/>
        <w:ind w:firstLine="420"/>
        <w:jc w:val="left"/>
      </w:pPr>
      <w:r>
        <w:rPr>
          <w:rFonts w:ascii="楷体_GB2312" w:hAnsi="楷体_GB2312" w:eastAsia="楷体_GB2312"/>
          <w:b w:val="0"/>
          <w:color w:val="000000"/>
          <w:sz w:val="32"/>
        </w:rPr>
        <w:t>（二）代表机构</w:t>
      </w:r>
    </w:p>
    <w:p>
      <w:pPr>
        <w:spacing w:lineRule="exact" w:line="600" w:before="0" w:after="0"/>
        <w:ind w:firstLine="420"/>
        <w:jc w:val="both"/>
      </w:pPr>
      <w:r>
        <w:rPr>
          <w:rFonts w:ascii="仿宋_GB2312" w:hAnsi="仿宋_GB2312" w:eastAsia="仿宋_GB2312"/>
          <w:b w:val="0"/>
          <w:color w:val="000000"/>
          <w:sz w:val="32"/>
        </w:rPr>
        <w:t>山医康养中心（200张医养护理床位，累计服务680余人次）与子梅护理院（200张失能特困养护床位，公建民营、医养结合）为机构标杆；山东养老产业投资管理公司运营子梅护理院，引入专业连锁经验。卫生院（14家）通过两院一体提供绿色通道。经济困难失能集中照护设11家定点机构，体现公办兜底网络。</w:t>
      </w:r>
    </w:p>
    <w:p>
      <w:pPr>
        <w:spacing w:lineRule="exact" w:line="600" w:before="120" w:after="120"/>
        <w:ind w:firstLine="420"/>
        <w:jc w:val="left"/>
      </w:pPr>
      <w:r>
        <w:rPr>
          <w:rFonts w:ascii="楷体_GB2312" w:hAnsi="楷体_GB2312" w:eastAsia="楷体_GB2312"/>
          <w:b w:val="0"/>
          <w:color w:val="000000"/>
          <w:sz w:val="32"/>
        </w:rPr>
        <w:t>（三）平台与治理</w:t>
      </w:r>
    </w:p>
    <w:p>
      <w:pPr>
        <w:spacing w:lineRule="exact" w:line="600" w:before="0" w:after="0"/>
        <w:ind w:firstLine="420"/>
        <w:jc w:val="both"/>
      </w:pPr>
      <w:r>
        <w:rPr>
          <w:rFonts w:ascii="仿宋_GB2312" w:hAnsi="仿宋_GB2312" w:eastAsia="仿宋_GB2312"/>
          <w:b w:val="0"/>
          <w:color w:val="000000"/>
          <w:sz w:val="32"/>
        </w:rPr>
        <w:t>肥城以「红色医养」社区治理统筹国企与社区资源，建设居家社区养老服务网络；市政府常务会（2024年9月）专题部署养老服务体系高质量发展，并将争创全省养老服务高质量发展提升行动试点市作为目标。多部门（民政、卫健、医保、财政）协同形成推进合力，政策带动为2家新建改建护理型机构补贴371万元、为559名失能老人拨付203.3万元。</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机构/平台</w:t>
            </w:r>
          </w:p>
        </w:tc>
        <w:tc>
          <w:tcPr>
            <w:tcW w:type="dxa" w:w="3969"/>
          </w:tcPr>
          <w:p>
            <w:pPr>
              <w:spacing w:lineRule="exact" w:line="600"/>
              <w:jc w:val="center"/>
            </w:pPr>
            <w:r/>
            <w:r>
              <w:rPr>
                <w:rFonts w:ascii="黑体" w:hAnsi="黑体" w:eastAsia="黑体"/>
                <w:b/>
                <w:color w:val="000000"/>
                <w:sz w:val="32"/>
              </w:rPr>
              <w:t>床位/指标</w:t>
            </w:r>
          </w:p>
        </w:tc>
        <w:tc>
          <w:tcPr>
            <w:tcW w:type="dxa" w:w="3118"/>
          </w:tcPr>
          <w:p>
            <w:pPr>
              <w:spacing w:lineRule="exact" w:line="600"/>
              <w:jc w:val="center"/>
            </w:pPr>
            <w:r/>
            <w:r>
              <w:rPr>
                <w:rFonts w:ascii="黑体" w:hAnsi="黑体" w:eastAsia="黑体"/>
                <w:b/>
                <w:color w:val="000000"/>
                <w:sz w:val="32"/>
              </w:rPr>
              <w:t>角色</w:t>
            </w:r>
          </w:p>
        </w:tc>
      </w:tr>
      <w:tr>
        <w:tc>
          <w:tcPr>
            <w:tcW w:type="dxa" w:w="1984"/>
          </w:tcPr>
          <w:p>
            <w:pPr>
              <w:spacing w:lineRule="exact" w:line="600"/>
              <w:jc w:val="center"/>
            </w:pPr>
            <w:r/>
            <w:r>
              <w:rPr>
                <w:rFonts w:ascii="仿宋_GB2312" w:hAnsi="仿宋_GB2312" w:eastAsia="仿宋_GB2312"/>
                <w:b w:val="0"/>
                <w:color w:val="000000"/>
                <w:sz w:val="32"/>
              </w:rPr>
              <w:t>山医康养中心</w:t>
            </w:r>
          </w:p>
        </w:tc>
        <w:tc>
          <w:tcPr>
            <w:tcW w:type="dxa" w:w="3969"/>
          </w:tcPr>
          <w:p>
            <w:pPr>
              <w:spacing w:lineRule="exact" w:line="600"/>
              <w:jc w:val="center"/>
            </w:pPr>
            <w:r/>
            <w:r>
              <w:rPr>
                <w:rFonts w:ascii="仿宋_GB2312" w:hAnsi="仿宋_GB2312" w:eastAsia="仿宋_GB2312"/>
                <w:b w:val="0"/>
                <w:color w:val="000000"/>
                <w:sz w:val="32"/>
              </w:rPr>
              <w:t>200张/服务680余人次</w:t>
            </w:r>
          </w:p>
        </w:tc>
        <w:tc>
          <w:tcPr>
            <w:tcW w:type="dxa" w:w="3118"/>
          </w:tcPr>
          <w:p>
            <w:pPr>
              <w:spacing w:lineRule="exact" w:line="600"/>
              <w:jc w:val="center"/>
            </w:pPr>
            <w:r/>
            <w:r>
              <w:rPr>
                <w:rFonts w:ascii="仿宋_GB2312" w:hAnsi="仿宋_GB2312" w:eastAsia="仿宋_GB2312"/>
                <w:b w:val="0"/>
                <w:color w:val="000000"/>
                <w:sz w:val="32"/>
              </w:rPr>
              <w:t>社会兴办标杆</w:t>
            </w:r>
          </w:p>
        </w:tc>
      </w:tr>
      <w:tr>
        <w:tc>
          <w:tcPr>
            <w:tcW w:type="dxa" w:w="1984"/>
          </w:tcPr>
          <w:p>
            <w:pPr>
              <w:spacing w:lineRule="exact" w:line="600"/>
              <w:jc w:val="center"/>
            </w:pPr>
            <w:r/>
            <w:r>
              <w:rPr>
                <w:rFonts w:ascii="仿宋_GB2312" w:hAnsi="仿宋_GB2312" w:eastAsia="仿宋_GB2312"/>
                <w:b w:val="0"/>
                <w:color w:val="000000"/>
                <w:sz w:val="32"/>
              </w:rPr>
              <w:t>子梅护理院</w:t>
            </w:r>
          </w:p>
        </w:tc>
        <w:tc>
          <w:tcPr>
            <w:tcW w:type="dxa" w:w="3969"/>
          </w:tcPr>
          <w:p>
            <w:pPr>
              <w:spacing w:lineRule="exact" w:line="600"/>
              <w:jc w:val="center"/>
            </w:pPr>
            <w:r/>
            <w:r>
              <w:rPr>
                <w:rFonts w:ascii="仿宋_GB2312" w:hAnsi="仿宋_GB2312" w:eastAsia="仿宋_GB2312"/>
                <w:b w:val="0"/>
                <w:color w:val="000000"/>
                <w:sz w:val="32"/>
              </w:rPr>
              <w:t>200张失能特困养护</w:t>
            </w:r>
          </w:p>
        </w:tc>
        <w:tc>
          <w:tcPr>
            <w:tcW w:type="dxa" w:w="3118"/>
          </w:tcPr>
          <w:p>
            <w:pPr>
              <w:spacing w:lineRule="exact" w:line="600"/>
              <w:jc w:val="center"/>
            </w:pPr>
            <w:r/>
            <w:r>
              <w:rPr>
                <w:rFonts w:ascii="仿宋_GB2312" w:hAnsi="仿宋_GB2312" w:eastAsia="仿宋_GB2312"/>
                <w:b w:val="0"/>
                <w:color w:val="000000"/>
                <w:sz w:val="32"/>
              </w:rPr>
              <w:t>公建民营</w:t>
            </w:r>
          </w:p>
        </w:tc>
      </w:tr>
      <w:tr>
        <w:tc>
          <w:tcPr>
            <w:tcW w:type="dxa" w:w="1984"/>
          </w:tcPr>
          <w:p>
            <w:pPr>
              <w:spacing w:lineRule="exact" w:line="600"/>
              <w:jc w:val="center"/>
            </w:pPr>
            <w:r/>
            <w:r>
              <w:rPr>
                <w:rFonts w:ascii="仿宋_GB2312" w:hAnsi="仿宋_GB2312" w:eastAsia="仿宋_GB2312"/>
                <w:b w:val="0"/>
                <w:color w:val="000000"/>
                <w:sz w:val="32"/>
              </w:rPr>
              <w:t>两院一体</w:t>
            </w:r>
          </w:p>
        </w:tc>
        <w:tc>
          <w:tcPr>
            <w:tcW w:type="dxa" w:w="3969"/>
          </w:tcPr>
          <w:p>
            <w:pPr>
              <w:spacing w:lineRule="exact" w:line="600"/>
              <w:jc w:val="center"/>
            </w:pPr>
            <w:r/>
            <w:r>
              <w:rPr>
                <w:rFonts w:ascii="仿宋_GB2312" w:hAnsi="仿宋_GB2312" w:eastAsia="仿宋_GB2312"/>
                <w:b w:val="0"/>
                <w:color w:val="000000"/>
                <w:sz w:val="32"/>
              </w:rPr>
              <w:t>14家卫生院签约</w:t>
            </w:r>
          </w:p>
        </w:tc>
        <w:tc>
          <w:tcPr>
            <w:tcW w:type="dxa" w:w="3118"/>
          </w:tcPr>
          <w:p>
            <w:pPr>
              <w:spacing w:lineRule="exact" w:line="600"/>
              <w:jc w:val="center"/>
            </w:pPr>
            <w:r/>
            <w:r>
              <w:rPr>
                <w:rFonts w:ascii="仿宋_GB2312" w:hAnsi="仿宋_GB2312" w:eastAsia="仿宋_GB2312"/>
                <w:b w:val="0"/>
                <w:color w:val="000000"/>
                <w:sz w:val="32"/>
              </w:rPr>
              <w:t>绿色通道</w:t>
            </w:r>
          </w:p>
        </w:tc>
      </w:tr>
      <w:tr>
        <w:tc>
          <w:tcPr>
            <w:tcW w:type="dxa" w:w="1984"/>
          </w:tcPr>
          <w:p>
            <w:pPr>
              <w:spacing w:lineRule="exact" w:line="600"/>
              <w:jc w:val="center"/>
            </w:pPr>
            <w:r/>
            <w:r>
              <w:rPr>
                <w:rFonts w:ascii="仿宋_GB2312" w:hAnsi="仿宋_GB2312" w:eastAsia="仿宋_GB2312"/>
                <w:b w:val="0"/>
                <w:color w:val="000000"/>
                <w:sz w:val="32"/>
              </w:rPr>
              <w:t>红色医养</w:t>
            </w:r>
          </w:p>
        </w:tc>
        <w:tc>
          <w:tcPr>
            <w:tcW w:type="dxa" w:w="3969"/>
          </w:tcPr>
          <w:p>
            <w:pPr>
              <w:spacing w:lineRule="exact" w:line="600"/>
              <w:jc w:val="center"/>
            </w:pPr>
            <w:r/>
            <w:r>
              <w:rPr>
                <w:rFonts w:ascii="仿宋_GB2312" w:hAnsi="仿宋_GB2312" w:eastAsia="仿宋_GB2312"/>
                <w:b w:val="0"/>
                <w:color w:val="000000"/>
                <w:sz w:val="32"/>
              </w:rPr>
              <w:t>社区治理+国企</w:t>
            </w:r>
          </w:p>
        </w:tc>
        <w:tc>
          <w:tcPr>
            <w:tcW w:type="dxa" w:w="3118"/>
          </w:tcPr>
          <w:p>
            <w:pPr>
              <w:spacing w:lineRule="exact" w:line="600"/>
              <w:jc w:val="center"/>
            </w:pPr>
            <w:r/>
            <w:r>
              <w:rPr>
                <w:rFonts w:ascii="仿宋_GB2312" w:hAnsi="仿宋_GB2312" w:eastAsia="仿宋_GB2312"/>
                <w:b w:val="0"/>
                <w:color w:val="000000"/>
                <w:sz w:val="32"/>
              </w:rPr>
              <w:t>治理平台</w:t>
            </w:r>
          </w:p>
        </w:tc>
      </w:tr>
      <w:tr>
        <w:tc>
          <w:tcPr>
            <w:tcW w:type="dxa" w:w="1984"/>
          </w:tcPr>
          <w:p>
            <w:pPr>
              <w:spacing w:lineRule="exact" w:line="600"/>
              <w:jc w:val="center"/>
            </w:pPr>
            <w:r/>
            <w:r>
              <w:rPr>
                <w:rFonts w:ascii="仿宋_GB2312" w:hAnsi="仿宋_GB2312" w:eastAsia="仿宋_GB2312"/>
                <w:b w:val="0"/>
                <w:color w:val="000000"/>
                <w:sz w:val="32"/>
              </w:rPr>
              <w:t>定点机构</w:t>
            </w:r>
          </w:p>
        </w:tc>
        <w:tc>
          <w:tcPr>
            <w:tcW w:type="dxa" w:w="3969"/>
          </w:tcPr>
          <w:p>
            <w:pPr>
              <w:spacing w:lineRule="exact" w:line="600"/>
              <w:jc w:val="center"/>
            </w:pPr>
            <w:r/>
            <w:r>
              <w:rPr>
                <w:rFonts w:ascii="仿宋_GB2312" w:hAnsi="仿宋_GB2312" w:eastAsia="仿宋_GB2312"/>
                <w:b w:val="0"/>
                <w:color w:val="000000"/>
                <w:sz w:val="32"/>
              </w:rPr>
              <w:t>11家（困难失能）</w:t>
            </w:r>
          </w:p>
        </w:tc>
        <w:tc>
          <w:tcPr>
            <w:tcW w:type="dxa" w:w="3118"/>
          </w:tcPr>
          <w:p>
            <w:pPr>
              <w:spacing w:lineRule="exact" w:line="600"/>
              <w:jc w:val="center"/>
            </w:pPr>
            <w:r/>
            <w:r>
              <w:rPr>
                <w:rFonts w:ascii="仿宋_GB2312" w:hAnsi="仿宋_GB2312" w:eastAsia="仿宋_GB2312"/>
                <w:b w:val="0"/>
                <w:color w:val="000000"/>
                <w:sz w:val="32"/>
              </w:rPr>
              <w:t>公办兜底</w:t>
            </w:r>
          </w:p>
        </w:tc>
      </w:tr>
    </w:tbl>
    <w:p>
      <w:pPr>
        <w:spacing w:lineRule="exact" w:line="600" w:before="120" w:after="120"/>
        <w:ind w:firstLine="420"/>
        <w:jc w:val="left"/>
      </w:pPr>
      <w:r>
        <w:rPr>
          <w:rFonts w:ascii="楷体_GB2312" w:hAnsi="楷体_GB2312" w:eastAsia="楷体_GB2312"/>
          <w:b w:val="0"/>
          <w:color w:val="000000"/>
          <w:sz w:val="32"/>
        </w:rPr>
        <w:t>园区载体与企业（本批真实数据补充·来源见正文）</w:t>
      </w:r>
    </w:p>
    <w:p>
      <w:pPr>
        <w:spacing w:lineRule="exact" w:line="600" w:before="0" w:after="0"/>
        <w:ind w:firstLine="420"/>
        <w:jc w:val="both"/>
      </w:pPr>
      <w:r>
        <w:rPr>
          <w:rFonts w:ascii="仿宋_GB2312" w:hAnsi="仿宋_GB2312" w:eastAsia="仿宋_GB2312"/>
          <w:b w:val="0"/>
          <w:color w:val="000000"/>
          <w:sz w:val="32"/>
        </w:rPr>
        <w:t>肥城经济开发区规划面积6.27平方公里（含3.54平方公里现代盐化工产业园、2.73平方公里循环经济产业园），代管边院镇。辖区集聚山东肥城海晶盐化、山东肥城精制盐厂等盐企，以及中储国能等储能企业。医养健康方面，肥城顺利通过省医养结合高质量发展创新引领县验收，九如城康养中心启用。（来源：泰安市商务局2026、肥城市2025政府工作报告）</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载体/主体</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经开区规划面积</w:t>
            </w:r>
          </w:p>
        </w:tc>
        <w:tc>
          <w:tcPr>
            <w:tcW w:type="dxa" w:w="2835"/>
          </w:tcPr>
          <w:p>
            <w:pPr>
              <w:spacing w:lineRule="exact" w:line="600"/>
              <w:jc w:val="center"/>
            </w:pPr>
            <w:r/>
            <w:r>
              <w:rPr>
                <w:rFonts w:ascii="仿宋_GB2312" w:hAnsi="仿宋_GB2312" w:eastAsia="仿宋_GB2312"/>
                <w:b w:val="0"/>
                <w:color w:val="000000"/>
                <w:sz w:val="32"/>
              </w:rPr>
              <w:t>6.27平方公里</w:t>
            </w:r>
          </w:p>
        </w:tc>
        <w:tc>
          <w:tcPr>
            <w:tcW w:type="dxa" w:w="2551"/>
          </w:tcPr>
          <w:p>
            <w:pPr>
              <w:spacing w:lineRule="exact" w:line="600"/>
              <w:jc w:val="center"/>
            </w:pPr>
            <w:r/>
            <w:r>
              <w:rPr>
                <w:rFonts w:ascii="仿宋_GB2312" w:hAnsi="仿宋_GB2312" w:eastAsia="仿宋_GB2312"/>
                <w:b w:val="0"/>
                <w:color w:val="000000"/>
                <w:sz w:val="32"/>
              </w:rPr>
              <w:t>省级开发区</w:t>
            </w:r>
          </w:p>
        </w:tc>
      </w:tr>
      <w:tr>
        <w:tc>
          <w:tcPr>
            <w:tcW w:type="dxa" w:w="3118"/>
          </w:tcPr>
          <w:p>
            <w:pPr>
              <w:spacing w:lineRule="exact" w:line="600"/>
              <w:jc w:val="center"/>
            </w:pPr>
            <w:r/>
            <w:r>
              <w:rPr>
                <w:rFonts w:ascii="仿宋_GB2312" w:hAnsi="仿宋_GB2312" w:eastAsia="仿宋_GB2312"/>
                <w:b w:val="0"/>
                <w:color w:val="000000"/>
                <w:sz w:val="32"/>
              </w:rPr>
              <w:t>现代盐化工产业园</w:t>
            </w:r>
          </w:p>
        </w:tc>
        <w:tc>
          <w:tcPr>
            <w:tcW w:type="dxa" w:w="2835"/>
          </w:tcPr>
          <w:p>
            <w:pPr>
              <w:spacing w:lineRule="exact" w:line="600"/>
              <w:jc w:val="center"/>
            </w:pPr>
            <w:r/>
            <w:r>
              <w:rPr>
                <w:rFonts w:ascii="仿宋_GB2312" w:hAnsi="仿宋_GB2312" w:eastAsia="仿宋_GB2312"/>
                <w:b w:val="0"/>
                <w:color w:val="000000"/>
                <w:sz w:val="32"/>
              </w:rPr>
              <w:t>3.54平方公里</w:t>
            </w:r>
          </w:p>
        </w:tc>
        <w:tc>
          <w:tcPr>
            <w:tcW w:type="dxa" w:w="2551"/>
          </w:tcPr>
          <w:p>
            <w:pPr>
              <w:spacing w:lineRule="exact" w:line="600"/>
              <w:jc w:val="center"/>
            </w:pPr>
            <w:r/>
            <w:r>
              <w:rPr>
                <w:rFonts w:ascii="仿宋_GB2312" w:hAnsi="仿宋_GB2312" w:eastAsia="仿宋_GB2312"/>
                <w:b w:val="0"/>
                <w:color w:val="000000"/>
                <w:sz w:val="32"/>
              </w:rPr>
              <w:t>核心板块</w:t>
            </w:r>
          </w:p>
        </w:tc>
      </w:tr>
      <w:tr>
        <w:tc>
          <w:tcPr>
            <w:tcW w:type="dxa" w:w="3118"/>
          </w:tcPr>
          <w:p>
            <w:pPr>
              <w:spacing w:lineRule="exact" w:line="600"/>
              <w:jc w:val="center"/>
            </w:pPr>
            <w:r/>
            <w:r>
              <w:rPr>
                <w:rFonts w:ascii="仿宋_GB2312" w:hAnsi="仿宋_GB2312" w:eastAsia="仿宋_GB2312"/>
                <w:b w:val="0"/>
                <w:color w:val="000000"/>
                <w:sz w:val="32"/>
              </w:rPr>
              <w:t>医养结合示范县</w:t>
            </w:r>
          </w:p>
        </w:tc>
        <w:tc>
          <w:tcPr>
            <w:tcW w:type="dxa" w:w="2835"/>
          </w:tcPr>
          <w:p>
            <w:pPr>
              <w:spacing w:lineRule="exact" w:line="600"/>
              <w:jc w:val="center"/>
            </w:pPr>
            <w:r/>
            <w:r>
              <w:rPr>
                <w:rFonts w:ascii="仿宋_GB2312" w:hAnsi="仿宋_GB2312" w:eastAsia="仿宋_GB2312"/>
                <w:b w:val="0"/>
                <w:color w:val="000000"/>
                <w:sz w:val="32"/>
              </w:rPr>
              <w:t>通过省级验收</w:t>
            </w:r>
          </w:p>
        </w:tc>
        <w:tc>
          <w:tcPr>
            <w:tcW w:type="dxa" w:w="2551"/>
          </w:tcPr>
          <w:p>
            <w:pPr>
              <w:spacing w:lineRule="exact" w:line="600"/>
              <w:jc w:val="center"/>
            </w:pPr>
            <w:r/>
            <w:r>
              <w:rPr>
                <w:rFonts w:ascii="仿宋_GB2312" w:hAnsi="仿宋_GB2312" w:eastAsia="仿宋_GB2312"/>
                <w:b w:val="0"/>
                <w:color w:val="000000"/>
                <w:sz w:val="32"/>
              </w:rPr>
              <w:t>创新引领县</w:t>
            </w:r>
          </w:p>
        </w:tc>
      </w:tr>
      <w:tr>
        <w:tc>
          <w:tcPr>
            <w:tcW w:type="dxa" w:w="3118"/>
          </w:tcPr>
          <w:p>
            <w:pPr>
              <w:spacing w:lineRule="exact" w:line="600"/>
              <w:jc w:val="center"/>
            </w:pPr>
            <w:r/>
            <w:r>
              <w:rPr>
                <w:rFonts w:ascii="仿宋_GB2312" w:hAnsi="仿宋_GB2312" w:eastAsia="仿宋_GB2312"/>
                <w:b w:val="0"/>
                <w:color w:val="000000"/>
                <w:sz w:val="32"/>
              </w:rPr>
              <w:t>九如城康养中心</w:t>
            </w:r>
          </w:p>
        </w:tc>
        <w:tc>
          <w:tcPr>
            <w:tcW w:type="dxa" w:w="2835"/>
          </w:tcPr>
          <w:p>
            <w:pPr>
              <w:spacing w:lineRule="exact" w:line="600"/>
              <w:jc w:val="center"/>
            </w:pPr>
            <w:r/>
            <w:r>
              <w:rPr>
                <w:rFonts w:ascii="仿宋_GB2312" w:hAnsi="仿宋_GB2312" w:eastAsia="仿宋_GB2312"/>
                <w:b w:val="0"/>
                <w:color w:val="000000"/>
                <w:sz w:val="32"/>
              </w:rPr>
              <w:t>正式启用</w:t>
            </w:r>
          </w:p>
        </w:tc>
        <w:tc>
          <w:tcPr>
            <w:tcW w:type="dxa" w:w="2551"/>
          </w:tcPr>
          <w:p>
            <w:pPr>
              <w:spacing w:lineRule="exact" w:line="600"/>
              <w:jc w:val="center"/>
            </w:pPr>
            <w:r/>
            <w:r>
              <w:rPr>
                <w:rFonts w:ascii="仿宋_GB2312" w:hAnsi="仿宋_GB2312" w:eastAsia="仿宋_GB2312"/>
                <w:b w:val="0"/>
                <w:color w:val="000000"/>
                <w:sz w:val="32"/>
              </w:rPr>
              <w:t>社区养老</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（一）服务模式创新</w:t>
      </w:r>
    </w:p>
    <w:p>
      <w:pPr>
        <w:spacing w:lineRule="exact" w:line="600" w:before="0" w:after="0"/>
        <w:ind w:firstLine="420"/>
        <w:jc w:val="both"/>
      </w:pPr>
      <w:r>
        <w:rPr>
          <w:rFonts w:ascii="仿宋_GB2312" w:hAnsi="仿宋_GB2312" w:eastAsia="仿宋_GB2312"/>
          <w:b w:val="0"/>
          <w:color w:val="000000"/>
          <w:sz w:val="32"/>
        </w:rPr>
        <w:t>肥城探索「五种模式」：居家医养（家医+个性包）、长护险（泰安「1+1」，10项必选+25项可选）、两院一体（14家签约）、社会兴办（9家）、互联网+护理（310人/20项）。「五床联动」试点统筹养老/医疗/家庭/家庭病床/安宁疗护床位，体现资源整合创新，获山东省医养结合高质量发展创新引领县认可。</w:t>
      </w:r>
    </w:p>
    <w:p>
      <w:pPr>
        <w:spacing w:lineRule="exact" w:line="600" w:before="120" w:after="120"/>
        <w:ind w:firstLine="420"/>
        <w:jc w:val="left"/>
      </w:pPr>
      <w:r>
        <w:rPr>
          <w:rFonts w:ascii="楷体_GB2312" w:hAnsi="楷体_GB2312" w:eastAsia="楷体_GB2312"/>
          <w:b w:val="0"/>
          <w:color w:val="000000"/>
          <w:sz w:val="32"/>
        </w:rPr>
        <w:t>（二）数字与智慧养老</w:t>
      </w:r>
    </w:p>
    <w:p>
      <w:pPr>
        <w:spacing w:lineRule="exact" w:line="600" w:before="0" w:after="0"/>
        <w:ind w:firstLine="420"/>
        <w:jc w:val="both"/>
      </w:pPr>
      <w:r>
        <w:rPr>
          <w:rFonts w:ascii="仿宋_GB2312" w:hAnsi="仿宋_GB2312" w:eastAsia="仿宋_GB2312"/>
          <w:b w:val="0"/>
          <w:color w:val="000000"/>
          <w:sz w:val="32"/>
        </w:rPr>
        <w:t>「互联网+护理」服务队310人通过平台接单、上门服务，实现医院—社区—家庭衔接；省级三年行动提出2025年底前二级以上公立综合医院「互联网+护理」覆盖率70%、建设智慧养老院100家。肥城可借力提升居家监测、远程问诊与智慧养老院水平，但本地智慧化平台仍处建设期。</w:t>
      </w:r>
    </w:p>
    <w:p>
      <w:pPr>
        <w:spacing w:lineRule="exact" w:line="600" w:before="120" w:after="120"/>
        <w:ind w:firstLine="420"/>
        <w:jc w:val="left"/>
      </w:pPr>
      <w:r>
        <w:rPr>
          <w:rFonts w:ascii="楷体_GB2312" w:hAnsi="楷体_GB2312" w:eastAsia="楷体_GB2312"/>
          <w:b w:val="0"/>
          <w:color w:val="000000"/>
          <w:sz w:val="32"/>
        </w:rPr>
        <w:t>（三）人才与标准</w:t>
      </w:r>
    </w:p>
    <w:p>
      <w:pPr>
        <w:spacing w:lineRule="exact" w:line="600" w:before="0" w:after="0"/>
        <w:ind w:firstLine="420"/>
        <w:jc w:val="both"/>
      </w:pPr>
      <w:r>
        <w:rPr>
          <w:rFonts w:ascii="仿宋_GB2312" w:hAnsi="仿宋_GB2312" w:eastAsia="仿宋_GB2312"/>
          <w:b w:val="0"/>
          <w:color w:val="000000"/>
          <w:sz w:val="32"/>
        </w:rPr>
        <w:t>连续举办3期医养结合能力提升培训班，培训基层人员1400余人次；养老护理员持证上岗、职称评审向医养结合护理人员倾斜（单独分组评审）。通过标准化示范（失能评估100%）与培训体系，提升服务一致性与专业度，为集群服务能级提供人力底座。</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创新指标</w:t>
            </w:r>
          </w:p>
        </w:tc>
        <w:tc>
          <w:tcPr>
            <w:tcW w:type="dxa" w:w="3969"/>
          </w:tcPr>
          <w:p>
            <w:pPr>
              <w:spacing w:lineRule="exact" w:line="600"/>
              <w:jc w:val="center"/>
            </w:pPr>
            <w:r/>
            <w:r>
              <w:rPr>
                <w:rFonts w:ascii="黑体" w:hAnsi="黑体" w:eastAsia="黑体"/>
                <w:b/>
                <w:color w:val="000000"/>
                <w:sz w:val="32"/>
              </w:rPr>
              <w:t>数值/水平</w:t>
            </w:r>
          </w:p>
        </w:tc>
        <w:tc>
          <w:tcPr>
            <w:tcW w:type="dxa" w:w="2835"/>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家医团队</w:t>
            </w:r>
          </w:p>
        </w:tc>
        <w:tc>
          <w:tcPr>
            <w:tcW w:type="dxa" w:w="3969"/>
          </w:tcPr>
          <w:p>
            <w:pPr>
              <w:spacing w:lineRule="exact" w:line="600"/>
              <w:jc w:val="center"/>
            </w:pPr>
            <w:r/>
            <w:r>
              <w:rPr>
                <w:rFonts w:ascii="仿宋_GB2312" w:hAnsi="仿宋_GB2312" w:eastAsia="仿宋_GB2312"/>
                <w:b w:val="0"/>
                <w:color w:val="000000"/>
                <w:sz w:val="32"/>
              </w:rPr>
              <w:t>268个/605服务点</w:t>
            </w:r>
          </w:p>
        </w:tc>
        <w:tc>
          <w:tcPr>
            <w:tcW w:type="dxa" w:w="2835"/>
          </w:tcPr>
          <w:p>
            <w:pPr>
              <w:spacing w:lineRule="exact" w:line="600"/>
              <w:jc w:val="center"/>
            </w:pPr>
            <w:r/>
            <w:r>
              <w:rPr>
                <w:rFonts w:ascii="仿宋_GB2312" w:hAnsi="仿宋_GB2312" w:eastAsia="仿宋_GB2312"/>
                <w:b w:val="0"/>
                <w:color w:val="000000"/>
                <w:sz w:val="32"/>
              </w:rPr>
              <w:t>肥城医养案例</w:t>
            </w:r>
          </w:p>
        </w:tc>
      </w:tr>
      <w:tr>
        <w:tc>
          <w:tcPr>
            <w:tcW w:type="dxa" w:w="2268"/>
          </w:tcPr>
          <w:p>
            <w:pPr>
              <w:spacing w:lineRule="exact" w:line="600"/>
              <w:jc w:val="center"/>
            </w:pPr>
            <w:r/>
            <w:r>
              <w:rPr>
                <w:rFonts w:ascii="仿宋_GB2312" w:hAnsi="仿宋_GB2312" w:eastAsia="仿宋_GB2312"/>
                <w:b w:val="0"/>
                <w:color w:val="000000"/>
                <w:sz w:val="32"/>
              </w:rPr>
              <w:t>互联网+护理</w:t>
            </w:r>
          </w:p>
        </w:tc>
        <w:tc>
          <w:tcPr>
            <w:tcW w:type="dxa" w:w="3969"/>
          </w:tcPr>
          <w:p>
            <w:pPr>
              <w:spacing w:lineRule="exact" w:line="600"/>
              <w:jc w:val="center"/>
            </w:pPr>
            <w:r/>
            <w:r>
              <w:rPr>
                <w:rFonts w:ascii="仿宋_GB2312" w:hAnsi="仿宋_GB2312" w:eastAsia="仿宋_GB2312"/>
                <w:b w:val="0"/>
                <w:color w:val="000000"/>
                <w:sz w:val="32"/>
              </w:rPr>
              <w:t>310人/20项</w:t>
            </w:r>
          </w:p>
        </w:tc>
        <w:tc>
          <w:tcPr>
            <w:tcW w:type="dxa" w:w="2835"/>
          </w:tcPr>
          <w:p>
            <w:pPr>
              <w:spacing w:lineRule="exact" w:line="600"/>
              <w:jc w:val="center"/>
            </w:pPr>
            <w:r/>
            <w:r>
              <w:rPr>
                <w:rFonts w:ascii="仿宋_GB2312" w:hAnsi="仿宋_GB2312" w:eastAsia="仿宋_GB2312"/>
                <w:b w:val="0"/>
                <w:color w:val="000000"/>
                <w:sz w:val="32"/>
              </w:rPr>
              <w:t>肥城医养案例</w:t>
            </w:r>
          </w:p>
        </w:tc>
      </w:tr>
      <w:tr>
        <w:tc>
          <w:tcPr>
            <w:tcW w:type="dxa" w:w="2268"/>
          </w:tcPr>
          <w:p>
            <w:pPr>
              <w:spacing w:lineRule="exact" w:line="600"/>
              <w:jc w:val="center"/>
            </w:pPr>
            <w:r/>
            <w:r>
              <w:rPr>
                <w:rFonts w:ascii="仿宋_GB2312" w:hAnsi="仿宋_GB2312" w:eastAsia="仿宋_GB2312"/>
                <w:b w:val="0"/>
                <w:color w:val="000000"/>
                <w:sz w:val="32"/>
              </w:rPr>
              <w:t>培训人次</w:t>
            </w:r>
          </w:p>
        </w:tc>
        <w:tc>
          <w:tcPr>
            <w:tcW w:type="dxa" w:w="3969"/>
          </w:tcPr>
          <w:p>
            <w:pPr>
              <w:spacing w:lineRule="exact" w:line="600"/>
              <w:jc w:val="center"/>
            </w:pPr>
            <w:r/>
            <w:r>
              <w:rPr>
                <w:rFonts w:ascii="仿宋_GB2312" w:hAnsi="仿宋_GB2312" w:eastAsia="仿宋_GB2312"/>
                <w:b w:val="0"/>
                <w:color w:val="000000"/>
                <w:sz w:val="32"/>
              </w:rPr>
              <w:t>1400余人次（3期）</w:t>
            </w:r>
          </w:p>
        </w:tc>
        <w:tc>
          <w:tcPr>
            <w:tcW w:type="dxa" w:w="2835"/>
          </w:tcPr>
          <w:p>
            <w:pPr>
              <w:spacing w:lineRule="exact" w:line="600"/>
              <w:jc w:val="center"/>
            </w:pPr>
            <w:r/>
            <w:r>
              <w:rPr>
                <w:rFonts w:ascii="仿宋_GB2312" w:hAnsi="仿宋_GB2312" w:eastAsia="仿宋_GB2312"/>
                <w:b w:val="0"/>
                <w:color w:val="000000"/>
                <w:sz w:val="32"/>
              </w:rPr>
              <w:t>肥城医养案例</w:t>
            </w:r>
          </w:p>
        </w:tc>
      </w:tr>
      <w:tr>
        <w:tc>
          <w:tcPr>
            <w:tcW w:type="dxa" w:w="2268"/>
          </w:tcPr>
          <w:p>
            <w:pPr>
              <w:spacing w:lineRule="exact" w:line="600"/>
              <w:jc w:val="center"/>
            </w:pPr>
            <w:r/>
            <w:r>
              <w:rPr>
                <w:rFonts w:ascii="仿宋_GB2312" w:hAnsi="仿宋_GB2312" w:eastAsia="仿宋_GB2312"/>
                <w:b w:val="0"/>
                <w:color w:val="000000"/>
                <w:sz w:val="32"/>
              </w:rPr>
              <w:t>失能评估率</w:t>
            </w:r>
          </w:p>
        </w:tc>
        <w:tc>
          <w:tcPr>
            <w:tcW w:type="dxa" w:w="3969"/>
          </w:tcPr>
          <w:p>
            <w:pPr>
              <w:spacing w:lineRule="exact" w:line="600"/>
              <w:jc w:val="center"/>
            </w:pPr>
            <w:r/>
            <w:r>
              <w:rPr>
                <w:rFonts w:ascii="仿宋_GB2312" w:hAnsi="仿宋_GB2312" w:eastAsia="仿宋_GB2312"/>
                <w:b w:val="0"/>
                <w:color w:val="000000"/>
                <w:sz w:val="32"/>
              </w:rPr>
              <w:t>100%（1.2万人）</w:t>
            </w:r>
          </w:p>
        </w:tc>
        <w:tc>
          <w:tcPr>
            <w:tcW w:type="dxa" w:w="2835"/>
          </w:tcPr>
          <w:p>
            <w:pPr>
              <w:spacing w:lineRule="exact" w:line="600"/>
              <w:jc w:val="center"/>
            </w:pPr>
            <w:r/>
            <w:r>
              <w:rPr>
                <w:rFonts w:ascii="仿宋_GB2312" w:hAnsi="仿宋_GB2312" w:eastAsia="仿宋_GB2312"/>
                <w:b w:val="0"/>
                <w:color w:val="000000"/>
                <w:sz w:val="32"/>
              </w:rPr>
              <w:t>肥城医养案例</w:t>
            </w:r>
          </w:p>
        </w:tc>
      </w:tr>
      <w:tr>
        <w:tc>
          <w:tcPr>
            <w:tcW w:type="dxa" w:w="2268"/>
          </w:tcPr>
          <w:p>
            <w:pPr>
              <w:spacing w:lineRule="exact" w:line="600"/>
              <w:jc w:val="center"/>
            </w:pPr>
            <w:r/>
            <w:r>
              <w:rPr>
                <w:rFonts w:ascii="仿宋_GB2312" w:hAnsi="仿宋_GB2312" w:eastAsia="仿宋_GB2312"/>
                <w:b w:val="0"/>
                <w:color w:val="000000"/>
                <w:sz w:val="32"/>
              </w:rPr>
              <w:t>长护险</w:t>
            </w:r>
          </w:p>
        </w:tc>
        <w:tc>
          <w:tcPr>
            <w:tcW w:type="dxa" w:w="3969"/>
          </w:tcPr>
          <w:p>
            <w:pPr>
              <w:spacing w:lineRule="exact" w:line="600"/>
              <w:jc w:val="center"/>
            </w:pPr>
            <w:r/>
            <w:r>
              <w:rPr>
                <w:rFonts w:ascii="仿宋_GB2312" w:hAnsi="仿宋_GB2312" w:eastAsia="仿宋_GB2312"/>
                <w:b w:val="0"/>
                <w:color w:val="000000"/>
                <w:sz w:val="32"/>
              </w:rPr>
              <w:t>19家定点/4300余家庭</w:t>
            </w:r>
          </w:p>
        </w:tc>
        <w:tc>
          <w:tcPr>
            <w:tcW w:type="dxa" w:w="2835"/>
          </w:tcPr>
          <w:p>
            <w:pPr>
              <w:spacing w:lineRule="exact" w:line="600"/>
              <w:jc w:val="center"/>
            </w:pPr>
            <w:r/>
            <w:r>
              <w:rPr>
                <w:rFonts w:ascii="仿宋_GB2312" w:hAnsi="仿宋_GB2312" w:eastAsia="仿宋_GB2312"/>
                <w:b w:val="0"/>
                <w:color w:val="000000"/>
                <w:sz w:val="32"/>
              </w:rPr>
              <w:t>肥城/泰安</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医养服务成本以人力（护理员薪酬）、设施（床位/适老化改造）、医疗（药品耗材）为主，重人力、低毛利。普惠养老机构床位费/护理费实行政府指导价，利润薄；长护险（450元/月生活照护补助+上门护理）与运营补贴（失能老人≥200元/月/人）构成关键收入补充，决定机构可持续。</w:t>
      </w:r>
    </w:p>
    <w:p>
      <w:pPr>
        <w:spacing w:lineRule="exact" w:line="600" w:before="120" w:after="120"/>
        <w:ind w:firstLine="420"/>
        <w:jc w:val="left"/>
      </w:pPr>
      <w:r>
        <w:rPr>
          <w:rFonts w:ascii="楷体_GB2312" w:hAnsi="楷体_GB2312" w:eastAsia="楷体_GB2312"/>
          <w:b w:val="0"/>
          <w:color w:val="000000"/>
          <w:sz w:val="32"/>
        </w:rPr>
        <w:t>（二）政策要素保障</w:t>
      </w:r>
    </w:p>
    <w:p>
      <w:pPr>
        <w:spacing w:lineRule="exact" w:line="600" w:before="0" w:after="0"/>
        <w:ind w:firstLine="420"/>
        <w:jc w:val="both"/>
      </w:pPr>
      <w:r>
        <w:rPr>
          <w:rFonts w:ascii="仿宋_GB2312" w:hAnsi="仿宋_GB2312" w:eastAsia="仿宋_GB2312"/>
          <w:b w:val="0"/>
          <w:color w:val="000000"/>
          <w:sz w:val="32"/>
        </w:rPr>
        <w:t>政策带动显效：为2家新建改建护理型机构一次性补贴371万元，为559名失能老人拨付203.3万元；贷款贴息（新增护理型普惠机构按≤60%基准利率、单项目≤50万）、运营补贴、租金减免、普惠养老专项再贷款等组合支持。经济困难失能集中照护由财政承担差额，保障兜底支付。</w:t>
      </w:r>
    </w:p>
    <w:p>
      <w:pPr>
        <w:spacing w:lineRule="exact" w:line="600" w:before="120" w:after="120"/>
        <w:ind w:firstLine="420"/>
        <w:jc w:val="left"/>
      </w:pPr>
      <w:r>
        <w:rPr>
          <w:rFonts w:ascii="楷体_GB2312" w:hAnsi="楷体_GB2312" w:eastAsia="楷体_GB2312"/>
          <w:b w:val="0"/>
          <w:color w:val="000000"/>
          <w:sz w:val="32"/>
        </w:rPr>
        <w:t>（三）资金保障</w:t>
      </w:r>
    </w:p>
    <w:p>
      <w:pPr>
        <w:spacing w:lineRule="exact" w:line="600" w:before="0" w:after="0"/>
        <w:ind w:firstLine="420"/>
        <w:jc w:val="both"/>
      </w:pPr>
      <w:r>
        <w:rPr>
          <w:rFonts w:ascii="仿宋_GB2312" w:hAnsi="仿宋_GB2312" w:eastAsia="仿宋_GB2312"/>
          <w:b w:val="0"/>
          <w:color w:val="000000"/>
          <w:sz w:val="32"/>
        </w:rPr>
        <w:t>养老项目重资产（床位建设）需项目贷与专项债；普惠机构可享贷款贴息与再贷款；省级专项资金（彩票公益金≥55%用于养老）与三年行动竞争立项奖补提供来源。肥城以国企办养老（红色医养）引入社会资本，缓解设施建设资金压力，但可持续盈利模式仍待打磨。</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要素指标</w:t>
            </w:r>
          </w:p>
        </w:tc>
        <w:tc>
          <w:tcPr>
            <w:tcW w:type="dxa" w:w="3969"/>
          </w:tcPr>
          <w:p>
            <w:pPr>
              <w:spacing w:lineRule="exact" w:line="600"/>
              <w:jc w:val="center"/>
            </w:pPr>
            <w:r/>
            <w:r>
              <w:rPr>
                <w:rFonts w:ascii="黑体" w:hAnsi="黑体" w:eastAsia="黑体"/>
                <w:b/>
                <w:color w:val="000000"/>
                <w:sz w:val="32"/>
              </w:rPr>
              <w:t>数值/特征</w:t>
            </w:r>
          </w:p>
        </w:tc>
        <w:tc>
          <w:tcPr>
            <w:tcW w:type="dxa" w:w="2835"/>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护理型补贴</w:t>
            </w:r>
          </w:p>
        </w:tc>
        <w:tc>
          <w:tcPr>
            <w:tcW w:type="dxa" w:w="3969"/>
          </w:tcPr>
          <w:p>
            <w:pPr>
              <w:spacing w:lineRule="exact" w:line="600"/>
              <w:jc w:val="center"/>
            </w:pPr>
            <w:r/>
            <w:r>
              <w:rPr>
                <w:rFonts w:ascii="仿宋_GB2312" w:hAnsi="仿宋_GB2312" w:eastAsia="仿宋_GB2312"/>
                <w:b w:val="0"/>
                <w:color w:val="000000"/>
                <w:sz w:val="32"/>
              </w:rPr>
              <w:t>371万元（2家机构）</w:t>
            </w:r>
          </w:p>
        </w:tc>
        <w:tc>
          <w:tcPr>
            <w:tcW w:type="dxa" w:w="2835"/>
          </w:tcPr>
          <w:p>
            <w:pPr>
              <w:spacing w:lineRule="exact" w:line="600"/>
              <w:jc w:val="center"/>
            </w:pPr>
            <w:r/>
            <w:r>
              <w:rPr>
                <w:rFonts w:ascii="仿宋_GB2312" w:hAnsi="仿宋_GB2312" w:eastAsia="仿宋_GB2312"/>
                <w:b w:val="0"/>
                <w:color w:val="000000"/>
                <w:sz w:val="32"/>
              </w:rPr>
              <w:t>肥城医养案例</w:t>
            </w:r>
          </w:p>
        </w:tc>
      </w:tr>
      <w:tr>
        <w:tc>
          <w:tcPr>
            <w:tcW w:type="dxa" w:w="2268"/>
          </w:tcPr>
          <w:p>
            <w:pPr>
              <w:spacing w:lineRule="exact" w:line="600"/>
              <w:jc w:val="center"/>
            </w:pPr>
            <w:r/>
            <w:r>
              <w:rPr>
                <w:rFonts w:ascii="仿宋_GB2312" w:hAnsi="仿宋_GB2312" w:eastAsia="仿宋_GB2312"/>
                <w:b w:val="0"/>
                <w:color w:val="000000"/>
                <w:sz w:val="32"/>
              </w:rPr>
              <w:t>失能老人拨付</w:t>
            </w:r>
          </w:p>
        </w:tc>
        <w:tc>
          <w:tcPr>
            <w:tcW w:type="dxa" w:w="3969"/>
          </w:tcPr>
          <w:p>
            <w:pPr>
              <w:spacing w:lineRule="exact" w:line="600"/>
              <w:jc w:val="center"/>
            </w:pPr>
            <w:r/>
            <w:r>
              <w:rPr>
                <w:rFonts w:ascii="仿宋_GB2312" w:hAnsi="仿宋_GB2312" w:eastAsia="仿宋_GB2312"/>
                <w:b w:val="0"/>
                <w:color w:val="000000"/>
                <w:sz w:val="32"/>
              </w:rPr>
              <w:t>203.3万元（559人）</w:t>
            </w:r>
          </w:p>
        </w:tc>
        <w:tc>
          <w:tcPr>
            <w:tcW w:type="dxa" w:w="2835"/>
          </w:tcPr>
          <w:p>
            <w:pPr>
              <w:spacing w:lineRule="exact" w:line="600"/>
              <w:jc w:val="center"/>
            </w:pPr>
            <w:r/>
            <w:r>
              <w:rPr>
                <w:rFonts w:ascii="仿宋_GB2312" w:hAnsi="仿宋_GB2312" w:eastAsia="仿宋_GB2312"/>
                <w:b w:val="0"/>
                <w:color w:val="000000"/>
                <w:sz w:val="32"/>
              </w:rPr>
              <w:t>肥城医养案例</w:t>
            </w:r>
          </w:p>
        </w:tc>
      </w:tr>
      <w:tr>
        <w:tc>
          <w:tcPr>
            <w:tcW w:type="dxa" w:w="2268"/>
          </w:tcPr>
          <w:p>
            <w:pPr>
              <w:spacing w:lineRule="exact" w:line="600"/>
              <w:jc w:val="center"/>
            </w:pPr>
            <w:r/>
            <w:r>
              <w:rPr>
                <w:rFonts w:ascii="仿宋_GB2312" w:hAnsi="仿宋_GB2312" w:eastAsia="仿宋_GB2312"/>
                <w:b w:val="0"/>
                <w:color w:val="000000"/>
                <w:sz w:val="32"/>
              </w:rPr>
              <w:t>长护险补助</w:t>
            </w:r>
          </w:p>
        </w:tc>
        <w:tc>
          <w:tcPr>
            <w:tcW w:type="dxa" w:w="3969"/>
          </w:tcPr>
          <w:p>
            <w:pPr>
              <w:spacing w:lineRule="exact" w:line="600"/>
              <w:jc w:val="center"/>
            </w:pPr>
            <w:r/>
            <w:r>
              <w:rPr>
                <w:rFonts w:ascii="仿宋_GB2312" w:hAnsi="仿宋_GB2312" w:eastAsia="仿宋_GB2312"/>
                <w:b w:val="0"/>
                <w:color w:val="000000"/>
                <w:sz w:val="32"/>
              </w:rPr>
              <w:t>450元/月生活照护</w:t>
            </w:r>
          </w:p>
        </w:tc>
        <w:tc>
          <w:tcPr>
            <w:tcW w:type="dxa" w:w="2835"/>
          </w:tcPr>
          <w:p>
            <w:pPr>
              <w:spacing w:lineRule="exact" w:line="600"/>
              <w:jc w:val="center"/>
            </w:pPr>
            <w:r/>
            <w:r>
              <w:rPr>
                <w:rFonts w:ascii="仿宋_GB2312" w:hAnsi="仿宋_GB2312" w:eastAsia="仿宋_GB2312"/>
                <w:b w:val="0"/>
                <w:color w:val="000000"/>
                <w:sz w:val="32"/>
              </w:rPr>
              <w:t>泰安「1+1」</w:t>
            </w:r>
          </w:p>
        </w:tc>
      </w:tr>
      <w:tr>
        <w:tc>
          <w:tcPr>
            <w:tcW w:type="dxa" w:w="2268"/>
          </w:tcPr>
          <w:p>
            <w:pPr>
              <w:spacing w:lineRule="exact" w:line="600"/>
              <w:jc w:val="center"/>
            </w:pPr>
            <w:r/>
            <w:r>
              <w:rPr>
                <w:rFonts w:ascii="仿宋_GB2312" w:hAnsi="仿宋_GB2312" w:eastAsia="仿宋_GB2312"/>
                <w:b w:val="0"/>
                <w:color w:val="000000"/>
                <w:sz w:val="32"/>
              </w:rPr>
              <w:t>贷款贴息</w:t>
            </w:r>
          </w:p>
        </w:tc>
        <w:tc>
          <w:tcPr>
            <w:tcW w:type="dxa" w:w="3969"/>
          </w:tcPr>
          <w:p>
            <w:pPr>
              <w:spacing w:lineRule="exact" w:line="600"/>
              <w:jc w:val="center"/>
            </w:pPr>
            <w:r/>
            <w:r>
              <w:rPr>
                <w:rFonts w:ascii="仿宋_GB2312" w:hAnsi="仿宋_GB2312" w:eastAsia="仿宋_GB2312"/>
                <w:b w:val="0"/>
                <w:color w:val="000000"/>
                <w:sz w:val="32"/>
              </w:rPr>
              <w:t>≤60%利率/≤50万</w:t>
            </w:r>
          </w:p>
        </w:tc>
        <w:tc>
          <w:tcPr>
            <w:tcW w:type="dxa" w:w="2835"/>
          </w:tcPr>
          <w:p>
            <w:pPr>
              <w:spacing w:lineRule="exact" w:line="600"/>
              <w:jc w:val="center"/>
            </w:pPr>
            <w:r/>
            <w:r>
              <w:rPr>
                <w:rFonts w:ascii="仿宋_GB2312" w:hAnsi="仿宋_GB2312" w:eastAsia="仿宋_GB2312"/>
                <w:b w:val="0"/>
                <w:color w:val="000000"/>
                <w:sz w:val="32"/>
              </w:rPr>
              <w:t>省普惠办法</w:t>
            </w:r>
          </w:p>
        </w:tc>
      </w:tr>
      <w:tr>
        <w:tc>
          <w:tcPr>
            <w:tcW w:type="dxa" w:w="2268"/>
          </w:tcPr>
          <w:p>
            <w:pPr>
              <w:spacing w:lineRule="exact" w:line="600"/>
              <w:jc w:val="center"/>
            </w:pPr>
            <w:r/>
            <w:r>
              <w:rPr>
                <w:rFonts w:ascii="仿宋_GB2312" w:hAnsi="仿宋_GB2312" w:eastAsia="仿宋_GB2312"/>
                <w:b w:val="0"/>
                <w:color w:val="000000"/>
                <w:sz w:val="32"/>
              </w:rPr>
              <w:t>运营补贴</w:t>
            </w:r>
          </w:p>
        </w:tc>
        <w:tc>
          <w:tcPr>
            <w:tcW w:type="dxa" w:w="3969"/>
          </w:tcPr>
          <w:p>
            <w:pPr>
              <w:spacing w:lineRule="exact" w:line="600"/>
              <w:jc w:val="center"/>
            </w:pPr>
            <w:r/>
            <w:r>
              <w:rPr>
                <w:rFonts w:ascii="仿宋_GB2312" w:hAnsi="仿宋_GB2312" w:eastAsia="仿宋_GB2312"/>
                <w:b w:val="0"/>
                <w:color w:val="000000"/>
                <w:sz w:val="32"/>
              </w:rPr>
              <w:t>≥200元/月/人</w:t>
            </w:r>
          </w:p>
        </w:tc>
        <w:tc>
          <w:tcPr>
            <w:tcW w:type="dxa" w:w="2835"/>
          </w:tcPr>
          <w:p>
            <w:pPr>
              <w:spacing w:lineRule="exact" w:line="600"/>
              <w:jc w:val="center"/>
            </w:pPr>
            <w:r/>
            <w:r>
              <w:rPr>
                <w:rFonts w:ascii="仿宋_GB2312" w:hAnsi="仿宋_GB2312" w:eastAsia="仿宋_GB2312"/>
                <w:b w:val="0"/>
                <w:color w:val="000000"/>
                <w:sz w:val="32"/>
              </w:rPr>
              <w:t>省三年行动</w:t>
            </w:r>
          </w:p>
        </w:tc>
      </w:tr>
    </w:tbl>
    <w:p>
      <w:pPr>
        <w:spacing w:lineRule="exact" w:line="600" w:before="120" w:after="120"/>
        <w:ind w:firstLine="420"/>
        <w:jc w:val="left"/>
      </w:pPr>
      <w:r>
        <w:rPr>
          <w:rFonts w:ascii="楷体_GB2312" w:hAnsi="楷体_GB2312" w:eastAsia="楷体_GB2312"/>
          <w:b w:val="0"/>
          <w:color w:val="000000"/>
          <w:sz w:val="32"/>
        </w:rPr>
        <w:t>制盐成本与效益（本批真实数据补充·来源见正文）</w:t>
      </w:r>
    </w:p>
    <w:p>
      <w:pPr>
        <w:spacing w:lineRule="exact" w:line="600" w:before="0" w:after="0"/>
        <w:ind w:firstLine="420"/>
        <w:jc w:val="both"/>
      </w:pPr>
      <w:r>
        <w:rPr>
          <w:rFonts w:ascii="仿宋_GB2312" w:hAnsi="仿宋_GB2312" w:eastAsia="仿宋_GB2312"/>
          <w:b w:val="0"/>
          <w:color w:val="000000"/>
          <w:sz w:val="32"/>
        </w:rPr>
        <w:t>肥城精制盐厂整体搬迁至经开区后，吨盐成本直接下降12元；海晶盐化120万吨/年绿色生态精制盐项目总投资6.7亿元，建成后年均销售收入8亿元、利润总额近1.5亿元。盐穴资源为储能提供低成本腔体空间。（来源：今日头条2024肥城制盐项目、肥城经开区）</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要素指标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效果</w:t>
            </w:r>
          </w:p>
        </w:tc>
      </w:tr>
      <w:tr>
        <w:tc>
          <w:tcPr>
            <w:tcW w:type="dxa" w:w="3118"/>
          </w:tcPr>
          <w:p>
            <w:pPr>
              <w:spacing w:lineRule="exact" w:line="600"/>
              <w:jc w:val="center"/>
            </w:pPr>
            <w:r/>
            <w:r>
              <w:rPr>
                <w:rFonts w:ascii="仿宋_GB2312" w:hAnsi="仿宋_GB2312" w:eastAsia="仿宋_GB2312"/>
                <w:b w:val="0"/>
                <w:color w:val="000000"/>
                <w:sz w:val="32"/>
              </w:rPr>
              <w:t>吨盐成本下降</w:t>
            </w:r>
          </w:p>
        </w:tc>
        <w:tc>
          <w:tcPr>
            <w:tcW w:type="dxa" w:w="2835"/>
          </w:tcPr>
          <w:p>
            <w:pPr>
              <w:spacing w:lineRule="exact" w:line="600"/>
              <w:jc w:val="center"/>
            </w:pPr>
            <w:r/>
            <w:r>
              <w:rPr>
                <w:rFonts w:ascii="仿宋_GB2312" w:hAnsi="仿宋_GB2312" w:eastAsia="仿宋_GB2312"/>
                <w:b w:val="0"/>
                <w:color w:val="000000"/>
                <w:sz w:val="32"/>
              </w:rPr>
              <w:t>12元</w:t>
            </w:r>
          </w:p>
        </w:tc>
        <w:tc>
          <w:tcPr>
            <w:tcW w:type="dxa" w:w="2551"/>
          </w:tcPr>
          <w:p>
            <w:pPr>
              <w:spacing w:lineRule="exact" w:line="600"/>
              <w:jc w:val="center"/>
            </w:pPr>
            <w:r/>
            <w:r>
              <w:rPr>
                <w:rFonts w:ascii="仿宋_GB2312" w:hAnsi="仿宋_GB2312" w:eastAsia="仿宋_GB2312"/>
                <w:b w:val="0"/>
                <w:color w:val="000000"/>
                <w:sz w:val="32"/>
              </w:rPr>
              <w:t>搬迁新厂区</w:t>
            </w:r>
          </w:p>
        </w:tc>
      </w:tr>
      <w:tr>
        <w:tc>
          <w:tcPr>
            <w:tcW w:type="dxa" w:w="3118"/>
          </w:tcPr>
          <w:p>
            <w:pPr>
              <w:spacing w:lineRule="exact" w:line="600"/>
              <w:jc w:val="center"/>
            </w:pPr>
            <w:r/>
            <w:r>
              <w:rPr>
                <w:rFonts w:ascii="仿宋_GB2312" w:hAnsi="仿宋_GB2312" w:eastAsia="仿宋_GB2312"/>
                <w:b w:val="0"/>
                <w:color w:val="000000"/>
                <w:sz w:val="32"/>
              </w:rPr>
              <w:t>海晶项目总投资</w:t>
            </w:r>
          </w:p>
        </w:tc>
        <w:tc>
          <w:tcPr>
            <w:tcW w:type="dxa" w:w="2835"/>
          </w:tcPr>
          <w:p>
            <w:pPr>
              <w:spacing w:lineRule="exact" w:line="600"/>
              <w:jc w:val="center"/>
            </w:pPr>
            <w:r/>
            <w:r>
              <w:rPr>
                <w:rFonts w:ascii="仿宋_GB2312" w:hAnsi="仿宋_GB2312" w:eastAsia="仿宋_GB2312"/>
                <w:b w:val="0"/>
                <w:color w:val="000000"/>
                <w:sz w:val="32"/>
              </w:rPr>
              <w:t>6.7亿元</w:t>
            </w:r>
          </w:p>
        </w:tc>
        <w:tc>
          <w:tcPr>
            <w:tcW w:type="dxa" w:w="2551"/>
          </w:tcPr>
          <w:p>
            <w:pPr>
              <w:spacing w:lineRule="exact" w:line="600"/>
              <w:jc w:val="center"/>
            </w:pPr>
            <w:r/>
            <w:r>
              <w:rPr>
                <w:rFonts w:ascii="仿宋_GB2312" w:hAnsi="仿宋_GB2312" w:eastAsia="仿宋_GB2312"/>
                <w:b w:val="0"/>
                <w:color w:val="000000"/>
                <w:sz w:val="32"/>
              </w:rPr>
              <w:t>120万吨/年</w:t>
            </w:r>
          </w:p>
        </w:tc>
      </w:tr>
      <w:tr>
        <w:tc>
          <w:tcPr>
            <w:tcW w:type="dxa" w:w="3118"/>
          </w:tcPr>
          <w:p>
            <w:pPr>
              <w:spacing w:lineRule="exact" w:line="600"/>
              <w:jc w:val="center"/>
            </w:pPr>
            <w:r/>
            <w:r>
              <w:rPr>
                <w:rFonts w:ascii="仿宋_GB2312" w:hAnsi="仿宋_GB2312" w:eastAsia="仿宋_GB2312"/>
                <w:b w:val="0"/>
                <w:color w:val="000000"/>
                <w:sz w:val="32"/>
              </w:rPr>
              <w:t>海晶年均销售收入</w:t>
            </w:r>
          </w:p>
        </w:tc>
        <w:tc>
          <w:tcPr>
            <w:tcW w:type="dxa" w:w="2835"/>
          </w:tcPr>
          <w:p>
            <w:pPr>
              <w:spacing w:lineRule="exact" w:line="600"/>
              <w:jc w:val="center"/>
            </w:pPr>
            <w:r/>
            <w:r>
              <w:rPr>
                <w:rFonts w:ascii="仿宋_GB2312" w:hAnsi="仿宋_GB2312" w:eastAsia="仿宋_GB2312"/>
                <w:b w:val="0"/>
                <w:color w:val="000000"/>
                <w:sz w:val="32"/>
              </w:rPr>
              <w:t>8亿元</w:t>
            </w:r>
          </w:p>
        </w:tc>
        <w:tc>
          <w:tcPr>
            <w:tcW w:type="dxa" w:w="2551"/>
          </w:tcPr>
          <w:p>
            <w:pPr>
              <w:spacing w:lineRule="exact" w:line="600"/>
              <w:jc w:val="center"/>
            </w:pPr>
            <w:r/>
            <w:r>
              <w:rPr>
                <w:rFonts w:ascii="仿宋_GB2312" w:hAnsi="仿宋_GB2312" w:eastAsia="仿宋_GB2312"/>
                <w:b w:val="0"/>
                <w:color w:val="000000"/>
                <w:sz w:val="32"/>
              </w:rPr>
              <w:t>利润近1.5亿元</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老龄化与银发经济政策放大需求；省级三年行动与普惠办法（2024.9）提供制度与资金保障；肥城高覆盖率（94.3%）与五种模式形成示范；长护险扩面、智慧养老院与「五床联动」打开增量；盐穴储能等产业反哺可支撑国企办养老，撬动银发经济。</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专业护理人才短缺、流失率高；农村养老设施与支付能力弱；机构盈利薄、依赖补贴；智慧化平台起步晚；个性化高品质康养（旅居、文化养老）供给不足，与「岩盐医养健康」品牌尚待深度绑定。</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医保/长护基金支付压力随失能人口上升而加大；民办机构若收费超普惠协议价将取消资格；安全事故（跌倒、食品、消防）触发退出机制；人口流出致农村养老机构入住率不足；过度依赖财政补贴的可持续风险。</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风险类别</w:t>
            </w:r>
          </w:p>
        </w:tc>
        <w:tc>
          <w:tcPr>
            <w:tcW w:type="dxa" w:w="4535"/>
          </w:tcPr>
          <w:p>
            <w:pPr>
              <w:spacing w:lineRule="exact" w:line="600"/>
              <w:jc w:val="center"/>
            </w:pPr>
            <w:r/>
            <w:r>
              <w:rPr>
                <w:rFonts w:ascii="黑体" w:hAnsi="黑体" w:eastAsia="黑体"/>
                <w:b/>
                <w:color w:val="000000"/>
                <w:sz w:val="32"/>
              </w:rPr>
              <w:t>表现</w:t>
            </w:r>
          </w:p>
        </w:tc>
        <w:tc>
          <w:tcPr>
            <w:tcW w:type="dxa" w:w="2268"/>
          </w:tcPr>
          <w:p>
            <w:pPr>
              <w:spacing w:lineRule="exact" w:line="600"/>
              <w:jc w:val="center"/>
            </w:pPr>
            <w:r/>
            <w:r>
              <w:rPr>
                <w:rFonts w:ascii="黑体" w:hAnsi="黑体" w:eastAsia="黑体"/>
                <w:b/>
                <w:color w:val="000000"/>
                <w:sz w:val="32"/>
              </w:rPr>
              <w:t>影响</w:t>
            </w:r>
          </w:p>
        </w:tc>
      </w:tr>
      <w:tr>
        <w:tc>
          <w:tcPr>
            <w:tcW w:type="dxa" w:w="1701"/>
          </w:tcPr>
          <w:p>
            <w:pPr>
              <w:spacing w:lineRule="exact" w:line="600"/>
              <w:jc w:val="center"/>
            </w:pPr>
            <w:r/>
            <w:r>
              <w:rPr>
                <w:rFonts w:ascii="仿宋_GB2312" w:hAnsi="仿宋_GB2312" w:eastAsia="仿宋_GB2312"/>
                <w:b w:val="0"/>
                <w:color w:val="000000"/>
                <w:sz w:val="32"/>
              </w:rPr>
              <w:t>支付压力</w:t>
            </w:r>
          </w:p>
        </w:tc>
        <w:tc>
          <w:tcPr>
            <w:tcW w:type="dxa" w:w="4535"/>
          </w:tcPr>
          <w:p>
            <w:pPr>
              <w:spacing w:lineRule="exact" w:line="600"/>
              <w:jc w:val="center"/>
            </w:pPr>
            <w:r/>
            <w:r>
              <w:rPr>
                <w:rFonts w:ascii="仿宋_GB2312" w:hAnsi="仿宋_GB2312" w:eastAsia="仿宋_GB2312"/>
                <w:b w:val="0"/>
                <w:color w:val="000000"/>
                <w:sz w:val="32"/>
              </w:rPr>
              <w:t>长护基金承压</w:t>
            </w:r>
          </w:p>
        </w:tc>
        <w:tc>
          <w:tcPr>
            <w:tcW w:type="dxa" w:w="2268"/>
          </w:tcPr>
          <w:p>
            <w:pPr>
              <w:spacing w:lineRule="exact" w:line="600"/>
              <w:jc w:val="center"/>
            </w:pPr>
            <w:r/>
            <w:r>
              <w:rPr>
                <w:rFonts w:ascii="仿宋_GB2312" w:hAnsi="仿宋_GB2312" w:eastAsia="仿宋_GB2312"/>
                <w:b w:val="0"/>
                <w:color w:val="000000"/>
                <w:sz w:val="32"/>
              </w:rPr>
              <w:t>中高</w:t>
            </w:r>
          </w:p>
        </w:tc>
      </w:tr>
      <w:tr>
        <w:tc>
          <w:tcPr>
            <w:tcW w:type="dxa" w:w="1701"/>
          </w:tcPr>
          <w:p>
            <w:pPr>
              <w:spacing w:lineRule="exact" w:line="600"/>
              <w:jc w:val="center"/>
            </w:pPr>
            <w:r/>
            <w:r>
              <w:rPr>
                <w:rFonts w:ascii="仿宋_GB2312" w:hAnsi="仿宋_GB2312" w:eastAsia="仿宋_GB2312"/>
                <w:b w:val="0"/>
                <w:color w:val="000000"/>
                <w:sz w:val="32"/>
              </w:rPr>
              <w:t>人才</w:t>
            </w:r>
          </w:p>
        </w:tc>
        <w:tc>
          <w:tcPr>
            <w:tcW w:type="dxa" w:w="4535"/>
          </w:tcPr>
          <w:p>
            <w:pPr>
              <w:spacing w:lineRule="exact" w:line="600"/>
              <w:jc w:val="center"/>
            </w:pPr>
            <w:r/>
            <w:r>
              <w:rPr>
                <w:rFonts w:ascii="仿宋_GB2312" w:hAnsi="仿宋_GB2312" w:eastAsia="仿宋_GB2312"/>
                <w:b w:val="0"/>
                <w:color w:val="000000"/>
                <w:sz w:val="32"/>
              </w:rPr>
              <w:t>短缺流失</w:t>
            </w:r>
          </w:p>
        </w:tc>
        <w:tc>
          <w:tcPr>
            <w:tcW w:type="dxa" w:w="2268"/>
          </w:tcPr>
          <w:p>
            <w:pPr>
              <w:spacing w:lineRule="exact" w:line="600"/>
              <w:jc w:val="center"/>
            </w:pPr>
            <w:r/>
            <w:r>
              <w:rPr>
                <w:rFonts w:ascii="仿宋_GB2312" w:hAnsi="仿宋_GB2312" w:eastAsia="仿宋_GB2312"/>
                <w:b w:val="0"/>
                <w:color w:val="000000"/>
                <w:sz w:val="32"/>
              </w:rPr>
              <w:t>中</w:t>
            </w:r>
          </w:p>
        </w:tc>
      </w:tr>
      <w:tr>
        <w:tc>
          <w:tcPr>
            <w:tcW w:type="dxa" w:w="1701"/>
          </w:tcPr>
          <w:p>
            <w:pPr>
              <w:spacing w:lineRule="exact" w:line="600"/>
              <w:jc w:val="center"/>
            </w:pPr>
            <w:r/>
            <w:r>
              <w:rPr>
                <w:rFonts w:ascii="仿宋_GB2312" w:hAnsi="仿宋_GB2312" w:eastAsia="仿宋_GB2312"/>
                <w:b w:val="0"/>
                <w:color w:val="000000"/>
                <w:sz w:val="32"/>
              </w:rPr>
              <w:t>安全</w:t>
            </w:r>
          </w:p>
        </w:tc>
        <w:tc>
          <w:tcPr>
            <w:tcW w:type="dxa" w:w="4535"/>
          </w:tcPr>
          <w:p>
            <w:pPr>
              <w:spacing w:lineRule="exact" w:line="600"/>
              <w:jc w:val="center"/>
            </w:pPr>
            <w:r/>
            <w:r>
              <w:rPr>
                <w:rFonts w:ascii="仿宋_GB2312" w:hAnsi="仿宋_GB2312" w:eastAsia="仿宋_GB2312"/>
                <w:b w:val="0"/>
                <w:color w:val="000000"/>
                <w:sz w:val="32"/>
              </w:rPr>
              <w:t>事故触发退出</w:t>
            </w:r>
          </w:p>
        </w:tc>
        <w:tc>
          <w:tcPr>
            <w:tcW w:type="dxa" w:w="2268"/>
          </w:tcPr>
          <w:p>
            <w:pPr>
              <w:spacing w:lineRule="exact" w:line="600"/>
              <w:jc w:val="center"/>
            </w:pPr>
            <w:r/>
            <w:r>
              <w:rPr>
                <w:rFonts w:ascii="仿宋_GB2312" w:hAnsi="仿宋_GB2312" w:eastAsia="仿宋_GB2312"/>
                <w:b w:val="0"/>
                <w:color w:val="000000"/>
                <w:sz w:val="32"/>
              </w:rPr>
              <w:t>高</w:t>
            </w:r>
          </w:p>
        </w:tc>
      </w:tr>
      <w:tr>
        <w:tc>
          <w:tcPr>
            <w:tcW w:type="dxa" w:w="1701"/>
          </w:tcPr>
          <w:p>
            <w:pPr>
              <w:spacing w:lineRule="exact" w:line="600"/>
              <w:jc w:val="center"/>
            </w:pPr>
            <w:r/>
            <w:r>
              <w:rPr>
                <w:rFonts w:ascii="仿宋_GB2312" w:hAnsi="仿宋_GB2312" w:eastAsia="仿宋_GB2312"/>
                <w:b w:val="0"/>
                <w:color w:val="000000"/>
                <w:sz w:val="32"/>
              </w:rPr>
              <w:t>可持续</w:t>
            </w:r>
          </w:p>
        </w:tc>
        <w:tc>
          <w:tcPr>
            <w:tcW w:type="dxa" w:w="4535"/>
          </w:tcPr>
          <w:p>
            <w:pPr>
              <w:spacing w:lineRule="exact" w:line="600"/>
              <w:jc w:val="center"/>
            </w:pPr>
            <w:r/>
            <w:r>
              <w:rPr>
                <w:rFonts w:ascii="仿宋_GB2312" w:hAnsi="仿宋_GB2312" w:eastAsia="仿宋_GB2312"/>
                <w:b w:val="0"/>
                <w:color w:val="000000"/>
                <w:sz w:val="32"/>
              </w:rPr>
              <w:t>依赖补贴</w:t>
            </w:r>
          </w:p>
        </w:tc>
        <w:tc>
          <w:tcPr>
            <w:tcW w:type="dxa" w:w="2268"/>
          </w:tcPr>
          <w:p>
            <w:pPr>
              <w:spacing w:lineRule="exact" w:line="600"/>
              <w:jc w:val="center"/>
            </w:pPr>
            <w:r/>
            <w:r>
              <w:rPr>
                <w:rFonts w:ascii="仿宋_GB2312" w:hAnsi="仿宋_GB2312" w:eastAsia="仿宋_GB2312"/>
                <w:b w:val="0"/>
                <w:color w:val="000000"/>
                <w:sz w:val="32"/>
              </w:rPr>
              <w:t>中</w:t>
            </w:r>
          </w:p>
        </w:tc>
      </w:tr>
      <w:tr>
        <w:tc>
          <w:tcPr>
            <w:tcW w:type="dxa" w:w="1701"/>
          </w:tcPr>
          <w:p>
            <w:pPr>
              <w:spacing w:lineRule="exact" w:line="600"/>
              <w:jc w:val="center"/>
            </w:pPr>
            <w:r/>
            <w:r>
              <w:rPr>
                <w:rFonts w:ascii="仿宋_GB2312" w:hAnsi="仿宋_GB2312" w:eastAsia="仿宋_GB2312"/>
                <w:b w:val="0"/>
                <w:color w:val="000000"/>
                <w:sz w:val="32"/>
              </w:rPr>
              <w:t>农村</w:t>
            </w:r>
          </w:p>
        </w:tc>
        <w:tc>
          <w:tcPr>
            <w:tcW w:type="dxa" w:w="4535"/>
          </w:tcPr>
          <w:p>
            <w:pPr>
              <w:spacing w:lineRule="exact" w:line="600"/>
              <w:jc w:val="center"/>
            </w:pPr>
            <w:r/>
            <w:r>
              <w:rPr>
                <w:rFonts w:ascii="仿宋_GB2312" w:hAnsi="仿宋_GB2312" w:eastAsia="仿宋_GB2312"/>
                <w:b w:val="0"/>
                <w:color w:val="000000"/>
                <w:sz w:val="32"/>
              </w:rPr>
              <w:t>入住率不足</w:t>
            </w:r>
          </w:p>
        </w:tc>
        <w:tc>
          <w:tcPr>
            <w:tcW w:type="dxa" w:w="2268"/>
          </w:tcPr>
          <w:p>
            <w:pPr>
              <w:spacing w:lineRule="exact" w:line="600"/>
              <w:jc w:val="center"/>
            </w:pPr>
            <w:r/>
            <w:r>
              <w:rPr>
                <w:rFonts w:ascii="仿宋_GB2312" w:hAnsi="仿宋_GB2312" w:eastAsia="仿宋_GB2312"/>
                <w:b w:val="0"/>
                <w:color w:val="000000"/>
                <w:sz w:val="32"/>
              </w:rPr>
              <w:t>中</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（一）模式深化与扩面</w:t>
      </w:r>
    </w:p>
    <w:p>
      <w:pPr>
        <w:spacing w:lineRule="exact" w:line="600" w:before="0" w:after="0"/>
        <w:ind w:firstLine="420"/>
        <w:jc w:val="both"/>
      </w:pPr>
      <w:r>
        <w:rPr>
          <w:rFonts w:ascii="仿宋_GB2312" w:hAnsi="仿宋_GB2312" w:eastAsia="仿宋_GB2312"/>
          <w:b w:val="0"/>
          <w:color w:val="000000"/>
          <w:sz w:val="32"/>
        </w:rPr>
        <w:t>巩固五种模式，推动长护险从职工向城乡居民全覆盖（省定2025目标），扩大「五床联动」试点；以红色医养统筹国企与社区，建设居家社区养老服务网络，争创全省养老服务高质量发展提升行动试点市，形成可复制县域范式。</w:t>
      </w:r>
    </w:p>
    <w:p>
      <w:pPr>
        <w:spacing w:lineRule="exact" w:line="600" w:before="120" w:after="120"/>
        <w:ind w:firstLine="420"/>
        <w:jc w:val="left"/>
      </w:pPr>
      <w:r>
        <w:rPr>
          <w:rFonts w:ascii="楷体_GB2312" w:hAnsi="楷体_GB2312" w:eastAsia="楷体_GB2312"/>
          <w:b w:val="0"/>
          <w:color w:val="000000"/>
          <w:sz w:val="32"/>
        </w:rPr>
        <w:t>（二）智慧与品牌融合</w:t>
      </w:r>
    </w:p>
    <w:p>
      <w:pPr>
        <w:spacing w:lineRule="exact" w:line="600" w:before="0" w:after="0"/>
        <w:ind w:firstLine="420"/>
        <w:jc w:val="both"/>
      </w:pPr>
      <w:r>
        <w:rPr>
          <w:rFonts w:ascii="仿宋_GB2312" w:hAnsi="仿宋_GB2312" w:eastAsia="仿宋_GB2312"/>
          <w:b w:val="0"/>
          <w:color w:val="000000"/>
          <w:sz w:val="32"/>
        </w:rPr>
        <w:t>建设肥城智慧养老平台，对接「互联网+护理」与远程问诊，向智慧养老院（省级100家目标）靠拢；将「岩盐医养健康」区域品牌与康养文旅（盐疗、温泉、旅居）融合，发展文化养老、健康养老新型消费，提升服务附加值与吸引力。</w:t>
      </w:r>
    </w:p>
    <w:p>
      <w:pPr>
        <w:spacing w:lineRule="exact" w:line="600" w:before="120" w:after="120"/>
        <w:ind w:firstLine="420"/>
        <w:jc w:val="left"/>
      </w:pPr>
      <w:r>
        <w:rPr>
          <w:rFonts w:ascii="楷体_GB2312" w:hAnsi="楷体_GB2312" w:eastAsia="楷体_GB2312"/>
          <w:b w:val="0"/>
          <w:color w:val="000000"/>
          <w:sz w:val="32"/>
        </w:rPr>
        <w:t>（三）人才与产业反哺</w:t>
      </w:r>
    </w:p>
    <w:p>
      <w:pPr>
        <w:spacing w:lineRule="exact" w:line="600" w:before="0" w:after="0"/>
        <w:ind w:firstLine="420"/>
        <w:jc w:val="both"/>
      </w:pPr>
      <w:r>
        <w:rPr>
          <w:rFonts w:ascii="仿宋_GB2312" w:hAnsi="仿宋_GB2312" w:eastAsia="仿宋_GB2312"/>
          <w:b w:val="0"/>
          <w:color w:val="000000"/>
          <w:sz w:val="32"/>
        </w:rPr>
        <w:t>扩大医养结合培训与「齐鲁和谐使者」遴选，稳定护理队伍；以盐穴储能、岩盐健康制造反哺养老设施建设（国企办养老），设立银发经济产业基金，联通「制造—服务—消费」闭环，打造「盐养结合」特色IP。</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升级方向</w:t>
            </w:r>
          </w:p>
        </w:tc>
        <w:tc>
          <w:tcPr>
            <w:tcW w:type="dxa" w:w="4535"/>
          </w:tcPr>
          <w:p>
            <w:pPr>
              <w:spacing w:lineRule="exact" w:line="600"/>
              <w:jc w:val="center"/>
            </w:pPr>
            <w:r/>
            <w:r>
              <w:rPr>
                <w:rFonts w:ascii="黑体" w:hAnsi="黑体" w:eastAsia="黑体"/>
                <w:b/>
                <w:color w:val="000000"/>
                <w:sz w:val="32"/>
              </w:rPr>
              <w:t>重点内容</w:t>
            </w:r>
          </w:p>
        </w:tc>
        <w:tc>
          <w:tcPr>
            <w:tcW w:type="dxa" w:w="2268"/>
          </w:tcPr>
          <w:p>
            <w:pPr>
              <w:spacing w:lineRule="exact" w:line="600"/>
              <w:jc w:val="center"/>
            </w:pPr>
            <w:r/>
            <w:r>
              <w:rPr>
                <w:rFonts w:ascii="黑体" w:hAnsi="黑体" w:eastAsia="黑体"/>
                <w:b/>
                <w:color w:val="000000"/>
                <w:sz w:val="32"/>
              </w:rPr>
              <w:t>目标</w:t>
            </w:r>
          </w:p>
        </w:tc>
      </w:tr>
      <w:tr>
        <w:tc>
          <w:tcPr>
            <w:tcW w:type="dxa" w:w="1701"/>
          </w:tcPr>
          <w:p>
            <w:pPr>
              <w:spacing w:lineRule="exact" w:line="600"/>
              <w:jc w:val="center"/>
            </w:pPr>
            <w:r/>
            <w:r>
              <w:rPr>
                <w:rFonts w:ascii="仿宋_GB2312" w:hAnsi="仿宋_GB2312" w:eastAsia="仿宋_GB2312"/>
                <w:b w:val="0"/>
                <w:color w:val="000000"/>
                <w:sz w:val="32"/>
              </w:rPr>
              <w:t>模式扩面</w:t>
            </w:r>
          </w:p>
        </w:tc>
        <w:tc>
          <w:tcPr>
            <w:tcW w:type="dxa" w:w="4535"/>
          </w:tcPr>
          <w:p>
            <w:pPr>
              <w:spacing w:lineRule="exact" w:line="600"/>
              <w:jc w:val="center"/>
            </w:pPr>
            <w:r/>
            <w:r>
              <w:rPr>
                <w:rFonts w:ascii="仿宋_GB2312" w:hAnsi="仿宋_GB2312" w:eastAsia="仿宋_GB2312"/>
                <w:b w:val="0"/>
                <w:color w:val="000000"/>
                <w:sz w:val="32"/>
              </w:rPr>
              <w:t>长护全覆盖+五床联动</w:t>
            </w:r>
          </w:p>
        </w:tc>
        <w:tc>
          <w:tcPr>
            <w:tcW w:type="dxa" w:w="2268"/>
          </w:tcPr>
          <w:p>
            <w:pPr>
              <w:spacing w:lineRule="exact" w:line="600"/>
              <w:jc w:val="center"/>
            </w:pPr>
            <w:r/>
            <w:r>
              <w:rPr>
                <w:rFonts w:ascii="仿宋_GB2312" w:hAnsi="仿宋_GB2312" w:eastAsia="仿宋_GB2312"/>
                <w:b w:val="0"/>
                <w:color w:val="000000"/>
                <w:sz w:val="32"/>
              </w:rPr>
              <w:t>试点市</w:t>
            </w:r>
          </w:p>
        </w:tc>
      </w:tr>
      <w:tr>
        <w:tc>
          <w:tcPr>
            <w:tcW w:type="dxa" w:w="1701"/>
          </w:tcPr>
          <w:p>
            <w:pPr>
              <w:spacing w:lineRule="exact" w:line="600"/>
              <w:jc w:val="center"/>
            </w:pPr>
            <w:r/>
            <w:r>
              <w:rPr>
                <w:rFonts w:ascii="仿宋_GB2312" w:hAnsi="仿宋_GB2312" w:eastAsia="仿宋_GB2312"/>
                <w:b w:val="0"/>
                <w:color w:val="000000"/>
                <w:sz w:val="32"/>
              </w:rPr>
              <w:t>智慧品牌</w:t>
            </w:r>
          </w:p>
        </w:tc>
        <w:tc>
          <w:tcPr>
            <w:tcW w:type="dxa" w:w="4535"/>
          </w:tcPr>
          <w:p>
            <w:pPr>
              <w:spacing w:lineRule="exact" w:line="600"/>
              <w:jc w:val="center"/>
            </w:pPr>
            <w:r/>
            <w:r>
              <w:rPr>
                <w:rFonts w:ascii="仿宋_GB2312" w:hAnsi="仿宋_GB2312" w:eastAsia="仿宋_GB2312"/>
                <w:b w:val="0"/>
                <w:color w:val="000000"/>
                <w:sz w:val="32"/>
              </w:rPr>
              <w:t>养老平台+盐养文旅</w:t>
            </w:r>
          </w:p>
        </w:tc>
        <w:tc>
          <w:tcPr>
            <w:tcW w:type="dxa" w:w="2268"/>
          </w:tcPr>
          <w:p>
            <w:pPr>
              <w:spacing w:lineRule="exact" w:line="600"/>
              <w:jc w:val="center"/>
            </w:pPr>
            <w:r/>
            <w:r>
              <w:rPr>
                <w:rFonts w:ascii="仿宋_GB2312" w:hAnsi="仿宋_GB2312" w:eastAsia="仿宋_GB2312"/>
                <w:b w:val="0"/>
                <w:color w:val="000000"/>
                <w:sz w:val="32"/>
              </w:rPr>
              <w:t>附加值</w:t>
            </w:r>
          </w:p>
        </w:tc>
      </w:tr>
      <w:tr>
        <w:tc>
          <w:tcPr>
            <w:tcW w:type="dxa" w:w="1701"/>
          </w:tcPr>
          <w:p>
            <w:pPr>
              <w:spacing w:lineRule="exact" w:line="600"/>
              <w:jc w:val="center"/>
            </w:pPr>
            <w:r/>
            <w:r>
              <w:rPr>
                <w:rFonts w:ascii="仿宋_GB2312" w:hAnsi="仿宋_GB2312" w:eastAsia="仿宋_GB2312"/>
                <w:b w:val="0"/>
                <w:color w:val="000000"/>
                <w:sz w:val="32"/>
              </w:rPr>
              <w:t>反哺</w:t>
            </w:r>
          </w:p>
        </w:tc>
        <w:tc>
          <w:tcPr>
            <w:tcW w:type="dxa" w:w="4535"/>
          </w:tcPr>
          <w:p>
            <w:pPr>
              <w:spacing w:lineRule="exact" w:line="600"/>
              <w:jc w:val="center"/>
            </w:pPr>
            <w:r/>
            <w:r>
              <w:rPr>
                <w:rFonts w:ascii="仿宋_GB2312" w:hAnsi="仿宋_GB2312" w:eastAsia="仿宋_GB2312"/>
                <w:b w:val="0"/>
                <w:color w:val="000000"/>
                <w:sz w:val="32"/>
              </w:rPr>
              <w:t>盐产业反哺养老</w:t>
            </w:r>
          </w:p>
        </w:tc>
        <w:tc>
          <w:tcPr>
            <w:tcW w:type="dxa" w:w="2268"/>
          </w:tcPr>
          <w:p>
            <w:pPr>
              <w:spacing w:lineRule="exact" w:line="600"/>
              <w:jc w:val="center"/>
            </w:pPr>
            <w:r/>
            <w:r>
              <w:rPr>
                <w:rFonts w:ascii="仿宋_GB2312" w:hAnsi="仿宋_GB2312" w:eastAsia="仿宋_GB2312"/>
                <w:b w:val="0"/>
                <w:color w:val="000000"/>
                <w:sz w:val="32"/>
              </w:rPr>
              <w:t>特色IP</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（一）设施与平台建设融资</w:t>
      </w:r>
    </w:p>
    <w:p>
      <w:pPr>
        <w:spacing w:lineRule="exact" w:line="600" w:before="0" w:after="0"/>
        <w:ind w:firstLine="420"/>
        <w:jc w:val="both"/>
      </w:pPr>
      <w:r>
        <w:rPr>
          <w:rFonts w:ascii="仿宋_GB2312" w:hAnsi="仿宋_GB2312" w:eastAsia="仿宋_GB2312"/>
          <w:b w:val="0"/>
          <w:color w:val="000000"/>
          <w:sz w:val="32"/>
        </w:rPr>
        <w:t>居家社区养老服务网络、智慧养老院与养老平台需项目建设资金，可借专项债、政策性贷款与国企资本金注入；红色医养重点养老项目由国企牵头，需中长期项目贷与基础设施基金支持，缓解重资产投资压力。</w:t>
      </w:r>
    </w:p>
    <w:p>
      <w:pPr>
        <w:spacing w:lineRule="exact" w:line="600" w:before="120" w:after="120"/>
        <w:ind w:firstLine="420"/>
        <w:jc w:val="left"/>
      </w:pPr>
      <w:r>
        <w:rPr>
          <w:rFonts w:ascii="楷体_GB2312" w:hAnsi="楷体_GB2312" w:eastAsia="楷体_GB2312"/>
          <w:b w:val="0"/>
          <w:color w:val="000000"/>
          <w:sz w:val="32"/>
        </w:rPr>
        <w:t>（二）普惠机构与贴息融资</w:t>
      </w:r>
    </w:p>
    <w:p>
      <w:pPr>
        <w:spacing w:lineRule="exact" w:line="600" w:before="0" w:after="0"/>
        <w:ind w:firstLine="420"/>
        <w:jc w:val="both"/>
      </w:pPr>
      <w:r>
        <w:rPr>
          <w:rFonts w:ascii="仿宋_GB2312" w:hAnsi="仿宋_GB2312" w:eastAsia="仿宋_GB2312"/>
          <w:b w:val="0"/>
          <w:color w:val="000000"/>
          <w:sz w:val="32"/>
        </w:rPr>
        <w:t>新增护理型普惠机构可享贷款贴息（≤60%基准利率、单项目≤50万）与普惠养老专项再贷款；建议以银团贷款+贴息组合支持床位扩建，并用运营补贴（≥200元/月/人）现金流增强还款能力，降低融资成本。</w:t>
      </w:r>
    </w:p>
    <w:p>
      <w:pPr>
        <w:spacing w:lineRule="exact" w:line="600" w:before="120" w:after="120"/>
        <w:ind w:firstLine="420"/>
        <w:jc w:val="left"/>
      </w:pPr>
      <w:r>
        <w:rPr>
          <w:rFonts w:ascii="楷体_GB2312" w:hAnsi="楷体_GB2312" w:eastAsia="楷体_GB2312"/>
          <w:b w:val="0"/>
          <w:color w:val="000000"/>
          <w:sz w:val="32"/>
        </w:rPr>
        <w:t>（三）产业基金与银发经济</w:t>
      </w:r>
    </w:p>
    <w:p>
      <w:pPr>
        <w:spacing w:lineRule="exact" w:line="600" w:before="0" w:after="0"/>
        <w:ind w:firstLine="420"/>
        <w:jc w:val="both"/>
      </w:pPr>
      <w:r>
        <w:rPr>
          <w:rFonts w:ascii="仿宋_GB2312" w:hAnsi="仿宋_GB2312" w:eastAsia="仿宋_GB2312"/>
          <w:b w:val="0"/>
          <w:color w:val="000000"/>
          <w:sz w:val="32"/>
        </w:rPr>
        <w:t>设立肥城银发经济/岩盐医养健康产业基金，以股权支持康养文旅、智慧养老、盐养融合项目；探索REITs盘活养老设施存量资产；以长护险与运营补贴应收账款开展ABS，拓宽市场化融资渠道。</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融资方向</w:t>
            </w:r>
          </w:p>
        </w:tc>
        <w:tc>
          <w:tcPr>
            <w:tcW w:type="dxa" w:w="3969"/>
          </w:tcPr>
          <w:p>
            <w:pPr>
              <w:spacing w:lineRule="exact" w:line="600"/>
              <w:jc w:val="center"/>
            </w:pPr>
            <w:r/>
            <w:r>
              <w:rPr>
                <w:rFonts w:ascii="黑体" w:hAnsi="黑体" w:eastAsia="黑体"/>
                <w:b/>
                <w:color w:val="000000"/>
                <w:sz w:val="32"/>
              </w:rPr>
              <w:t>规模/示例</w:t>
            </w:r>
          </w:p>
        </w:tc>
        <w:tc>
          <w:tcPr>
            <w:tcW w:type="dxa" w:w="3118"/>
          </w:tcPr>
          <w:p>
            <w:pPr>
              <w:spacing w:lineRule="exact" w:line="600"/>
              <w:jc w:val="center"/>
            </w:pPr>
            <w:r/>
            <w:r>
              <w:rPr>
                <w:rFonts w:ascii="黑体" w:hAnsi="黑体" w:eastAsia="黑体"/>
                <w:b/>
                <w:color w:val="000000"/>
                <w:sz w:val="32"/>
              </w:rPr>
              <w:t>工具</w:t>
            </w:r>
          </w:p>
        </w:tc>
      </w:tr>
      <w:tr>
        <w:tc>
          <w:tcPr>
            <w:tcW w:type="dxa" w:w="1984"/>
          </w:tcPr>
          <w:p>
            <w:pPr>
              <w:spacing w:lineRule="exact" w:line="600"/>
              <w:jc w:val="center"/>
            </w:pPr>
            <w:r/>
            <w:r>
              <w:rPr>
                <w:rFonts w:ascii="仿宋_GB2312" w:hAnsi="仿宋_GB2312" w:eastAsia="仿宋_GB2312"/>
                <w:b w:val="0"/>
                <w:color w:val="000000"/>
                <w:sz w:val="32"/>
              </w:rPr>
              <w:t>设施建设</w:t>
            </w:r>
          </w:p>
        </w:tc>
        <w:tc>
          <w:tcPr>
            <w:tcW w:type="dxa" w:w="3969"/>
          </w:tcPr>
          <w:p>
            <w:pPr>
              <w:spacing w:lineRule="exact" w:line="600"/>
              <w:jc w:val="center"/>
            </w:pPr>
            <w:r/>
            <w:r>
              <w:rPr>
                <w:rFonts w:ascii="仿宋_GB2312" w:hAnsi="仿宋_GB2312" w:eastAsia="仿宋_GB2312"/>
                <w:b w:val="0"/>
                <w:color w:val="000000"/>
                <w:sz w:val="32"/>
              </w:rPr>
              <w:t>养老网络/智慧院</w:t>
            </w:r>
          </w:p>
        </w:tc>
        <w:tc>
          <w:tcPr>
            <w:tcW w:type="dxa" w:w="3118"/>
          </w:tcPr>
          <w:p>
            <w:pPr>
              <w:spacing w:lineRule="exact" w:line="600"/>
              <w:jc w:val="center"/>
            </w:pPr>
            <w:r/>
            <w:r>
              <w:rPr>
                <w:rFonts w:ascii="仿宋_GB2312" w:hAnsi="仿宋_GB2312" w:eastAsia="仿宋_GB2312"/>
                <w:b w:val="0"/>
                <w:color w:val="000000"/>
                <w:sz w:val="32"/>
              </w:rPr>
              <w:t>专项债、项目贷</w:t>
            </w:r>
          </w:p>
        </w:tc>
      </w:tr>
      <w:tr>
        <w:tc>
          <w:tcPr>
            <w:tcW w:type="dxa" w:w="1984"/>
          </w:tcPr>
          <w:p>
            <w:pPr>
              <w:spacing w:lineRule="exact" w:line="600"/>
              <w:jc w:val="center"/>
            </w:pPr>
            <w:r/>
            <w:r>
              <w:rPr>
                <w:rFonts w:ascii="仿宋_GB2312" w:hAnsi="仿宋_GB2312" w:eastAsia="仿宋_GB2312"/>
                <w:b w:val="0"/>
                <w:color w:val="000000"/>
                <w:sz w:val="32"/>
              </w:rPr>
              <w:t>普惠机构</w:t>
            </w:r>
          </w:p>
        </w:tc>
        <w:tc>
          <w:tcPr>
            <w:tcW w:type="dxa" w:w="3969"/>
          </w:tcPr>
          <w:p>
            <w:pPr>
              <w:spacing w:lineRule="exact" w:line="600"/>
              <w:jc w:val="center"/>
            </w:pPr>
            <w:r/>
            <w:r>
              <w:rPr>
                <w:rFonts w:ascii="仿宋_GB2312" w:hAnsi="仿宋_GB2312" w:eastAsia="仿宋_GB2312"/>
                <w:b w:val="0"/>
                <w:color w:val="000000"/>
                <w:sz w:val="32"/>
              </w:rPr>
              <w:t>贴息≤50万/再贷款</w:t>
            </w:r>
          </w:p>
        </w:tc>
        <w:tc>
          <w:tcPr>
            <w:tcW w:type="dxa" w:w="3118"/>
          </w:tcPr>
          <w:p>
            <w:pPr>
              <w:spacing w:lineRule="exact" w:line="600"/>
              <w:jc w:val="center"/>
            </w:pPr>
            <w:r/>
            <w:r>
              <w:rPr>
                <w:rFonts w:ascii="仿宋_GB2312" w:hAnsi="仿宋_GB2312" w:eastAsia="仿宋_GB2312"/>
                <w:b w:val="0"/>
                <w:color w:val="000000"/>
                <w:sz w:val="32"/>
              </w:rPr>
              <w:t>银团+贴息</w:t>
            </w:r>
          </w:p>
        </w:tc>
      </w:tr>
      <w:tr>
        <w:tc>
          <w:tcPr>
            <w:tcW w:type="dxa" w:w="1984"/>
          </w:tcPr>
          <w:p>
            <w:pPr>
              <w:spacing w:lineRule="exact" w:line="600"/>
              <w:jc w:val="center"/>
            </w:pPr>
            <w:r/>
            <w:r>
              <w:rPr>
                <w:rFonts w:ascii="仿宋_GB2312" w:hAnsi="仿宋_GB2312" w:eastAsia="仿宋_GB2312"/>
                <w:b w:val="0"/>
                <w:color w:val="000000"/>
                <w:sz w:val="32"/>
              </w:rPr>
              <w:t>产业基金</w:t>
            </w:r>
          </w:p>
        </w:tc>
        <w:tc>
          <w:tcPr>
            <w:tcW w:type="dxa" w:w="3969"/>
          </w:tcPr>
          <w:p>
            <w:pPr>
              <w:spacing w:lineRule="exact" w:line="600"/>
              <w:jc w:val="center"/>
            </w:pPr>
            <w:r/>
            <w:r>
              <w:rPr>
                <w:rFonts w:ascii="仿宋_GB2312" w:hAnsi="仿宋_GB2312" w:eastAsia="仿宋_GB2312"/>
                <w:b w:val="0"/>
                <w:color w:val="000000"/>
                <w:sz w:val="32"/>
              </w:rPr>
              <w:t>银发经济基金</w:t>
            </w:r>
          </w:p>
        </w:tc>
        <w:tc>
          <w:tcPr>
            <w:tcW w:type="dxa" w:w="3118"/>
          </w:tcPr>
          <w:p>
            <w:pPr>
              <w:spacing w:lineRule="exact" w:line="600"/>
              <w:jc w:val="center"/>
            </w:pPr>
            <w:r/>
            <w:r>
              <w:rPr>
                <w:rFonts w:ascii="仿宋_GB2312" w:hAnsi="仿宋_GB2312" w:eastAsia="仿宋_GB2312"/>
                <w:b w:val="0"/>
                <w:color w:val="000000"/>
                <w:sz w:val="32"/>
              </w:rPr>
              <w:t>股权、REITs</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医康养中心：肥城社会兴办医养结合机构标杆，开设200张医养护理床位，重点收住失能、半失能老人，累计服务680余人次，提供专业护理与康复，是本地高品质机构养老代表。来源：肥城医养结合创新引领县典型案例报道。</w:t>
      </w:r>
    </w:p>
    <w:p>
      <w:pPr>
        <w:spacing w:lineRule="exact" w:line="600" w:before="0" w:after="0"/>
        <w:ind w:firstLine="420"/>
        <w:jc w:val="both"/>
      </w:pPr>
      <w:r>
        <w:rPr>
          <w:rFonts w:ascii="仿宋_GB2312" w:hAnsi="仿宋_GB2312" w:eastAsia="仿宋_GB2312"/>
          <w:b w:val="0"/>
          <w:color w:val="000000"/>
          <w:sz w:val="32"/>
        </w:rPr>
        <w:t>子梅护理院（山东养老产业投资管理公司运营）：按「公建民营、医养结合、购买服务、集中养护」思路建设，设肥城市失能特困人员供养中心，床位200张，以收住失能特困老人为主、辅之服务社会失能老人，为公办兜底核心载体。来源：肥城医养结合典型案例、肥城市政府官网。</w:t>
      </w:r>
    </w:p>
    <w:p>
      <w:pPr>
        <w:spacing w:lineRule="exact" w:line="600" w:before="0" w:after="0"/>
        <w:ind w:firstLine="420"/>
        <w:jc w:val="both"/>
      </w:pPr>
      <w:r>
        <w:rPr>
          <w:rFonts w:ascii="仿宋_GB2312" w:hAnsi="仿宋_GB2312" w:eastAsia="仿宋_GB2312"/>
          <w:b w:val="0"/>
          <w:color w:val="000000"/>
          <w:sz w:val="32"/>
        </w:rPr>
        <w:t>肥城市基层医疗卫生与养老机构网络（14家卫生院+11家医养结合机构+268个家医团队）：构成「两院一体」绿色通道、居家医养与长护险服务网络，是肥城医养健康服务集群的公共载体与流量入口，由民政、卫健、医保多部门协同运营。来源：肥城市政府官网、山东省医养结合创新引领县案例。</w:t>
      </w:r>
    </w:p>
    <w:p>
      <w:pPr>
        <w:spacing w:lineRule="exact" w:line="600" w:before="0" w:after="0"/>
        <w:jc w:val="left"/>
      </w:pPr>
      <w:r>
        <w:rPr>
          <w:rFonts w:ascii="仿宋_GB2312" w:hAnsi="仿宋_GB2312" w:eastAsia="仿宋_GB2312"/>
          <w:b w:val="0"/>
          <w:color w:val="000000"/>
          <w:sz w:val="28"/>
        </w:rPr>
        <w:t>主要数据来源：肥城市人民政府官网（市政府第26次常务会议、医养结合创新引领县、红色医养等报道，2024—2025）；山东省民政厅/山东省发改委《山东省普惠性养老机构认定与管理办法（试行）》（2024年9月23日施行）；山东省人民政府办公厅《山东省养老服务高质量发展三年行动计划（2024—2026年）》（鲁政办字〔2023〕207号）；大众日报/大众网《肥城市「多元途径」打造医养结合新场景》医养结合典型案例；肥城市民政局、财政局《经济困难失能老年人集中照护政策》（11家定点、1952/1700元每月标准）；泰安市医疗保障局关于「1+1」长护险制度公开信息（19家定点、拨付3300余万元）</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