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山东肥城（岩盐医养健康）特色产业集群</w:t>
      </w:r>
    </w:p>
    <w:p>
      <w:pPr>
        <w:spacing w:lineRule="exact" w:line="600" w:before="240" w:after="240"/>
        <w:ind w:firstLine="0"/>
        <w:jc w:val="center"/>
      </w:pPr>
      <w:r>
        <w:rPr>
          <w:rFonts w:ascii="方正小标宋简体" w:hAnsi="方正小标宋简体" w:eastAsia="方正小标宋简体"/>
          <w:b w:val="0"/>
          <w:color w:val="000000"/>
          <w:sz w:val="44"/>
        </w:rPr>
        <w:t>岩盐开采与盐化工行业深度分析报告</w:t>
      </w:r>
    </w:p>
    <w:p>
      <w:pPr>
        <w:spacing w:lineRule="exact" w:line="600" w:before="0" w:after="0"/>
        <w:jc w:val="left"/>
      </w:pPr>
      <w:r>
        <w:rPr>
          <w:rFonts w:ascii="仿宋_GB2312" w:hAnsi="仿宋_GB2312" w:eastAsia="仿宋_GB2312"/>
          <w:b w:val="0"/>
          <w:color w:val="000000"/>
          <w:sz w:val="28"/>
        </w:rPr>
        <w:t>本报告数据来源于肥城市人民政府官网（盐及盐穴储能产业公开报道）、山东省能源局/发改委新型储能相关公开信息、泰安市统计局公开资料、天津长芦海晶集团及肥城精制盐厂公开报道、人民网/大众日报等权威媒体。数据截至2024—2025年，部分细分领域公开统计有限，已标注。</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岩盐开采与盐化工是肥城岩盐医养健康特色产业集群的资源根基与重要支柱。肥城地处泰安肥城，地下赋存特大型岩盐矿床，探明储量约50.2亿吨，为山东省重要的井矿盐基地。全市现有制盐产能约1060万吨/年，形成肥城精制盐厂、海晶盐化、光明岩盐、胜利盐业4家骨干制盐企业，2024年盐业产值24.74亿元、税收3.59亿元，2025年产值27.87亿元、税收2.5亿元。其中肥城精制盐厂（1992年投产，国有）借鲁银储能建穴配套制盐项目，年产能跃升至240万吨，为华北最大食盐定点生产企业、全国最大药用氯化钠基地；海晶盐化（天津长芦海晶集团子公司）一期120万吨、二期2025年6月投料试车，总产能240万吨/年，采用MVR热泵制盐+工业光伏，年节电1000万度、减标煤3.6万吨，为省级专精特新、绿色工厂、高新技术企业。依托盐穴（埋深800—1500米、可利用腔体约2000万m³），肥城发展盐穴储能，已落地中电建等22个新型储能项目、总装机3480MW，入选全省首批未来产业集群，储能装机占全省约1/5，成为「岩盐—制盐—盐穴储能」协同发展的典型范例。风险集中在盐化工下游（氯碱、纯碱）周期性波动、新能源对部分盐化工产品的替代，以及盐穴资源综合利用的勘探与安全约束。</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岩盐探明储量</w:t>
            </w:r>
          </w:p>
        </w:tc>
        <w:tc>
          <w:tcPr>
            <w:tcW w:type="dxa" w:w="2835"/>
          </w:tcPr>
          <w:p>
            <w:pPr>
              <w:spacing w:lineRule="exact" w:line="600"/>
              <w:jc w:val="center"/>
            </w:pPr>
            <w:r/>
            <w:r>
              <w:rPr>
                <w:rFonts w:ascii="仿宋_GB2312" w:hAnsi="仿宋_GB2312" w:eastAsia="仿宋_GB2312"/>
                <w:b w:val="0"/>
                <w:color w:val="000000"/>
                <w:sz w:val="32"/>
              </w:rPr>
              <w:t>约50.2亿吨</w:t>
            </w:r>
          </w:p>
        </w:tc>
        <w:tc>
          <w:tcPr>
            <w:tcW w:type="dxa" w:w="3118"/>
          </w:tcPr>
          <w:p>
            <w:pPr>
              <w:spacing w:lineRule="exact" w:line="600"/>
              <w:jc w:val="center"/>
            </w:pPr>
            <w:r/>
            <w:r>
              <w:rPr>
                <w:rFonts w:ascii="仿宋_GB2312" w:hAnsi="仿宋_GB2312" w:eastAsia="仿宋_GB2312"/>
                <w:b w:val="0"/>
                <w:color w:val="000000"/>
                <w:sz w:val="32"/>
              </w:rPr>
              <w:t>肥城市公开资料</w:t>
            </w:r>
          </w:p>
        </w:tc>
      </w:tr>
      <w:tr>
        <w:tc>
          <w:tcPr>
            <w:tcW w:type="dxa" w:w="2835"/>
          </w:tcPr>
          <w:p>
            <w:pPr>
              <w:spacing w:lineRule="exact" w:line="600"/>
              <w:jc w:val="center"/>
            </w:pPr>
            <w:r/>
            <w:r>
              <w:rPr>
                <w:rFonts w:ascii="仿宋_GB2312" w:hAnsi="仿宋_GB2312" w:eastAsia="仿宋_GB2312"/>
                <w:b w:val="0"/>
                <w:color w:val="000000"/>
                <w:sz w:val="32"/>
              </w:rPr>
              <w:t>制盐总产能</w:t>
            </w:r>
          </w:p>
        </w:tc>
        <w:tc>
          <w:tcPr>
            <w:tcW w:type="dxa" w:w="2835"/>
          </w:tcPr>
          <w:p>
            <w:pPr>
              <w:spacing w:lineRule="exact" w:line="600"/>
              <w:jc w:val="center"/>
            </w:pPr>
            <w:r/>
            <w:r>
              <w:rPr>
                <w:rFonts w:ascii="仿宋_GB2312" w:hAnsi="仿宋_GB2312" w:eastAsia="仿宋_GB2312"/>
                <w:b w:val="0"/>
                <w:color w:val="000000"/>
                <w:sz w:val="32"/>
              </w:rPr>
              <w:t>约1060万吨/年</w:t>
            </w:r>
          </w:p>
        </w:tc>
        <w:tc>
          <w:tcPr>
            <w:tcW w:type="dxa" w:w="3118"/>
          </w:tcPr>
          <w:p>
            <w:pPr>
              <w:spacing w:lineRule="exact" w:line="600"/>
              <w:jc w:val="center"/>
            </w:pPr>
            <w:r/>
            <w:r>
              <w:rPr>
                <w:rFonts w:ascii="仿宋_GB2312" w:hAnsi="仿宋_GB2312" w:eastAsia="仿宋_GB2312"/>
                <w:b w:val="0"/>
                <w:color w:val="000000"/>
                <w:sz w:val="32"/>
              </w:rPr>
              <w:t>肥城市，2024</w:t>
            </w:r>
          </w:p>
        </w:tc>
      </w:tr>
      <w:tr>
        <w:tc>
          <w:tcPr>
            <w:tcW w:type="dxa" w:w="2835"/>
          </w:tcPr>
          <w:p>
            <w:pPr>
              <w:spacing w:lineRule="exact" w:line="600"/>
              <w:jc w:val="center"/>
            </w:pPr>
            <w:r/>
            <w:r>
              <w:rPr>
                <w:rFonts w:ascii="仿宋_GB2312" w:hAnsi="仿宋_GB2312" w:eastAsia="仿宋_GB2312"/>
                <w:b w:val="0"/>
                <w:color w:val="000000"/>
                <w:sz w:val="32"/>
              </w:rPr>
              <w:t>盐业产值（2024）</w:t>
            </w:r>
          </w:p>
        </w:tc>
        <w:tc>
          <w:tcPr>
            <w:tcW w:type="dxa" w:w="2835"/>
          </w:tcPr>
          <w:p>
            <w:pPr>
              <w:spacing w:lineRule="exact" w:line="600"/>
              <w:jc w:val="center"/>
            </w:pPr>
            <w:r/>
            <w:r>
              <w:rPr>
                <w:rFonts w:ascii="仿宋_GB2312" w:hAnsi="仿宋_GB2312" w:eastAsia="仿宋_GB2312"/>
                <w:b w:val="0"/>
                <w:color w:val="000000"/>
                <w:sz w:val="32"/>
              </w:rPr>
              <w:t>24.74亿元</w:t>
            </w:r>
          </w:p>
        </w:tc>
        <w:tc>
          <w:tcPr>
            <w:tcW w:type="dxa" w:w="3118"/>
          </w:tcPr>
          <w:p>
            <w:pPr>
              <w:spacing w:lineRule="exact" w:line="600"/>
              <w:jc w:val="center"/>
            </w:pPr>
            <w:r/>
            <w:r>
              <w:rPr>
                <w:rFonts w:ascii="仿宋_GB2312" w:hAnsi="仿宋_GB2312" w:eastAsia="仿宋_GB2312"/>
                <w:b w:val="0"/>
                <w:color w:val="000000"/>
                <w:sz w:val="32"/>
              </w:rPr>
              <w:t>肥城市</w:t>
            </w:r>
          </w:p>
        </w:tc>
      </w:tr>
      <w:tr>
        <w:tc>
          <w:tcPr>
            <w:tcW w:type="dxa" w:w="2835"/>
          </w:tcPr>
          <w:p>
            <w:pPr>
              <w:spacing w:lineRule="exact" w:line="600"/>
              <w:jc w:val="center"/>
            </w:pPr>
            <w:r/>
            <w:r>
              <w:rPr>
                <w:rFonts w:ascii="仿宋_GB2312" w:hAnsi="仿宋_GB2312" w:eastAsia="仿宋_GB2312"/>
                <w:b w:val="0"/>
                <w:color w:val="000000"/>
                <w:sz w:val="32"/>
              </w:rPr>
              <w:t>盐业税收（2024）</w:t>
            </w:r>
          </w:p>
        </w:tc>
        <w:tc>
          <w:tcPr>
            <w:tcW w:type="dxa" w:w="2835"/>
          </w:tcPr>
          <w:p>
            <w:pPr>
              <w:spacing w:lineRule="exact" w:line="600"/>
              <w:jc w:val="center"/>
            </w:pPr>
            <w:r/>
            <w:r>
              <w:rPr>
                <w:rFonts w:ascii="仿宋_GB2312" w:hAnsi="仿宋_GB2312" w:eastAsia="仿宋_GB2312"/>
                <w:b w:val="0"/>
                <w:color w:val="000000"/>
                <w:sz w:val="32"/>
              </w:rPr>
              <w:t>3.59亿元</w:t>
            </w:r>
          </w:p>
        </w:tc>
        <w:tc>
          <w:tcPr>
            <w:tcW w:type="dxa" w:w="3118"/>
          </w:tcPr>
          <w:p>
            <w:pPr>
              <w:spacing w:lineRule="exact" w:line="600"/>
              <w:jc w:val="center"/>
            </w:pPr>
            <w:r/>
            <w:r>
              <w:rPr>
                <w:rFonts w:ascii="仿宋_GB2312" w:hAnsi="仿宋_GB2312" w:eastAsia="仿宋_GB2312"/>
                <w:b w:val="0"/>
                <w:color w:val="000000"/>
                <w:sz w:val="32"/>
              </w:rPr>
              <w:t>肥城市</w:t>
            </w:r>
          </w:p>
        </w:tc>
      </w:tr>
      <w:tr>
        <w:tc>
          <w:tcPr>
            <w:tcW w:type="dxa" w:w="2835"/>
          </w:tcPr>
          <w:p>
            <w:pPr>
              <w:spacing w:lineRule="exact" w:line="600"/>
              <w:jc w:val="center"/>
            </w:pPr>
            <w:r/>
            <w:r>
              <w:rPr>
                <w:rFonts w:ascii="仿宋_GB2312" w:hAnsi="仿宋_GB2312" w:eastAsia="仿宋_GB2312"/>
                <w:b w:val="0"/>
                <w:color w:val="000000"/>
                <w:sz w:val="32"/>
              </w:rPr>
              <w:t>2025产值</w:t>
            </w:r>
          </w:p>
        </w:tc>
        <w:tc>
          <w:tcPr>
            <w:tcW w:type="dxa" w:w="2835"/>
          </w:tcPr>
          <w:p>
            <w:pPr>
              <w:spacing w:lineRule="exact" w:line="600"/>
              <w:jc w:val="center"/>
            </w:pPr>
            <w:r/>
            <w:r>
              <w:rPr>
                <w:rFonts w:ascii="仿宋_GB2312" w:hAnsi="仿宋_GB2312" w:eastAsia="仿宋_GB2312"/>
                <w:b w:val="0"/>
                <w:color w:val="000000"/>
                <w:sz w:val="32"/>
              </w:rPr>
              <w:t>27.87亿元</w:t>
            </w:r>
          </w:p>
        </w:tc>
        <w:tc>
          <w:tcPr>
            <w:tcW w:type="dxa" w:w="3118"/>
          </w:tcPr>
          <w:p>
            <w:pPr>
              <w:spacing w:lineRule="exact" w:line="600"/>
              <w:jc w:val="center"/>
            </w:pPr>
            <w:r/>
            <w:r>
              <w:rPr>
                <w:rFonts w:ascii="仿宋_GB2312" w:hAnsi="仿宋_GB2312" w:eastAsia="仿宋_GB2312"/>
                <w:b w:val="0"/>
                <w:color w:val="000000"/>
                <w:sz w:val="32"/>
              </w:rPr>
              <w:t>肥城市</w:t>
            </w:r>
          </w:p>
        </w:tc>
      </w:tr>
      <w:tr>
        <w:tc>
          <w:tcPr>
            <w:tcW w:type="dxa" w:w="2835"/>
          </w:tcPr>
          <w:p>
            <w:pPr>
              <w:spacing w:lineRule="exact" w:line="600"/>
              <w:jc w:val="center"/>
            </w:pPr>
            <w:r/>
            <w:r>
              <w:rPr>
                <w:rFonts w:ascii="仿宋_GB2312" w:hAnsi="仿宋_GB2312" w:eastAsia="仿宋_GB2312"/>
                <w:b w:val="0"/>
                <w:color w:val="000000"/>
                <w:sz w:val="32"/>
              </w:rPr>
              <w:t>肥城精制盐厂产能</w:t>
            </w:r>
          </w:p>
        </w:tc>
        <w:tc>
          <w:tcPr>
            <w:tcW w:type="dxa" w:w="2835"/>
          </w:tcPr>
          <w:p>
            <w:pPr>
              <w:spacing w:lineRule="exact" w:line="600"/>
              <w:jc w:val="center"/>
            </w:pPr>
            <w:r/>
            <w:r>
              <w:rPr>
                <w:rFonts w:ascii="仿宋_GB2312" w:hAnsi="仿宋_GB2312" w:eastAsia="仿宋_GB2312"/>
                <w:b w:val="0"/>
                <w:color w:val="000000"/>
                <w:sz w:val="32"/>
              </w:rPr>
              <w:t>240万吨/年（华北最大定点）</w:t>
            </w:r>
          </w:p>
        </w:tc>
        <w:tc>
          <w:tcPr>
            <w:tcW w:type="dxa" w:w="3118"/>
          </w:tcPr>
          <w:p>
            <w:pPr>
              <w:spacing w:lineRule="exact" w:line="600"/>
              <w:jc w:val="center"/>
            </w:pPr>
            <w:r/>
            <w:r>
              <w:rPr>
                <w:rFonts w:ascii="仿宋_GB2312" w:hAnsi="仿宋_GB2312" w:eastAsia="仿宋_GB2312"/>
                <w:b w:val="0"/>
                <w:color w:val="000000"/>
                <w:sz w:val="32"/>
              </w:rPr>
              <w:t>精制盐厂/鲁银储能</w:t>
            </w:r>
          </w:p>
        </w:tc>
      </w:tr>
      <w:tr>
        <w:tc>
          <w:tcPr>
            <w:tcW w:type="dxa" w:w="2835"/>
          </w:tcPr>
          <w:p>
            <w:pPr>
              <w:spacing w:lineRule="exact" w:line="600"/>
              <w:jc w:val="center"/>
            </w:pPr>
            <w:r/>
            <w:r>
              <w:rPr>
                <w:rFonts w:ascii="仿宋_GB2312" w:hAnsi="仿宋_GB2312" w:eastAsia="仿宋_GB2312"/>
                <w:b w:val="0"/>
                <w:color w:val="000000"/>
                <w:sz w:val="32"/>
              </w:rPr>
              <w:t>海晶盐化产能</w:t>
            </w:r>
          </w:p>
        </w:tc>
        <w:tc>
          <w:tcPr>
            <w:tcW w:type="dxa" w:w="2835"/>
          </w:tcPr>
          <w:p>
            <w:pPr>
              <w:spacing w:lineRule="exact" w:line="600"/>
              <w:jc w:val="center"/>
            </w:pPr>
            <w:r/>
            <w:r>
              <w:rPr>
                <w:rFonts w:ascii="仿宋_GB2312" w:hAnsi="仿宋_GB2312" w:eastAsia="仿宋_GB2312"/>
                <w:b w:val="0"/>
                <w:color w:val="000000"/>
                <w:sz w:val="32"/>
              </w:rPr>
              <w:t>240万吨/年（二期2025试车）</w:t>
            </w:r>
          </w:p>
        </w:tc>
        <w:tc>
          <w:tcPr>
            <w:tcW w:type="dxa" w:w="3118"/>
          </w:tcPr>
          <w:p>
            <w:pPr>
              <w:spacing w:lineRule="exact" w:line="600"/>
              <w:jc w:val="center"/>
            </w:pPr>
            <w:r/>
            <w:r>
              <w:rPr>
                <w:rFonts w:ascii="仿宋_GB2312" w:hAnsi="仿宋_GB2312" w:eastAsia="仿宋_GB2312"/>
                <w:b w:val="0"/>
                <w:color w:val="000000"/>
                <w:sz w:val="32"/>
              </w:rPr>
              <w:t>海晶盐化</w:t>
            </w:r>
          </w:p>
        </w:tc>
      </w:tr>
      <w:tr>
        <w:tc>
          <w:tcPr>
            <w:tcW w:type="dxa" w:w="2835"/>
          </w:tcPr>
          <w:p>
            <w:pPr>
              <w:spacing w:lineRule="exact" w:line="600"/>
              <w:jc w:val="center"/>
            </w:pPr>
            <w:r/>
            <w:r>
              <w:rPr>
                <w:rFonts w:ascii="仿宋_GB2312" w:hAnsi="仿宋_GB2312" w:eastAsia="仿宋_GB2312"/>
                <w:b w:val="0"/>
                <w:color w:val="000000"/>
                <w:sz w:val="32"/>
              </w:rPr>
              <w:t>海晶节电</w:t>
            </w:r>
          </w:p>
        </w:tc>
        <w:tc>
          <w:tcPr>
            <w:tcW w:type="dxa" w:w="2835"/>
          </w:tcPr>
          <w:p>
            <w:pPr>
              <w:spacing w:lineRule="exact" w:line="600"/>
              <w:jc w:val="center"/>
            </w:pPr>
            <w:r/>
            <w:r>
              <w:rPr>
                <w:rFonts w:ascii="仿宋_GB2312" w:hAnsi="仿宋_GB2312" w:eastAsia="仿宋_GB2312"/>
                <w:b w:val="0"/>
                <w:color w:val="000000"/>
                <w:sz w:val="32"/>
              </w:rPr>
              <w:t>1000万度/年、减标煤3.6万吨</w:t>
            </w:r>
          </w:p>
        </w:tc>
        <w:tc>
          <w:tcPr>
            <w:tcW w:type="dxa" w:w="3118"/>
          </w:tcPr>
          <w:p>
            <w:pPr>
              <w:spacing w:lineRule="exact" w:line="600"/>
              <w:jc w:val="center"/>
            </w:pPr>
            <w:r/>
            <w:r>
              <w:rPr>
                <w:rFonts w:ascii="仿宋_GB2312" w:hAnsi="仿宋_GB2312" w:eastAsia="仿宋_GB2312"/>
                <w:b w:val="0"/>
                <w:color w:val="000000"/>
                <w:sz w:val="32"/>
              </w:rPr>
              <w:t>海晶盐化</w:t>
            </w:r>
          </w:p>
        </w:tc>
      </w:tr>
      <w:tr>
        <w:tc>
          <w:tcPr>
            <w:tcW w:type="dxa" w:w="2835"/>
          </w:tcPr>
          <w:p>
            <w:pPr>
              <w:spacing w:lineRule="exact" w:line="600"/>
              <w:jc w:val="center"/>
            </w:pPr>
            <w:r/>
            <w:r>
              <w:rPr>
                <w:rFonts w:ascii="仿宋_GB2312" w:hAnsi="仿宋_GB2312" w:eastAsia="仿宋_GB2312"/>
                <w:b w:val="0"/>
                <w:color w:val="000000"/>
                <w:sz w:val="32"/>
              </w:rPr>
              <w:t>盐穴储能装机</w:t>
            </w:r>
          </w:p>
        </w:tc>
        <w:tc>
          <w:tcPr>
            <w:tcW w:type="dxa" w:w="2835"/>
          </w:tcPr>
          <w:p>
            <w:pPr>
              <w:spacing w:lineRule="exact" w:line="600"/>
              <w:jc w:val="center"/>
            </w:pPr>
            <w:r/>
            <w:r>
              <w:rPr>
                <w:rFonts w:ascii="仿宋_GB2312" w:hAnsi="仿宋_GB2312" w:eastAsia="仿宋_GB2312"/>
                <w:b w:val="0"/>
                <w:color w:val="000000"/>
                <w:sz w:val="32"/>
              </w:rPr>
              <w:t>3480MW/占全省约1/5</w:t>
            </w:r>
          </w:p>
        </w:tc>
        <w:tc>
          <w:tcPr>
            <w:tcW w:type="dxa" w:w="3118"/>
          </w:tcPr>
          <w:p>
            <w:pPr>
              <w:spacing w:lineRule="exact" w:line="600"/>
              <w:jc w:val="center"/>
            </w:pPr>
            <w:r/>
            <w:r>
              <w:rPr>
                <w:rFonts w:ascii="仿宋_GB2312" w:hAnsi="仿宋_GB2312" w:eastAsia="仿宋_GB2312"/>
                <w:b w:val="0"/>
                <w:color w:val="000000"/>
                <w:sz w:val="32"/>
              </w:rPr>
              <w:t>省能源局，2024</w:t>
            </w:r>
          </w:p>
        </w:tc>
      </w:tr>
      <w:tr>
        <w:tc>
          <w:tcPr>
            <w:tcW w:type="dxa" w:w="2835"/>
          </w:tcPr>
          <w:p>
            <w:pPr>
              <w:spacing w:lineRule="exact" w:line="600"/>
              <w:jc w:val="center"/>
            </w:pPr>
            <w:r/>
            <w:r>
              <w:rPr>
                <w:rFonts w:ascii="仿宋_GB2312" w:hAnsi="仿宋_GB2312" w:eastAsia="仿宋_GB2312"/>
                <w:b w:val="0"/>
                <w:color w:val="000000"/>
                <w:sz w:val="32"/>
              </w:rPr>
              <w:t>盐穴腔体</w:t>
            </w:r>
          </w:p>
        </w:tc>
        <w:tc>
          <w:tcPr>
            <w:tcW w:type="dxa" w:w="2835"/>
          </w:tcPr>
          <w:p>
            <w:pPr>
              <w:spacing w:lineRule="exact" w:line="600"/>
              <w:jc w:val="center"/>
            </w:pPr>
            <w:r/>
            <w:r>
              <w:rPr>
                <w:rFonts w:ascii="仿宋_GB2312" w:hAnsi="仿宋_GB2312" w:eastAsia="仿宋_GB2312"/>
                <w:b w:val="0"/>
                <w:color w:val="000000"/>
                <w:sz w:val="32"/>
              </w:rPr>
              <w:t>46对/可利用约2000万m³</w:t>
            </w:r>
          </w:p>
        </w:tc>
        <w:tc>
          <w:tcPr>
            <w:tcW w:type="dxa" w:w="3118"/>
          </w:tcPr>
          <w:p>
            <w:pPr>
              <w:spacing w:lineRule="exact" w:line="600"/>
              <w:jc w:val="center"/>
            </w:pPr>
            <w:r/>
            <w:r>
              <w:rPr>
                <w:rFonts w:ascii="仿宋_GB2312" w:hAnsi="仿宋_GB2312" w:eastAsia="仿宋_GB2312"/>
                <w:b w:val="0"/>
                <w:color w:val="000000"/>
                <w:sz w:val="32"/>
              </w:rPr>
              <w:t>肥城盐穴报道</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（一）资源禀赋与战略定位</w:t>
      </w:r>
    </w:p>
    <w:p>
      <w:pPr>
        <w:spacing w:lineRule="exact" w:line="600" w:before="0" w:after="0"/>
        <w:ind w:firstLine="420"/>
        <w:jc w:val="both"/>
      </w:pPr>
      <w:r>
        <w:rPr>
          <w:rFonts w:ascii="仿宋_GB2312" w:hAnsi="仿宋_GB2312" w:eastAsia="仿宋_GB2312"/>
          <w:b w:val="0"/>
          <w:color w:val="000000"/>
          <w:sz w:val="32"/>
        </w:rPr>
        <w:t>肥城地处鲁中泰山西麓，地下赋存特大型岩盐矿床，探明储量约50.2亿吨，矿层埋深800—1500米，品位高、易开采，是山东省重要的井矿盐基地之一。依托丰富岩盐资源，肥城将盐及盐穴综合利用确立为特色优势产业，纳入「岩盐医养健康」特色产业集群的资源根基。在国家能源安全与「双碳」战略背景下，井矿盐作为食用盐与工业盐的稳定供给来源，战略价值凸显；同时盐穴空腔为大规模储能提供稀缺地质空间，使肥城由单纯制盐向「岩盐—盐化工—盐穴储能」复合产业跃升。</w:t>
      </w:r>
    </w:p>
    <w:p>
      <w:pPr>
        <w:spacing w:lineRule="exact" w:line="600" w:before="120" w:after="120"/>
        <w:ind w:firstLine="420"/>
        <w:jc w:val="left"/>
      </w:pPr>
      <w:r>
        <w:rPr>
          <w:rFonts w:ascii="楷体_GB2312" w:hAnsi="楷体_GB2312" w:eastAsia="楷体_GB2312"/>
          <w:b w:val="0"/>
          <w:color w:val="000000"/>
          <w:sz w:val="32"/>
        </w:rPr>
        <w:t>（二）区域产业规划导向</w:t>
      </w:r>
    </w:p>
    <w:p>
      <w:pPr>
        <w:spacing w:lineRule="exact" w:line="600" w:before="0" w:after="0"/>
        <w:ind w:firstLine="420"/>
        <w:jc w:val="both"/>
      </w:pPr>
      <w:r>
        <w:rPr>
          <w:rFonts w:ascii="仿宋_GB2312" w:hAnsi="仿宋_GB2312" w:eastAsia="仿宋_GB2312"/>
          <w:b w:val="0"/>
          <w:color w:val="000000"/>
          <w:sz w:val="32"/>
        </w:rPr>
        <w:t>泰安市与肥城市将岩盐及盐穴储能作为绿色低碳转型的重要抓手。肥城依托鲁银储能建穴配套制盐等项目，推动制盐企业与储能企业协同，在采盐造腔的同时为压缩空气储能提供腔体，实现「采盐即造库」。山东省将新型储能列为战略性新兴产业，肥城盐穴储能入选全省首批未来产业集群，储能装机占全省约1/5，区域定位由传统资源型城市向「储能之都」升级。制盐环节的绿色化（MVR热泵、光伏耦合）亦契合高耗能行业节能降碳导向。</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宏观要素</w:t>
            </w:r>
          </w:p>
        </w:tc>
        <w:tc>
          <w:tcPr>
            <w:tcW w:type="dxa" w:w="3969"/>
          </w:tcPr>
          <w:p>
            <w:pPr>
              <w:spacing w:lineRule="exact" w:line="600"/>
              <w:jc w:val="center"/>
            </w:pPr>
            <w:r/>
            <w:r>
              <w:rPr>
                <w:rFonts w:ascii="黑体" w:hAnsi="黑体" w:eastAsia="黑体"/>
                <w:b/>
                <w:color w:val="000000"/>
                <w:sz w:val="32"/>
              </w:rPr>
              <w:t>核心数据/定位</w:t>
            </w:r>
          </w:p>
        </w:tc>
        <w:tc>
          <w:tcPr>
            <w:tcW w:type="dxa" w:w="2551"/>
          </w:tcPr>
          <w:p>
            <w:pPr>
              <w:spacing w:lineRule="exact" w:line="600"/>
              <w:jc w:val="center"/>
            </w:pPr>
            <w:r/>
            <w:r>
              <w:rPr>
                <w:rFonts w:ascii="黑体" w:hAnsi="黑体" w:eastAsia="黑体"/>
                <w:b/>
                <w:color w:val="000000"/>
                <w:sz w:val="32"/>
              </w:rPr>
              <w:t>来源/年份</w:t>
            </w:r>
          </w:p>
        </w:tc>
      </w:tr>
      <w:tr>
        <w:tc>
          <w:tcPr>
            <w:tcW w:type="dxa" w:w="2551"/>
          </w:tcPr>
          <w:p>
            <w:pPr>
              <w:spacing w:lineRule="exact" w:line="600"/>
              <w:jc w:val="center"/>
            </w:pPr>
            <w:r/>
            <w:r>
              <w:rPr>
                <w:rFonts w:ascii="仿宋_GB2312" w:hAnsi="仿宋_GB2312" w:eastAsia="仿宋_GB2312"/>
                <w:b w:val="0"/>
                <w:color w:val="000000"/>
                <w:sz w:val="32"/>
              </w:rPr>
              <w:t>岩盐探明储量</w:t>
            </w:r>
          </w:p>
        </w:tc>
        <w:tc>
          <w:tcPr>
            <w:tcW w:type="dxa" w:w="3969"/>
          </w:tcPr>
          <w:p>
            <w:pPr>
              <w:spacing w:lineRule="exact" w:line="600"/>
              <w:jc w:val="center"/>
            </w:pPr>
            <w:r/>
            <w:r>
              <w:rPr>
                <w:rFonts w:ascii="仿宋_GB2312" w:hAnsi="仿宋_GB2312" w:eastAsia="仿宋_GB2312"/>
                <w:b w:val="0"/>
                <w:color w:val="000000"/>
                <w:sz w:val="32"/>
              </w:rPr>
              <w:t>约50.2亿吨</w:t>
            </w:r>
          </w:p>
        </w:tc>
        <w:tc>
          <w:tcPr>
            <w:tcW w:type="dxa" w:w="2551"/>
          </w:tcPr>
          <w:p>
            <w:pPr>
              <w:spacing w:lineRule="exact" w:line="600"/>
              <w:jc w:val="center"/>
            </w:pPr>
            <w:r/>
            <w:r>
              <w:rPr>
                <w:rFonts w:ascii="仿宋_GB2312" w:hAnsi="仿宋_GB2312" w:eastAsia="仿宋_GB2312"/>
                <w:b w:val="0"/>
                <w:color w:val="000000"/>
                <w:sz w:val="32"/>
              </w:rPr>
              <w:t>肥城市公开资料</w:t>
            </w:r>
          </w:p>
        </w:tc>
      </w:tr>
      <w:tr>
        <w:tc>
          <w:tcPr>
            <w:tcW w:type="dxa" w:w="2551"/>
          </w:tcPr>
          <w:p>
            <w:pPr>
              <w:spacing w:lineRule="exact" w:line="600"/>
              <w:jc w:val="center"/>
            </w:pPr>
            <w:r/>
            <w:r>
              <w:rPr>
                <w:rFonts w:ascii="仿宋_GB2312" w:hAnsi="仿宋_GB2312" w:eastAsia="仿宋_GB2312"/>
                <w:b w:val="0"/>
                <w:color w:val="000000"/>
                <w:sz w:val="32"/>
              </w:rPr>
              <w:t>矿层埋深</w:t>
            </w:r>
          </w:p>
        </w:tc>
        <w:tc>
          <w:tcPr>
            <w:tcW w:type="dxa" w:w="3969"/>
          </w:tcPr>
          <w:p>
            <w:pPr>
              <w:spacing w:lineRule="exact" w:line="600"/>
              <w:jc w:val="center"/>
            </w:pPr>
            <w:r/>
            <w:r>
              <w:rPr>
                <w:rFonts w:ascii="仿宋_GB2312" w:hAnsi="仿宋_GB2312" w:eastAsia="仿宋_GB2312"/>
                <w:b w:val="0"/>
                <w:color w:val="000000"/>
                <w:sz w:val="32"/>
              </w:rPr>
              <w:t>800—1500米</w:t>
            </w:r>
          </w:p>
        </w:tc>
        <w:tc>
          <w:tcPr>
            <w:tcW w:type="dxa" w:w="2551"/>
          </w:tcPr>
          <w:p>
            <w:pPr>
              <w:spacing w:lineRule="exact" w:line="600"/>
              <w:jc w:val="center"/>
            </w:pPr>
            <w:r/>
            <w:r>
              <w:rPr>
                <w:rFonts w:ascii="仿宋_GB2312" w:hAnsi="仿宋_GB2312" w:eastAsia="仿宋_GB2312"/>
                <w:b w:val="0"/>
                <w:color w:val="000000"/>
                <w:sz w:val="32"/>
              </w:rPr>
              <w:t>地质勘查资料</w:t>
            </w:r>
          </w:p>
        </w:tc>
      </w:tr>
      <w:tr>
        <w:tc>
          <w:tcPr>
            <w:tcW w:type="dxa" w:w="2551"/>
          </w:tcPr>
          <w:p>
            <w:pPr>
              <w:spacing w:lineRule="exact" w:line="600"/>
              <w:jc w:val="center"/>
            </w:pPr>
            <w:r/>
            <w:r>
              <w:rPr>
                <w:rFonts w:ascii="仿宋_GB2312" w:hAnsi="仿宋_GB2312" w:eastAsia="仿宋_GB2312"/>
                <w:b w:val="0"/>
                <w:color w:val="000000"/>
                <w:sz w:val="32"/>
              </w:rPr>
              <w:t>制盐总产能</w:t>
            </w:r>
          </w:p>
        </w:tc>
        <w:tc>
          <w:tcPr>
            <w:tcW w:type="dxa" w:w="3969"/>
          </w:tcPr>
          <w:p>
            <w:pPr>
              <w:spacing w:lineRule="exact" w:line="600"/>
              <w:jc w:val="center"/>
            </w:pPr>
            <w:r/>
            <w:r>
              <w:rPr>
                <w:rFonts w:ascii="仿宋_GB2312" w:hAnsi="仿宋_GB2312" w:eastAsia="仿宋_GB2312"/>
                <w:b w:val="0"/>
                <w:color w:val="000000"/>
                <w:sz w:val="32"/>
              </w:rPr>
              <w:t>约1060万吨/年</w:t>
            </w:r>
          </w:p>
        </w:tc>
        <w:tc>
          <w:tcPr>
            <w:tcW w:type="dxa" w:w="2551"/>
          </w:tcPr>
          <w:p>
            <w:pPr>
              <w:spacing w:lineRule="exact" w:line="600"/>
              <w:jc w:val="center"/>
            </w:pPr>
            <w:r/>
            <w:r>
              <w:rPr>
                <w:rFonts w:ascii="仿宋_GB2312" w:hAnsi="仿宋_GB2312" w:eastAsia="仿宋_GB2312"/>
                <w:b w:val="0"/>
                <w:color w:val="000000"/>
                <w:sz w:val="32"/>
              </w:rPr>
              <w:t>肥城市，2024</w:t>
            </w:r>
          </w:p>
        </w:tc>
      </w:tr>
      <w:tr>
        <w:tc>
          <w:tcPr>
            <w:tcW w:type="dxa" w:w="2551"/>
          </w:tcPr>
          <w:p>
            <w:pPr>
              <w:spacing w:lineRule="exact" w:line="600"/>
              <w:jc w:val="center"/>
            </w:pPr>
            <w:r/>
            <w:r>
              <w:rPr>
                <w:rFonts w:ascii="仿宋_GB2312" w:hAnsi="仿宋_GB2312" w:eastAsia="仿宋_GB2312"/>
                <w:b w:val="0"/>
                <w:color w:val="000000"/>
                <w:sz w:val="32"/>
              </w:rPr>
              <w:t>盐穴可利用腔体</w:t>
            </w:r>
          </w:p>
        </w:tc>
        <w:tc>
          <w:tcPr>
            <w:tcW w:type="dxa" w:w="3969"/>
          </w:tcPr>
          <w:p>
            <w:pPr>
              <w:spacing w:lineRule="exact" w:line="600"/>
              <w:jc w:val="center"/>
            </w:pPr>
            <w:r/>
            <w:r>
              <w:rPr>
                <w:rFonts w:ascii="仿宋_GB2312" w:hAnsi="仿宋_GB2312" w:eastAsia="仿宋_GB2312"/>
                <w:b w:val="0"/>
                <w:color w:val="000000"/>
                <w:sz w:val="32"/>
              </w:rPr>
              <w:t>约2000万m³</w:t>
            </w:r>
          </w:p>
        </w:tc>
        <w:tc>
          <w:tcPr>
            <w:tcW w:type="dxa" w:w="2551"/>
          </w:tcPr>
          <w:p>
            <w:pPr>
              <w:spacing w:lineRule="exact" w:line="600"/>
              <w:jc w:val="center"/>
            </w:pPr>
            <w:r/>
            <w:r>
              <w:rPr>
                <w:rFonts w:ascii="仿宋_GB2312" w:hAnsi="仿宋_GB2312" w:eastAsia="仿宋_GB2312"/>
                <w:b w:val="0"/>
                <w:color w:val="000000"/>
                <w:sz w:val="32"/>
              </w:rPr>
              <w:t>肥城盐穴储能报道</w:t>
            </w:r>
          </w:p>
        </w:tc>
      </w:tr>
      <w:tr>
        <w:tc>
          <w:tcPr>
            <w:tcW w:type="dxa" w:w="2551"/>
          </w:tcPr>
          <w:p>
            <w:pPr>
              <w:spacing w:lineRule="exact" w:line="600"/>
              <w:jc w:val="center"/>
            </w:pPr>
            <w:r/>
            <w:r>
              <w:rPr>
                <w:rFonts w:ascii="仿宋_GB2312" w:hAnsi="仿宋_GB2312" w:eastAsia="仿宋_GB2312"/>
                <w:b w:val="0"/>
                <w:color w:val="000000"/>
                <w:sz w:val="32"/>
              </w:rPr>
              <w:t>储能装机</w:t>
            </w:r>
          </w:p>
        </w:tc>
        <w:tc>
          <w:tcPr>
            <w:tcW w:type="dxa" w:w="3969"/>
          </w:tcPr>
          <w:p>
            <w:pPr>
              <w:spacing w:lineRule="exact" w:line="600"/>
              <w:jc w:val="center"/>
            </w:pPr>
            <w:r/>
            <w:r>
              <w:rPr>
                <w:rFonts w:ascii="仿宋_GB2312" w:hAnsi="仿宋_GB2312" w:eastAsia="仿宋_GB2312"/>
                <w:b w:val="0"/>
                <w:color w:val="000000"/>
                <w:sz w:val="32"/>
              </w:rPr>
              <w:t>3480MW/占全省约1/5</w:t>
            </w:r>
          </w:p>
        </w:tc>
        <w:tc>
          <w:tcPr>
            <w:tcW w:type="dxa" w:w="2551"/>
          </w:tcPr>
          <w:p>
            <w:pPr>
              <w:spacing w:lineRule="exact" w:line="600"/>
              <w:jc w:val="center"/>
            </w:pPr>
            <w:r/>
            <w:r>
              <w:rPr>
                <w:rFonts w:ascii="仿宋_GB2312" w:hAnsi="仿宋_GB2312" w:eastAsia="仿宋_GB2312"/>
                <w:b w:val="0"/>
                <w:color w:val="000000"/>
                <w:sz w:val="32"/>
              </w:rPr>
              <w:t>省能源局，2024</w:t>
            </w:r>
          </w:p>
        </w:tc>
      </w:tr>
      <w:tr>
        <w:tc>
          <w:tcPr>
            <w:tcW w:type="dxa" w:w="2551"/>
          </w:tcPr>
          <w:p>
            <w:pPr>
              <w:spacing w:lineRule="exact" w:line="600"/>
              <w:jc w:val="center"/>
            </w:pPr>
            <w:r/>
            <w:r>
              <w:rPr>
                <w:rFonts w:ascii="仿宋_GB2312" w:hAnsi="仿宋_GB2312" w:eastAsia="仿宋_GB2312"/>
                <w:b w:val="0"/>
                <w:color w:val="000000"/>
                <w:sz w:val="32"/>
              </w:rPr>
              <w:t>未来产业集群</w:t>
            </w:r>
          </w:p>
        </w:tc>
        <w:tc>
          <w:tcPr>
            <w:tcW w:type="dxa" w:w="3969"/>
          </w:tcPr>
          <w:p>
            <w:pPr>
              <w:spacing w:lineRule="exact" w:line="600"/>
              <w:jc w:val="center"/>
            </w:pPr>
            <w:r/>
            <w:r>
              <w:rPr>
                <w:rFonts w:ascii="仿宋_GB2312" w:hAnsi="仿宋_GB2312" w:eastAsia="仿宋_GB2312"/>
                <w:b w:val="0"/>
                <w:color w:val="000000"/>
                <w:sz w:val="32"/>
              </w:rPr>
              <w:t>全省首批入选</w:t>
            </w:r>
          </w:p>
        </w:tc>
        <w:tc>
          <w:tcPr>
            <w:tcW w:type="dxa" w:w="2551"/>
          </w:tcPr>
          <w:p>
            <w:pPr>
              <w:spacing w:lineRule="exact" w:line="600"/>
              <w:jc w:val="center"/>
            </w:pPr>
            <w:r/>
            <w:r>
              <w:rPr>
                <w:rFonts w:ascii="仿宋_GB2312" w:hAnsi="仿宋_GB2312" w:eastAsia="仿宋_GB2312"/>
                <w:b w:val="0"/>
                <w:color w:val="000000"/>
                <w:sz w:val="32"/>
              </w:rPr>
              <w:t>山东省发改委</w:t>
            </w:r>
          </w:p>
        </w:tc>
      </w:tr>
    </w:tbl>
    <w:p>
      <w:pPr>
        <w:spacing w:lineRule="exact" w:line="600" w:before="120" w:after="120"/>
        <w:ind w:firstLine="420"/>
        <w:jc w:val="left"/>
      </w:pPr>
      <w:r>
        <w:rPr>
          <w:rFonts w:ascii="楷体_GB2312" w:hAnsi="楷体_GB2312" w:eastAsia="楷体_GB2312"/>
          <w:b w:val="0"/>
          <w:color w:val="000000"/>
          <w:sz w:val="32"/>
        </w:rPr>
        <w:t>县域经济与工业强市（本批真实数据补充·来源见正文）</w:t>
      </w:r>
    </w:p>
    <w:p>
      <w:pPr>
        <w:spacing w:lineRule="exact" w:line="600" w:before="0" w:after="0"/>
        <w:ind w:firstLine="420"/>
        <w:jc w:val="both"/>
      </w:pPr>
      <w:r>
        <w:rPr>
          <w:rFonts w:ascii="仿宋_GB2312" w:hAnsi="仿宋_GB2312" w:eastAsia="仿宋_GB2312"/>
          <w:b w:val="0"/>
          <w:color w:val="000000"/>
          <w:sz w:val="32"/>
        </w:rPr>
        <w:t>肥城市2024年地区生产总值965.6亿元、增长6.4%；一般公共预算收入53.5亿元，税收收入45.3亿元，纳税过亿元企业18家；规上工业增加值增长8.9%。肥城连续6年位居全省建筑业十强县榜首。（来源：肥城市2025年政府工作报告）</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3118"/>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2835"/>
          </w:tcPr>
          <w:p>
            <w:pPr>
              <w:spacing w:lineRule="exact" w:line="600"/>
              <w:jc w:val="center"/>
            </w:pPr>
            <w:r/>
            <w:r>
              <w:rPr>
                <w:rFonts w:ascii="仿宋_GB2312" w:hAnsi="仿宋_GB2312" w:eastAsia="仿宋_GB2312"/>
                <w:b w:val="0"/>
                <w:color w:val="000000"/>
                <w:sz w:val="32"/>
              </w:rPr>
              <w:t>地区生产总值</w:t>
            </w:r>
          </w:p>
        </w:tc>
        <w:tc>
          <w:tcPr>
            <w:tcW w:type="dxa" w:w="3118"/>
          </w:tcPr>
          <w:p>
            <w:pPr>
              <w:spacing w:lineRule="exact" w:line="600"/>
              <w:jc w:val="center"/>
            </w:pPr>
            <w:r/>
            <w:r>
              <w:rPr>
                <w:rFonts w:ascii="仿宋_GB2312" w:hAnsi="仿宋_GB2312" w:eastAsia="仿宋_GB2312"/>
                <w:b w:val="0"/>
                <w:color w:val="000000"/>
                <w:sz w:val="32"/>
              </w:rPr>
              <w:t>965.6亿元（增长6.4%）</w:t>
            </w:r>
          </w:p>
        </w:tc>
        <w:tc>
          <w:tcPr>
            <w:tcW w:type="dxa" w:w="2551"/>
          </w:tcPr>
          <w:p>
            <w:pPr>
              <w:spacing w:lineRule="exact" w:line="600"/>
              <w:jc w:val="center"/>
            </w:pPr>
            <w:r/>
            <w:r>
              <w:rPr>
                <w:rFonts w:ascii="仿宋_GB2312" w:hAnsi="仿宋_GB2312" w:eastAsia="仿宋_GB2312"/>
                <w:b w:val="0"/>
                <w:color w:val="000000"/>
                <w:sz w:val="32"/>
              </w:rPr>
              <w:t>肥城2024</w:t>
            </w:r>
          </w:p>
        </w:tc>
      </w:tr>
      <w:tr>
        <w:tc>
          <w:tcPr>
            <w:tcW w:type="dxa" w:w="2835"/>
          </w:tcPr>
          <w:p>
            <w:pPr>
              <w:spacing w:lineRule="exact" w:line="600"/>
              <w:jc w:val="center"/>
            </w:pPr>
            <w:r/>
            <w:r>
              <w:rPr>
                <w:rFonts w:ascii="仿宋_GB2312" w:hAnsi="仿宋_GB2312" w:eastAsia="仿宋_GB2312"/>
                <w:b w:val="0"/>
                <w:color w:val="000000"/>
                <w:sz w:val="32"/>
              </w:rPr>
              <w:t>一般公共预算收入</w:t>
            </w:r>
          </w:p>
        </w:tc>
        <w:tc>
          <w:tcPr>
            <w:tcW w:type="dxa" w:w="3118"/>
          </w:tcPr>
          <w:p>
            <w:pPr>
              <w:spacing w:lineRule="exact" w:line="600"/>
              <w:jc w:val="center"/>
            </w:pPr>
            <w:r/>
            <w:r>
              <w:rPr>
                <w:rFonts w:ascii="仿宋_GB2312" w:hAnsi="仿宋_GB2312" w:eastAsia="仿宋_GB2312"/>
                <w:b w:val="0"/>
                <w:color w:val="000000"/>
                <w:sz w:val="32"/>
              </w:rPr>
              <w:t>53.5亿元</w:t>
            </w:r>
          </w:p>
        </w:tc>
        <w:tc>
          <w:tcPr>
            <w:tcW w:type="dxa" w:w="2551"/>
          </w:tcPr>
          <w:p>
            <w:pPr>
              <w:spacing w:lineRule="exact" w:line="600"/>
              <w:jc w:val="center"/>
            </w:pPr>
            <w:r/>
            <w:r>
              <w:rPr>
                <w:rFonts w:ascii="仿宋_GB2312" w:hAnsi="仿宋_GB2312" w:eastAsia="仿宋_GB2312"/>
                <w:b w:val="0"/>
                <w:color w:val="000000"/>
                <w:sz w:val="32"/>
              </w:rPr>
              <w:t>税收45.3亿元</w:t>
            </w:r>
          </w:p>
        </w:tc>
      </w:tr>
      <w:tr>
        <w:tc>
          <w:tcPr>
            <w:tcW w:type="dxa" w:w="2835"/>
          </w:tcPr>
          <w:p>
            <w:pPr>
              <w:spacing w:lineRule="exact" w:line="600"/>
              <w:jc w:val="center"/>
            </w:pPr>
            <w:r/>
            <w:r>
              <w:rPr>
                <w:rFonts w:ascii="仿宋_GB2312" w:hAnsi="仿宋_GB2312" w:eastAsia="仿宋_GB2312"/>
                <w:b w:val="0"/>
                <w:color w:val="000000"/>
                <w:sz w:val="32"/>
              </w:rPr>
              <w:t>纳税过亿元企业</w:t>
            </w:r>
          </w:p>
        </w:tc>
        <w:tc>
          <w:tcPr>
            <w:tcW w:type="dxa" w:w="3118"/>
          </w:tcPr>
          <w:p>
            <w:pPr>
              <w:spacing w:lineRule="exact" w:line="600"/>
              <w:jc w:val="center"/>
            </w:pPr>
            <w:r/>
            <w:r>
              <w:rPr>
                <w:rFonts w:ascii="仿宋_GB2312" w:hAnsi="仿宋_GB2312" w:eastAsia="仿宋_GB2312"/>
                <w:b w:val="0"/>
                <w:color w:val="000000"/>
                <w:sz w:val="32"/>
              </w:rPr>
              <w:t>18家</w:t>
            </w:r>
          </w:p>
        </w:tc>
        <w:tc>
          <w:tcPr>
            <w:tcW w:type="dxa" w:w="2551"/>
          </w:tcPr>
          <w:p>
            <w:pPr>
              <w:spacing w:lineRule="exact" w:line="600"/>
              <w:jc w:val="center"/>
            </w:pPr>
            <w:r/>
            <w:r>
              <w:rPr>
                <w:rFonts w:ascii="仿宋_GB2312" w:hAnsi="仿宋_GB2312" w:eastAsia="仿宋_GB2312"/>
                <w:b w:val="0"/>
                <w:color w:val="000000"/>
                <w:sz w:val="32"/>
              </w:rPr>
              <w:t>肥城2024</w:t>
            </w:r>
          </w:p>
        </w:tc>
      </w:tr>
      <w:tr>
        <w:tc>
          <w:tcPr>
            <w:tcW w:type="dxa" w:w="2835"/>
          </w:tcPr>
          <w:p>
            <w:pPr>
              <w:spacing w:lineRule="exact" w:line="600"/>
              <w:jc w:val="center"/>
            </w:pPr>
            <w:r/>
            <w:r>
              <w:rPr>
                <w:rFonts w:ascii="仿宋_GB2312" w:hAnsi="仿宋_GB2312" w:eastAsia="仿宋_GB2312"/>
                <w:b w:val="0"/>
                <w:color w:val="000000"/>
                <w:sz w:val="32"/>
              </w:rPr>
              <w:t>规上工业增加值增速</w:t>
            </w:r>
          </w:p>
        </w:tc>
        <w:tc>
          <w:tcPr>
            <w:tcW w:type="dxa" w:w="3118"/>
          </w:tcPr>
          <w:p>
            <w:pPr>
              <w:spacing w:lineRule="exact" w:line="600"/>
              <w:jc w:val="center"/>
            </w:pPr>
            <w:r/>
            <w:r>
              <w:rPr>
                <w:rFonts w:ascii="仿宋_GB2312" w:hAnsi="仿宋_GB2312" w:eastAsia="仿宋_GB2312"/>
                <w:b w:val="0"/>
                <w:color w:val="000000"/>
                <w:sz w:val="32"/>
              </w:rPr>
              <w:t>8.9%</w:t>
            </w:r>
          </w:p>
        </w:tc>
        <w:tc>
          <w:tcPr>
            <w:tcW w:type="dxa" w:w="2551"/>
          </w:tcPr>
          <w:p>
            <w:pPr>
              <w:spacing w:lineRule="exact" w:line="600"/>
              <w:jc w:val="center"/>
            </w:pPr>
            <w:r/>
            <w:r>
              <w:rPr>
                <w:rFonts w:ascii="仿宋_GB2312" w:hAnsi="仿宋_GB2312" w:eastAsia="仿宋_GB2312"/>
                <w:b w:val="0"/>
                <w:color w:val="000000"/>
                <w:sz w:val="32"/>
              </w:rPr>
              <w:t>新型工业化</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（一）上游岩盐开采</w:t>
      </w:r>
    </w:p>
    <w:p>
      <w:pPr>
        <w:spacing w:lineRule="exact" w:line="600" w:before="0" w:after="0"/>
        <w:ind w:firstLine="420"/>
        <w:jc w:val="both"/>
      </w:pPr>
      <w:r>
        <w:rPr>
          <w:rFonts w:ascii="仿宋_GB2312" w:hAnsi="仿宋_GB2312" w:eastAsia="仿宋_GB2312"/>
          <w:b w:val="0"/>
          <w:color w:val="000000"/>
          <w:sz w:val="32"/>
        </w:rPr>
        <w:t>上游为岩盐矿山开采，采用钻井水溶法（水溶采矿）将地下岩盐溶化成卤水抽出，再输送至制盐车间。肥城盐矿可开采储量丰富，4家盐厂均配套自有矿权。海晶盐化坐拥4.06平方公里矿盐区域、保有储量9.5亿吨、可开采量约2.4亿吨；肥城精制盐厂经鲁银储能建穴配套制盐项目新增矿权与腔体。开采环节的核心产出是饱和卤水，既是制盐原料，也是后续盐化工（氯碱、纯碱）的原料源头。</w:t>
      </w:r>
    </w:p>
    <w:p>
      <w:pPr>
        <w:spacing w:lineRule="exact" w:line="600" w:before="120" w:after="120"/>
        <w:ind w:firstLine="420"/>
        <w:jc w:val="left"/>
      </w:pPr>
      <w:r>
        <w:rPr>
          <w:rFonts w:ascii="楷体_GB2312" w:hAnsi="楷体_GB2312" w:eastAsia="楷体_GB2312"/>
          <w:b w:val="0"/>
          <w:color w:val="000000"/>
          <w:sz w:val="32"/>
        </w:rPr>
        <w:t>（二）中游制盐与盐化工</w:t>
      </w:r>
    </w:p>
    <w:p>
      <w:pPr>
        <w:spacing w:lineRule="exact" w:line="600" w:before="0" w:after="0"/>
        <w:ind w:firstLine="420"/>
        <w:jc w:val="both"/>
      </w:pPr>
      <w:r>
        <w:rPr>
          <w:rFonts w:ascii="仿宋_GB2312" w:hAnsi="仿宋_GB2312" w:eastAsia="仿宋_GB2312"/>
          <w:b w:val="0"/>
          <w:color w:val="000000"/>
          <w:sz w:val="32"/>
        </w:rPr>
        <w:t>中游制盐将卤水经净化、蒸发结晶产出精制盐（食用盐、工业盐、渔盐、畜牧盐等）。肥城4家盐厂总产能约1060万吨/年，其中肥城精制盐厂、海晶盐化各240万吨/年，为两大主力。盐化工向下游延伸可生产烧碱、纯碱、氯化铵、小苏打及药用氯化钠等，肥城精制盐厂药用氯化钠产量居全国前列，为全国最大药用氯化钠基地。制盐副产与卤水伴生资源（如溴、镁、钾）的综合提取亦在探索。</w:t>
      </w:r>
    </w:p>
    <w:p>
      <w:pPr>
        <w:spacing w:lineRule="exact" w:line="600" w:before="120" w:after="120"/>
        <w:ind w:firstLine="420"/>
        <w:jc w:val="left"/>
      </w:pPr>
      <w:r>
        <w:rPr>
          <w:rFonts w:ascii="楷体_GB2312" w:hAnsi="楷体_GB2312" w:eastAsia="楷体_GB2312"/>
          <w:b w:val="0"/>
          <w:color w:val="000000"/>
          <w:sz w:val="32"/>
        </w:rPr>
        <w:t>（三）下游盐穴综合利用</w:t>
      </w:r>
    </w:p>
    <w:p>
      <w:pPr>
        <w:spacing w:lineRule="exact" w:line="600" w:before="0" w:after="0"/>
        <w:ind w:firstLine="420"/>
        <w:jc w:val="both"/>
      </w:pPr>
      <w:r>
        <w:rPr>
          <w:rFonts w:ascii="仿宋_GB2312" w:hAnsi="仿宋_GB2312" w:eastAsia="仿宋_GB2312"/>
          <w:b w:val="0"/>
          <w:color w:val="000000"/>
          <w:sz w:val="32"/>
        </w:rPr>
        <w:t>下游以盐穴储能为核心，将水溶采矿后形成的地下空腔（腔体46对、年新增约300万m³）用于压缩空气储能、储气、储油及战略物资储备。中电建等投资建设的盐穴压缩空气储能项目，利用采盐腔体实现「采盐—造腔—储能」一体化，使原本采空区变身高价值储能设施，形成区别于传统盐化工的独特价值链，并向电网调峰、新能源消纳服务延伸。</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产业链环节</w:t>
            </w:r>
          </w:p>
        </w:tc>
        <w:tc>
          <w:tcPr>
            <w:tcW w:type="dxa" w:w="3969"/>
          </w:tcPr>
          <w:p>
            <w:pPr>
              <w:spacing w:lineRule="exact" w:line="600"/>
              <w:jc w:val="center"/>
            </w:pPr>
            <w:r/>
            <w:r>
              <w:rPr>
                <w:rFonts w:ascii="黑体" w:hAnsi="黑体" w:eastAsia="黑体"/>
                <w:b/>
                <w:color w:val="000000"/>
                <w:sz w:val="32"/>
              </w:rPr>
              <w:t>关键产品/产能</w:t>
            </w:r>
          </w:p>
        </w:tc>
        <w:tc>
          <w:tcPr>
            <w:tcW w:type="dxa" w:w="3402"/>
          </w:tcPr>
          <w:p>
            <w:pPr>
              <w:spacing w:lineRule="exact" w:line="600"/>
              <w:jc w:val="center"/>
            </w:pPr>
            <w:r/>
            <w:r>
              <w:rPr>
                <w:rFonts w:ascii="黑体" w:hAnsi="黑体" w:eastAsia="黑体"/>
                <w:b/>
                <w:color w:val="000000"/>
                <w:sz w:val="32"/>
              </w:rPr>
              <w:t>代表主体</w:t>
            </w:r>
          </w:p>
        </w:tc>
      </w:tr>
      <w:tr>
        <w:tc>
          <w:tcPr>
            <w:tcW w:type="dxa" w:w="1701"/>
          </w:tcPr>
          <w:p>
            <w:pPr>
              <w:spacing w:lineRule="exact" w:line="600"/>
              <w:jc w:val="center"/>
            </w:pPr>
            <w:r/>
            <w:r>
              <w:rPr>
                <w:rFonts w:ascii="仿宋_GB2312" w:hAnsi="仿宋_GB2312" w:eastAsia="仿宋_GB2312"/>
                <w:b w:val="0"/>
                <w:color w:val="000000"/>
                <w:sz w:val="32"/>
              </w:rPr>
              <w:t>上游开采</w:t>
            </w:r>
          </w:p>
        </w:tc>
        <w:tc>
          <w:tcPr>
            <w:tcW w:type="dxa" w:w="3969"/>
          </w:tcPr>
          <w:p>
            <w:pPr>
              <w:spacing w:lineRule="exact" w:line="600"/>
              <w:jc w:val="center"/>
            </w:pPr>
            <w:r/>
            <w:r>
              <w:rPr>
                <w:rFonts w:ascii="仿宋_GB2312" w:hAnsi="仿宋_GB2312" w:eastAsia="仿宋_GB2312"/>
                <w:b w:val="0"/>
                <w:color w:val="000000"/>
                <w:sz w:val="32"/>
              </w:rPr>
              <w:t>卤水/岩盐可采2.4亿吨+</w:t>
            </w:r>
          </w:p>
        </w:tc>
        <w:tc>
          <w:tcPr>
            <w:tcW w:type="dxa" w:w="3402"/>
          </w:tcPr>
          <w:p>
            <w:pPr>
              <w:spacing w:lineRule="exact" w:line="600"/>
              <w:jc w:val="center"/>
            </w:pPr>
            <w:r/>
            <w:r>
              <w:rPr>
                <w:rFonts w:ascii="仿宋_GB2312" w:hAnsi="仿宋_GB2312" w:eastAsia="仿宋_GB2312"/>
                <w:b w:val="0"/>
                <w:color w:val="000000"/>
                <w:sz w:val="32"/>
              </w:rPr>
              <w:t>海晶、精制盐厂等</w:t>
            </w:r>
          </w:p>
        </w:tc>
      </w:tr>
      <w:tr>
        <w:tc>
          <w:tcPr>
            <w:tcW w:type="dxa" w:w="1701"/>
          </w:tcPr>
          <w:p>
            <w:pPr>
              <w:spacing w:lineRule="exact" w:line="600"/>
              <w:jc w:val="center"/>
            </w:pPr>
            <w:r/>
            <w:r>
              <w:rPr>
                <w:rFonts w:ascii="仿宋_GB2312" w:hAnsi="仿宋_GB2312" w:eastAsia="仿宋_GB2312"/>
                <w:b w:val="0"/>
                <w:color w:val="000000"/>
                <w:sz w:val="32"/>
              </w:rPr>
              <w:t>中游制盐</w:t>
            </w:r>
          </w:p>
        </w:tc>
        <w:tc>
          <w:tcPr>
            <w:tcW w:type="dxa" w:w="3969"/>
          </w:tcPr>
          <w:p>
            <w:pPr>
              <w:spacing w:lineRule="exact" w:line="600"/>
              <w:jc w:val="center"/>
            </w:pPr>
            <w:r/>
            <w:r>
              <w:rPr>
                <w:rFonts w:ascii="仿宋_GB2312" w:hAnsi="仿宋_GB2312" w:eastAsia="仿宋_GB2312"/>
                <w:b w:val="0"/>
                <w:color w:val="000000"/>
                <w:sz w:val="32"/>
              </w:rPr>
              <w:t>1060万吨/年（精盐+工业盐）</w:t>
            </w:r>
          </w:p>
        </w:tc>
        <w:tc>
          <w:tcPr>
            <w:tcW w:type="dxa" w:w="3402"/>
          </w:tcPr>
          <w:p>
            <w:pPr>
              <w:spacing w:lineRule="exact" w:line="600"/>
              <w:jc w:val="center"/>
            </w:pPr>
            <w:r/>
            <w:r>
              <w:rPr>
                <w:rFonts w:ascii="仿宋_GB2312" w:hAnsi="仿宋_GB2312" w:eastAsia="仿宋_GB2312"/>
                <w:b w:val="0"/>
                <w:color w:val="000000"/>
                <w:sz w:val="32"/>
              </w:rPr>
              <w:t>4家盐厂</w:t>
            </w:r>
          </w:p>
        </w:tc>
      </w:tr>
      <w:tr>
        <w:tc>
          <w:tcPr>
            <w:tcW w:type="dxa" w:w="1701"/>
          </w:tcPr>
          <w:p>
            <w:pPr>
              <w:spacing w:lineRule="exact" w:line="600"/>
              <w:jc w:val="center"/>
            </w:pPr>
            <w:r/>
            <w:r>
              <w:rPr>
                <w:rFonts w:ascii="仿宋_GB2312" w:hAnsi="仿宋_GB2312" w:eastAsia="仿宋_GB2312"/>
                <w:b w:val="0"/>
                <w:color w:val="000000"/>
                <w:sz w:val="32"/>
              </w:rPr>
              <w:t>盐化工</w:t>
            </w:r>
          </w:p>
        </w:tc>
        <w:tc>
          <w:tcPr>
            <w:tcW w:type="dxa" w:w="3969"/>
          </w:tcPr>
          <w:p>
            <w:pPr>
              <w:spacing w:lineRule="exact" w:line="600"/>
              <w:jc w:val="center"/>
            </w:pPr>
            <w:r/>
            <w:r>
              <w:rPr>
                <w:rFonts w:ascii="仿宋_GB2312" w:hAnsi="仿宋_GB2312" w:eastAsia="仿宋_GB2312"/>
                <w:b w:val="0"/>
                <w:color w:val="000000"/>
                <w:sz w:val="32"/>
              </w:rPr>
              <w:t>药用氯化钠全国最大</w:t>
            </w:r>
          </w:p>
        </w:tc>
        <w:tc>
          <w:tcPr>
            <w:tcW w:type="dxa" w:w="3402"/>
          </w:tcPr>
          <w:p>
            <w:pPr>
              <w:spacing w:lineRule="exact" w:line="600"/>
              <w:jc w:val="center"/>
            </w:pPr>
            <w:r/>
            <w:r>
              <w:rPr>
                <w:rFonts w:ascii="仿宋_GB2312" w:hAnsi="仿宋_GB2312" w:eastAsia="仿宋_GB2312"/>
                <w:b w:val="0"/>
                <w:color w:val="000000"/>
                <w:sz w:val="32"/>
              </w:rPr>
              <w:t>肥城精制盐厂</w:t>
            </w:r>
          </w:p>
        </w:tc>
      </w:tr>
      <w:tr>
        <w:tc>
          <w:tcPr>
            <w:tcW w:type="dxa" w:w="1701"/>
          </w:tcPr>
          <w:p>
            <w:pPr>
              <w:spacing w:lineRule="exact" w:line="600"/>
              <w:jc w:val="center"/>
            </w:pPr>
            <w:r/>
            <w:r>
              <w:rPr>
                <w:rFonts w:ascii="仿宋_GB2312" w:hAnsi="仿宋_GB2312" w:eastAsia="仿宋_GB2312"/>
                <w:b w:val="0"/>
                <w:color w:val="000000"/>
                <w:sz w:val="32"/>
              </w:rPr>
              <w:t>下游盐穴</w:t>
            </w:r>
          </w:p>
        </w:tc>
        <w:tc>
          <w:tcPr>
            <w:tcW w:type="dxa" w:w="3969"/>
          </w:tcPr>
          <w:p>
            <w:pPr>
              <w:spacing w:lineRule="exact" w:line="600"/>
              <w:jc w:val="center"/>
            </w:pPr>
            <w:r/>
            <w:r>
              <w:rPr>
                <w:rFonts w:ascii="仿宋_GB2312" w:hAnsi="仿宋_GB2312" w:eastAsia="仿宋_GB2312"/>
                <w:b w:val="0"/>
                <w:color w:val="000000"/>
                <w:sz w:val="32"/>
              </w:rPr>
              <w:t>46对腔体/储能3480MW</w:t>
            </w:r>
          </w:p>
        </w:tc>
        <w:tc>
          <w:tcPr>
            <w:tcW w:type="dxa" w:w="3402"/>
          </w:tcPr>
          <w:p>
            <w:pPr>
              <w:spacing w:lineRule="exact" w:line="600"/>
              <w:jc w:val="center"/>
            </w:pPr>
            <w:r/>
            <w:r>
              <w:rPr>
                <w:rFonts w:ascii="仿宋_GB2312" w:hAnsi="仿宋_GB2312" w:eastAsia="仿宋_GB2312"/>
                <w:b w:val="0"/>
                <w:color w:val="000000"/>
                <w:sz w:val="32"/>
              </w:rPr>
              <w:t>中电建等储能项目</w:t>
            </w:r>
          </w:p>
        </w:tc>
      </w:tr>
    </w:tbl>
    <w:p>
      <w:pPr>
        <w:spacing w:lineRule="exact" w:line="600" w:before="120" w:after="120"/>
        <w:ind w:firstLine="420"/>
        <w:jc w:val="left"/>
      </w:pPr>
      <w:r>
        <w:rPr>
          <w:rFonts w:ascii="楷体_GB2312" w:hAnsi="楷体_GB2312" w:eastAsia="楷体_GB2312"/>
          <w:b w:val="0"/>
          <w:color w:val="000000"/>
          <w:sz w:val="32"/>
        </w:rPr>
        <w:t>岩盐资源与制盐产能（本批真实数据补充·来源见正文）</w:t>
      </w:r>
    </w:p>
    <w:p>
      <w:pPr>
        <w:spacing w:lineRule="exact" w:line="600" w:before="0" w:after="0"/>
        <w:ind w:firstLine="420"/>
        <w:jc w:val="both"/>
      </w:pPr>
      <w:r>
        <w:rPr>
          <w:rFonts w:ascii="仿宋_GB2312" w:hAnsi="仿宋_GB2312" w:eastAsia="仿宋_GB2312"/>
          <w:b w:val="0"/>
          <w:color w:val="000000"/>
          <w:sz w:val="32"/>
        </w:rPr>
        <w:t>肥城地处大汶口盆地，探明岩盐储量50.2亿吨，年制盐1060万吨；现有盐穴腔体46对，可利用腔体2000万立方米。辖区4家盐厂2024年实现产值24.74亿元、税收3.59亿元；精制盐厂年产能240万吨，海晶盐化精制工业盐产能240万吨/年。（来源：泰安市商务局2026、肥城经开区推介）</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资源/产能</w:t>
            </w:r>
          </w:p>
        </w:tc>
        <w:tc>
          <w:tcPr>
            <w:tcW w:type="dxa" w:w="3118"/>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2835"/>
          </w:tcPr>
          <w:p>
            <w:pPr>
              <w:spacing w:lineRule="exact" w:line="600"/>
              <w:jc w:val="center"/>
            </w:pPr>
            <w:r/>
            <w:r>
              <w:rPr>
                <w:rFonts w:ascii="仿宋_GB2312" w:hAnsi="仿宋_GB2312" w:eastAsia="仿宋_GB2312"/>
                <w:b w:val="0"/>
                <w:color w:val="000000"/>
                <w:sz w:val="32"/>
              </w:rPr>
              <w:t>探明岩盐储量</w:t>
            </w:r>
          </w:p>
        </w:tc>
        <w:tc>
          <w:tcPr>
            <w:tcW w:type="dxa" w:w="3118"/>
          </w:tcPr>
          <w:p>
            <w:pPr>
              <w:spacing w:lineRule="exact" w:line="600"/>
              <w:jc w:val="center"/>
            </w:pPr>
            <w:r/>
            <w:r>
              <w:rPr>
                <w:rFonts w:ascii="仿宋_GB2312" w:hAnsi="仿宋_GB2312" w:eastAsia="仿宋_GB2312"/>
                <w:b w:val="0"/>
                <w:color w:val="000000"/>
                <w:sz w:val="32"/>
              </w:rPr>
              <w:t>50.2亿吨</w:t>
            </w:r>
          </w:p>
        </w:tc>
        <w:tc>
          <w:tcPr>
            <w:tcW w:type="dxa" w:w="2551"/>
          </w:tcPr>
          <w:p>
            <w:pPr>
              <w:spacing w:lineRule="exact" w:line="600"/>
              <w:jc w:val="center"/>
            </w:pPr>
            <w:r/>
            <w:r>
              <w:rPr>
                <w:rFonts w:ascii="仿宋_GB2312" w:hAnsi="仿宋_GB2312" w:eastAsia="仿宋_GB2312"/>
                <w:b w:val="0"/>
                <w:color w:val="000000"/>
                <w:sz w:val="32"/>
              </w:rPr>
              <w:t>大汶口盆地</w:t>
            </w:r>
          </w:p>
        </w:tc>
      </w:tr>
      <w:tr>
        <w:tc>
          <w:tcPr>
            <w:tcW w:type="dxa" w:w="2835"/>
          </w:tcPr>
          <w:p>
            <w:pPr>
              <w:spacing w:lineRule="exact" w:line="600"/>
              <w:jc w:val="center"/>
            </w:pPr>
            <w:r/>
            <w:r>
              <w:rPr>
                <w:rFonts w:ascii="仿宋_GB2312" w:hAnsi="仿宋_GB2312" w:eastAsia="仿宋_GB2312"/>
                <w:b w:val="0"/>
                <w:color w:val="000000"/>
                <w:sz w:val="32"/>
              </w:rPr>
              <w:t>年制盐规模</w:t>
            </w:r>
          </w:p>
        </w:tc>
        <w:tc>
          <w:tcPr>
            <w:tcW w:type="dxa" w:w="3118"/>
          </w:tcPr>
          <w:p>
            <w:pPr>
              <w:spacing w:lineRule="exact" w:line="600"/>
              <w:jc w:val="center"/>
            </w:pPr>
            <w:r/>
            <w:r>
              <w:rPr>
                <w:rFonts w:ascii="仿宋_GB2312" w:hAnsi="仿宋_GB2312" w:eastAsia="仿宋_GB2312"/>
                <w:b w:val="0"/>
                <w:color w:val="000000"/>
                <w:sz w:val="32"/>
              </w:rPr>
              <w:t>1060万吨</w:t>
            </w:r>
          </w:p>
        </w:tc>
        <w:tc>
          <w:tcPr>
            <w:tcW w:type="dxa" w:w="2551"/>
          </w:tcPr>
          <w:p>
            <w:pPr>
              <w:spacing w:lineRule="exact" w:line="600"/>
              <w:jc w:val="center"/>
            </w:pPr>
            <w:r/>
            <w:r>
              <w:rPr>
                <w:rFonts w:ascii="仿宋_GB2312" w:hAnsi="仿宋_GB2312" w:eastAsia="仿宋_GB2312"/>
                <w:b w:val="0"/>
                <w:color w:val="000000"/>
                <w:sz w:val="32"/>
              </w:rPr>
              <w:t>4家盐厂</w:t>
            </w:r>
          </w:p>
        </w:tc>
      </w:tr>
      <w:tr>
        <w:tc>
          <w:tcPr>
            <w:tcW w:type="dxa" w:w="2835"/>
          </w:tcPr>
          <w:p>
            <w:pPr>
              <w:spacing w:lineRule="exact" w:line="600"/>
              <w:jc w:val="center"/>
            </w:pPr>
            <w:r/>
            <w:r>
              <w:rPr>
                <w:rFonts w:ascii="仿宋_GB2312" w:hAnsi="仿宋_GB2312" w:eastAsia="仿宋_GB2312"/>
                <w:b w:val="0"/>
                <w:color w:val="000000"/>
                <w:sz w:val="32"/>
              </w:rPr>
              <w:t>盐厂产值（2024）</w:t>
            </w:r>
          </w:p>
        </w:tc>
        <w:tc>
          <w:tcPr>
            <w:tcW w:type="dxa" w:w="3118"/>
          </w:tcPr>
          <w:p>
            <w:pPr>
              <w:spacing w:lineRule="exact" w:line="600"/>
              <w:jc w:val="center"/>
            </w:pPr>
            <w:r/>
            <w:r>
              <w:rPr>
                <w:rFonts w:ascii="仿宋_GB2312" w:hAnsi="仿宋_GB2312" w:eastAsia="仿宋_GB2312"/>
                <w:b w:val="0"/>
                <w:color w:val="000000"/>
                <w:sz w:val="32"/>
              </w:rPr>
              <w:t>24.74亿元</w:t>
            </w:r>
          </w:p>
        </w:tc>
        <w:tc>
          <w:tcPr>
            <w:tcW w:type="dxa" w:w="2551"/>
          </w:tcPr>
          <w:p>
            <w:pPr>
              <w:spacing w:lineRule="exact" w:line="600"/>
              <w:jc w:val="center"/>
            </w:pPr>
            <w:r/>
            <w:r>
              <w:rPr>
                <w:rFonts w:ascii="仿宋_GB2312" w:hAnsi="仿宋_GB2312" w:eastAsia="仿宋_GB2312"/>
                <w:b w:val="0"/>
                <w:color w:val="000000"/>
                <w:sz w:val="32"/>
              </w:rPr>
              <w:t>税收3.59亿元</w:t>
            </w:r>
          </w:p>
        </w:tc>
      </w:tr>
      <w:tr>
        <w:tc>
          <w:tcPr>
            <w:tcW w:type="dxa" w:w="2835"/>
          </w:tcPr>
          <w:p>
            <w:pPr>
              <w:spacing w:lineRule="exact" w:line="600"/>
              <w:jc w:val="center"/>
            </w:pPr>
            <w:r/>
            <w:r>
              <w:rPr>
                <w:rFonts w:ascii="仿宋_GB2312" w:hAnsi="仿宋_GB2312" w:eastAsia="仿宋_GB2312"/>
                <w:b w:val="0"/>
                <w:color w:val="000000"/>
                <w:sz w:val="32"/>
              </w:rPr>
              <w:t>精制盐产能</w:t>
            </w:r>
          </w:p>
        </w:tc>
        <w:tc>
          <w:tcPr>
            <w:tcW w:type="dxa" w:w="3118"/>
          </w:tcPr>
          <w:p>
            <w:pPr>
              <w:spacing w:lineRule="exact" w:line="600"/>
              <w:jc w:val="center"/>
            </w:pPr>
            <w:r/>
            <w:r>
              <w:rPr>
                <w:rFonts w:ascii="仿宋_GB2312" w:hAnsi="仿宋_GB2312" w:eastAsia="仿宋_GB2312"/>
                <w:b w:val="0"/>
                <w:color w:val="000000"/>
                <w:sz w:val="32"/>
              </w:rPr>
              <w:t>240万吨/年</w:t>
            </w:r>
          </w:p>
        </w:tc>
        <w:tc>
          <w:tcPr>
            <w:tcW w:type="dxa" w:w="2551"/>
          </w:tcPr>
          <w:p>
            <w:pPr>
              <w:spacing w:lineRule="exact" w:line="600"/>
              <w:jc w:val="center"/>
            </w:pPr>
            <w:r/>
            <w:r>
              <w:rPr>
                <w:rFonts w:ascii="仿宋_GB2312" w:hAnsi="仿宋_GB2312" w:eastAsia="仿宋_GB2312"/>
                <w:b w:val="0"/>
                <w:color w:val="000000"/>
                <w:sz w:val="32"/>
              </w:rPr>
              <w:t>精制盐厂</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（一）食盐与工业盐需求</w:t>
      </w:r>
    </w:p>
    <w:p>
      <w:pPr>
        <w:spacing w:lineRule="exact" w:line="600" w:before="0" w:after="0"/>
        <w:ind w:firstLine="420"/>
        <w:jc w:val="both"/>
      </w:pPr>
      <w:r>
        <w:rPr>
          <w:rFonts w:ascii="仿宋_GB2312" w:hAnsi="仿宋_GB2312" w:eastAsia="仿宋_GB2312"/>
          <w:b w:val="0"/>
          <w:color w:val="000000"/>
          <w:sz w:val="32"/>
        </w:rPr>
        <w:t>食用盐属基本民生商品，需求刚性、增长平稳，受人口与居民消费结构影响；工业盐是氯碱、纯碱等基础化工的大宗原料，需求随化工周期波动。肥城精制盐厂为华北最大食盐定点生产企业，承担区域食盐保供职能，其食用盐在山东及周边市场占有稳定份额。工业盐方面，山东省作为化工大省，氯碱、纯碱产能庞大，为工业盐提供就近消纳市场，降低长途运输成本。</w:t>
      </w:r>
    </w:p>
    <w:p>
      <w:pPr>
        <w:spacing w:lineRule="exact" w:line="600" w:before="120" w:after="120"/>
        <w:ind w:firstLine="420"/>
        <w:jc w:val="left"/>
      </w:pPr>
      <w:r>
        <w:rPr>
          <w:rFonts w:ascii="楷体_GB2312" w:hAnsi="楷体_GB2312" w:eastAsia="楷体_GB2312"/>
          <w:b w:val="0"/>
          <w:color w:val="000000"/>
          <w:sz w:val="32"/>
        </w:rPr>
        <w:t>（二）盐穴储能市场空间</w:t>
      </w:r>
    </w:p>
    <w:p>
      <w:pPr>
        <w:spacing w:lineRule="exact" w:line="600" w:before="0" w:after="0"/>
        <w:ind w:firstLine="420"/>
        <w:jc w:val="both"/>
      </w:pPr>
      <w:r>
        <w:rPr>
          <w:rFonts w:ascii="仿宋_GB2312" w:hAnsi="仿宋_GB2312" w:eastAsia="仿宋_GB2312"/>
          <w:b w:val="0"/>
          <w:color w:val="000000"/>
          <w:sz w:val="32"/>
        </w:rPr>
        <w:t>在「双碳」目标下，风电、光伏高比例并网催生巨大调峰储能需求。盐穴压缩空气储能具有规模大、成本低、寿命长优势，单库规模可达百MW至GW级。肥城已落地22个新型储能项目、总装机3480MW，成为山东省储能版图的「压舱石」（占全省约1/5）。随新能源装机持续增长，盐穴储能容量电价与辅助服务收益空间扩大，市场需求确定性高。</w:t>
      </w:r>
    </w:p>
    <w:p>
      <w:pPr>
        <w:spacing w:lineRule="exact" w:line="600" w:before="120" w:after="120"/>
        <w:ind w:firstLine="420"/>
        <w:jc w:val="left"/>
      </w:pPr>
      <w:r>
        <w:rPr>
          <w:rFonts w:ascii="楷体_GB2312" w:hAnsi="楷体_GB2312" w:eastAsia="楷体_GB2312"/>
          <w:b w:val="0"/>
          <w:color w:val="000000"/>
          <w:sz w:val="32"/>
        </w:rPr>
        <w:t>（三）竞争格局</w:t>
      </w:r>
    </w:p>
    <w:p>
      <w:pPr>
        <w:spacing w:lineRule="exact" w:line="600" w:before="0" w:after="0"/>
        <w:ind w:firstLine="420"/>
        <w:jc w:val="both"/>
      </w:pPr>
      <w:r>
        <w:rPr>
          <w:rFonts w:ascii="仿宋_GB2312" w:hAnsi="仿宋_GB2312" w:eastAsia="仿宋_GB2312"/>
          <w:b w:val="0"/>
          <w:color w:val="000000"/>
          <w:sz w:val="32"/>
        </w:rPr>
        <w:t>井矿盐全国分布于江苏、江西、河南、山东等地，肥城在山东省内为重要基地，与德州、枣庄等盐矿形成省内互补。制盐环节竞争以成本与品质为核心，海晶盐化凭借MVR热泵+光伏的低碳工艺形成成本与绿色优势；盐穴储能领域，肥城与江苏金坛（中盐）等国内先行区同台竞争，凭借腔体新增速度快（年新增约300万m³）、配套鲁银储能等国企资源，形成差异化竞争力。</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市场指标</w:t>
            </w:r>
          </w:p>
        </w:tc>
        <w:tc>
          <w:tcPr>
            <w:tcW w:type="dxa" w:w="3969"/>
          </w:tcPr>
          <w:p>
            <w:pPr>
              <w:spacing w:lineRule="exact" w:line="600"/>
              <w:jc w:val="center"/>
            </w:pPr>
            <w:r/>
            <w:r>
              <w:rPr>
                <w:rFonts w:ascii="黑体" w:hAnsi="黑体" w:eastAsia="黑体"/>
                <w:b/>
                <w:color w:val="000000"/>
                <w:sz w:val="32"/>
              </w:rPr>
              <w:t>数值/特征</w:t>
            </w:r>
          </w:p>
        </w:tc>
        <w:tc>
          <w:tcPr>
            <w:tcW w:type="dxa" w:w="2835"/>
          </w:tcPr>
          <w:p>
            <w:pPr>
              <w:spacing w:lineRule="exact" w:line="600"/>
              <w:jc w:val="center"/>
            </w:pPr>
            <w:r/>
            <w:r>
              <w:rPr>
                <w:rFonts w:ascii="黑体" w:hAnsi="黑体" w:eastAsia="黑体"/>
                <w:b/>
                <w:color w:val="000000"/>
                <w:sz w:val="32"/>
              </w:rPr>
              <w:t>来源/年份</w:t>
            </w:r>
          </w:p>
        </w:tc>
      </w:tr>
      <w:tr>
        <w:tc>
          <w:tcPr>
            <w:tcW w:type="dxa" w:w="2268"/>
          </w:tcPr>
          <w:p>
            <w:pPr>
              <w:spacing w:lineRule="exact" w:line="600"/>
              <w:jc w:val="center"/>
            </w:pPr>
            <w:r/>
            <w:r>
              <w:rPr>
                <w:rFonts w:ascii="仿宋_GB2312" w:hAnsi="仿宋_GB2312" w:eastAsia="仿宋_GB2312"/>
                <w:b w:val="0"/>
                <w:color w:val="000000"/>
                <w:sz w:val="32"/>
              </w:rPr>
              <w:t>肥城盐业产值</w:t>
            </w:r>
          </w:p>
        </w:tc>
        <w:tc>
          <w:tcPr>
            <w:tcW w:type="dxa" w:w="3969"/>
          </w:tcPr>
          <w:p>
            <w:pPr>
              <w:spacing w:lineRule="exact" w:line="600"/>
              <w:jc w:val="center"/>
            </w:pPr>
            <w:r/>
            <w:r>
              <w:rPr>
                <w:rFonts w:ascii="仿宋_GB2312" w:hAnsi="仿宋_GB2312" w:eastAsia="仿宋_GB2312"/>
                <w:b w:val="0"/>
                <w:color w:val="000000"/>
                <w:sz w:val="32"/>
              </w:rPr>
              <w:t>24.74亿元（2024）</w:t>
            </w:r>
          </w:p>
        </w:tc>
        <w:tc>
          <w:tcPr>
            <w:tcW w:type="dxa" w:w="2835"/>
          </w:tcPr>
          <w:p>
            <w:pPr>
              <w:spacing w:lineRule="exact" w:line="600"/>
              <w:jc w:val="center"/>
            </w:pPr>
            <w:r/>
            <w:r>
              <w:rPr>
                <w:rFonts w:ascii="仿宋_GB2312" w:hAnsi="仿宋_GB2312" w:eastAsia="仿宋_GB2312"/>
                <w:b w:val="0"/>
                <w:color w:val="000000"/>
                <w:sz w:val="32"/>
              </w:rPr>
              <w:t>肥城市</w:t>
            </w:r>
          </w:p>
        </w:tc>
      </w:tr>
      <w:tr>
        <w:tc>
          <w:tcPr>
            <w:tcW w:type="dxa" w:w="2268"/>
          </w:tcPr>
          <w:p>
            <w:pPr>
              <w:spacing w:lineRule="exact" w:line="600"/>
              <w:jc w:val="center"/>
            </w:pPr>
            <w:r/>
            <w:r>
              <w:rPr>
                <w:rFonts w:ascii="仿宋_GB2312" w:hAnsi="仿宋_GB2312" w:eastAsia="仿宋_GB2312"/>
                <w:b w:val="0"/>
                <w:color w:val="000000"/>
                <w:sz w:val="32"/>
              </w:rPr>
              <w:t>盐业税收</w:t>
            </w:r>
          </w:p>
        </w:tc>
        <w:tc>
          <w:tcPr>
            <w:tcW w:type="dxa" w:w="3969"/>
          </w:tcPr>
          <w:p>
            <w:pPr>
              <w:spacing w:lineRule="exact" w:line="600"/>
              <w:jc w:val="center"/>
            </w:pPr>
            <w:r/>
            <w:r>
              <w:rPr>
                <w:rFonts w:ascii="仿宋_GB2312" w:hAnsi="仿宋_GB2312" w:eastAsia="仿宋_GB2312"/>
                <w:b w:val="0"/>
                <w:color w:val="000000"/>
                <w:sz w:val="32"/>
              </w:rPr>
              <w:t>3.59亿元（2024）</w:t>
            </w:r>
          </w:p>
        </w:tc>
        <w:tc>
          <w:tcPr>
            <w:tcW w:type="dxa" w:w="2835"/>
          </w:tcPr>
          <w:p>
            <w:pPr>
              <w:spacing w:lineRule="exact" w:line="600"/>
              <w:jc w:val="center"/>
            </w:pPr>
            <w:r/>
            <w:r>
              <w:rPr>
                <w:rFonts w:ascii="仿宋_GB2312" w:hAnsi="仿宋_GB2312" w:eastAsia="仿宋_GB2312"/>
                <w:b w:val="0"/>
                <w:color w:val="000000"/>
                <w:sz w:val="32"/>
              </w:rPr>
              <w:t>肥城市</w:t>
            </w:r>
          </w:p>
        </w:tc>
      </w:tr>
      <w:tr>
        <w:tc>
          <w:tcPr>
            <w:tcW w:type="dxa" w:w="2268"/>
          </w:tcPr>
          <w:p>
            <w:pPr>
              <w:spacing w:lineRule="exact" w:line="600"/>
              <w:jc w:val="center"/>
            </w:pPr>
            <w:r/>
            <w:r>
              <w:rPr>
                <w:rFonts w:ascii="仿宋_GB2312" w:hAnsi="仿宋_GB2312" w:eastAsia="仿宋_GB2312"/>
                <w:b w:val="0"/>
                <w:color w:val="000000"/>
                <w:sz w:val="32"/>
              </w:rPr>
              <w:t>2025产值</w:t>
            </w:r>
          </w:p>
        </w:tc>
        <w:tc>
          <w:tcPr>
            <w:tcW w:type="dxa" w:w="3969"/>
          </w:tcPr>
          <w:p>
            <w:pPr>
              <w:spacing w:lineRule="exact" w:line="600"/>
              <w:jc w:val="center"/>
            </w:pPr>
            <w:r/>
            <w:r>
              <w:rPr>
                <w:rFonts w:ascii="仿宋_GB2312" w:hAnsi="仿宋_GB2312" w:eastAsia="仿宋_GB2312"/>
                <w:b w:val="0"/>
                <w:color w:val="000000"/>
                <w:sz w:val="32"/>
              </w:rPr>
              <w:t>27.87亿元</w:t>
            </w:r>
          </w:p>
        </w:tc>
        <w:tc>
          <w:tcPr>
            <w:tcW w:type="dxa" w:w="2835"/>
          </w:tcPr>
          <w:p>
            <w:pPr>
              <w:spacing w:lineRule="exact" w:line="600"/>
              <w:jc w:val="center"/>
            </w:pPr>
            <w:r/>
            <w:r>
              <w:rPr>
                <w:rFonts w:ascii="仿宋_GB2312" w:hAnsi="仿宋_GB2312" w:eastAsia="仿宋_GB2312"/>
                <w:b w:val="0"/>
                <w:color w:val="000000"/>
                <w:sz w:val="32"/>
              </w:rPr>
              <w:t>肥城市</w:t>
            </w:r>
          </w:p>
        </w:tc>
      </w:tr>
      <w:tr>
        <w:tc>
          <w:tcPr>
            <w:tcW w:type="dxa" w:w="2268"/>
          </w:tcPr>
          <w:p>
            <w:pPr>
              <w:spacing w:lineRule="exact" w:line="600"/>
              <w:jc w:val="center"/>
            </w:pPr>
            <w:r/>
            <w:r>
              <w:rPr>
                <w:rFonts w:ascii="仿宋_GB2312" w:hAnsi="仿宋_GB2312" w:eastAsia="仿宋_GB2312"/>
                <w:b w:val="0"/>
                <w:color w:val="000000"/>
                <w:sz w:val="32"/>
              </w:rPr>
              <w:t>储能项目数</w:t>
            </w:r>
          </w:p>
        </w:tc>
        <w:tc>
          <w:tcPr>
            <w:tcW w:type="dxa" w:w="3969"/>
          </w:tcPr>
          <w:p>
            <w:pPr>
              <w:spacing w:lineRule="exact" w:line="600"/>
              <w:jc w:val="center"/>
            </w:pPr>
            <w:r/>
            <w:r>
              <w:rPr>
                <w:rFonts w:ascii="仿宋_GB2312" w:hAnsi="仿宋_GB2312" w:eastAsia="仿宋_GB2312"/>
                <w:b w:val="0"/>
                <w:color w:val="000000"/>
                <w:sz w:val="32"/>
              </w:rPr>
              <w:t>22个/3480MW</w:t>
            </w:r>
          </w:p>
        </w:tc>
        <w:tc>
          <w:tcPr>
            <w:tcW w:type="dxa" w:w="2835"/>
          </w:tcPr>
          <w:p>
            <w:pPr>
              <w:spacing w:lineRule="exact" w:line="600"/>
              <w:jc w:val="center"/>
            </w:pPr>
            <w:r/>
            <w:r>
              <w:rPr>
                <w:rFonts w:ascii="仿宋_GB2312" w:hAnsi="仿宋_GB2312" w:eastAsia="仿宋_GB2312"/>
                <w:b w:val="0"/>
                <w:color w:val="000000"/>
                <w:sz w:val="32"/>
              </w:rPr>
              <w:t>肥城储能报道</w:t>
            </w:r>
          </w:p>
        </w:tc>
      </w:tr>
      <w:tr>
        <w:tc>
          <w:tcPr>
            <w:tcW w:type="dxa" w:w="2268"/>
          </w:tcPr>
          <w:p>
            <w:pPr>
              <w:spacing w:lineRule="exact" w:line="600"/>
              <w:jc w:val="center"/>
            </w:pPr>
            <w:r/>
            <w:r>
              <w:rPr>
                <w:rFonts w:ascii="仿宋_GB2312" w:hAnsi="仿宋_GB2312" w:eastAsia="仿宋_GB2312"/>
                <w:b w:val="0"/>
                <w:color w:val="000000"/>
                <w:sz w:val="32"/>
              </w:rPr>
              <w:t>海晶可采储量</w:t>
            </w:r>
          </w:p>
        </w:tc>
        <w:tc>
          <w:tcPr>
            <w:tcW w:type="dxa" w:w="3969"/>
          </w:tcPr>
          <w:p>
            <w:pPr>
              <w:spacing w:lineRule="exact" w:line="600"/>
              <w:jc w:val="center"/>
            </w:pPr>
            <w:r/>
            <w:r>
              <w:rPr>
                <w:rFonts w:ascii="仿宋_GB2312" w:hAnsi="仿宋_GB2312" w:eastAsia="仿宋_GB2312"/>
                <w:b w:val="0"/>
                <w:color w:val="000000"/>
                <w:sz w:val="32"/>
              </w:rPr>
              <w:t>2.4亿吨</w:t>
            </w:r>
          </w:p>
        </w:tc>
        <w:tc>
          <w:tcPr>
            <w:tcW w:type="dxa" w:w="2835"/>
          </w:tcPr>
          <w:p>
            <w:pPr>
              <w:spacing w:lineRule="exact" w:line="600"/>
              <w:jc w:val="center"/>
            </w:pPr>
            <w:r/>
            <w:r>
              <w:rPr>
                <w:rFonts w:ascii="仿宋_GB2312" w:hAnsi="仿宋_GB2312" w:eastAsia="仿宋_GB2312"/>
                <w:b w:val="0"/>
                <w:color w:val="000000"/>
                <w:sz w:val="32"/>
              </w:rPr>
              <w:t>海晶公开资料</w:t>
            </w:r>
          </w:p>
        </w:tc>
      </w:tr>
      <w:tr>
        <w:tc>
          <w:tcPr>
            <w:tcW w:type="dxa" w:w="2268"/>
          </w:tcPr>
          <w:p>
            <w:pPr>
              <w:spacing w:lineRule="exact" w:line="600"/>
              <w:jc w:val="center"/>
            </w:pPr>
            <w:r/>
            <w:r>
              <w:rPr>
                <w:rFonts w:ascii="仿宋_GB2312" w:hAnsi="仿宋_GB2312" w:eastAsia="仿宋_GB2312"/>
                <w:b w:val="0"/>
                <w:color w:val="000000"/>
                <w:sz w:val="32"/>
              </w:rPr>
              <w:t>腔体年新增</w:t>
            </w:r>
          </w:p>
        </w:tc>
        <w:tc>
          <w:tcPr>
            <w:tcW w:type="dxa" w:w="3969"/>
          </w:tcPr>
          <w:p>
            <w:pPr>
              <w:spacing w:lineRule="exact" w:line="600"/>
              <w:jc w:val="center"/>
            </w:pPr>
            <w:r/>
            <w:r>
              <w:rPr>
                <w:rFonts w:ascii="仿宋_GB2312" w:hAnsi="仿宋_GB2312" w:eastAsia="仿宋_GB2312"/>
                <w:b w:val="0"/>
                <w:color w:val="000000"/>
                <w:sz w:val="32"/>
              </w:rPr>
              <w:t>约300万m³</w:t>
            </w:r>
          </w:p>
        </w:tc>
        <w:tc>
          <w:tcPr>
            <w:tcW w:type="dxa" w:w="2835"/>
          </w:tcPr>
          <w:p>
            <w:pPr>
              <w:spacing w:lineRule="exact" w:line="600"/>
              <w:jc w:val="center"/>
            </w:pPr>
            <w:r/>
            <w:r>
              <w:rPr>
                <w:rFonts w:ascii="仿宋_GB2312" w:hAnsi="仿宋_GB2312" w:eastAsia="仿宋_GB2312"/>
                <w:b w:val="0"/>
                <w:color w:val="000000"/>
                <w:sz w:val="32"/>
              </w:rPr>
              <w:t>肥城盐穴报道</w:t>
            </w:r>
          </w:p>
        </w:tc>
      </w:tr>
    </w:tbl>
    <w:p>
      <w:pPr>
        <w:spacing w:lineRule="exact" w:line="600" w:before="120" w:after="120"/>
        <w:ind w:firstLine="420"/>
        <w:jc w:val="left"/>
      </w:pPr>
      <w:r>
        <w:rPr>
          <w:rFonts w:ascii="楷体_GB2312" w:hAnsi="楷体_GB2312" w:eastAsia="楷体_GB2312"/>
          <w:b w:val="0"/>
          <w:color w:val="000000"/>
          <w:sz w:val="32"/>
        </w:rPr>
        <w:t>盐穴储能新赛道（本批真实数据补充·来源见正文）</w:t>
      </w:r>
    </w:p>
    <w:p>
      <w:pPr>
        <w:spacing w:lineRule="exact" w:line="600" w:before="0" w:after="0"/>
        <w:ind w:firstLine="420"/>
        <w:jc w:val="both"/>
      </w:pPr>
      <w:r>
        <w:rPr>
          <w:rFonts w:ascii="仿宋_GB2312" w:hAnsi="仿宋_GB2312" w:eastAsia="仿宋_GB2312"/>
          <w:b w:val="0"/>
          <w:color w:val="000000"/>
          <w:sz w:val="32"/>
        </w:rPr>
        <w:t>肥城按“前端扩能建穴—中端盐穴储能—后端建网延链”路径发展，新型储能产业22个项目落地、总装机3480MW，成为全国最大的盐穴储能示范应用基地，入选全省首批未来产业集群。中储国能300MW先进压缩空气储能国家示范电站并网发电，年发电量可达5.94亿千瓦时。（来源：肥城市2025政府工作报告、泰安商务局2026）</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项目/指标</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地位</w:t>
            </w:r>
          </w:p>
        </w:tc>
      </w:tr>
      <w:tr>
        <w:tc>
          <w:tcPr>
            <w:tcW w:type="dxa" w:w="3118"/>
          </w:tcPr>
          <w:p>
            <w:pPr>
              <w:spacing w:lineRule="exact" w:line="600"/>
              <w:jc w:val="center"/>
            </w:pPr>
            <w:r/>
            <w:r>
              <w:rPr>
                <w:rFonts w:ascii="仿宋_GB2312" w:hAnsi="仿宋_GB2312" w:eastAsia="仿宋_GB2312"/>
                <w:b w:val="0"/>
                <w:color w:val="000000"/>
                <w:sz w:val="32"/>
              </w:rPr>
              <w:t>新型储能项目</w:t>
            </w:r>
          </w:p>
        </w:tc>
        <w:tc>
          <w:tcPr>
            <w:tcW w:type="dxa" w:w="2835"/>
          </w:tcPr>
          <w:p>
            <w:pPr>
              <w:spacing w:lineRule="exact" w:line="600"/>
              <w:jc w:val="center"/>
            </w:pPr>
            <w:r/>
            <w:r>
              <w:rPr>
                <w:rFonts w:ascii="仿宋_GB2312" w:hAnsi="仿宋_GB2312" w:eastAsia="仿宋_GB2312"/>
                <w:b w:val="0"/>
                <w:color w:val="000000"/>
                <w:sz w:val="32"/>
              </w:rPr>
              <w:t>22个落地</w:t>
            </w:r>
          </w:p>
        </w:tc>
        <w:tc>
          <w:tcPr>
            <w:tcW w:type="dxa" w:w="2551"/>
          </w:tcPr>
          <w:p>
            <w:pPr>
              <w:spacing w:lineRule="exact" w:line="600"/>
              <w:jc w:val="center"/>
            </w:pPr>
            <w:r/>
            <w:r>
              <w:rPr>
                <w:rFonts w:ascii="仿宋_GB2312" w:hAnsi="仿宋_GB2312" w:eastAsia="仿宋_GB2312"/>
                <w:b w:val="0"/>
                <w:color w:val="000000"/>
                <w:sz w:val="32"/>
              </w:rPr>
              <w:t>总装机3480MW</w:t>
            </w:r>
          </w:p>
        </w:tc>
      </w:tr>
      <w:tr>
        <w:tc>
          <w:tcPr>
            <w:tcW w:type="dxa" w:w="3118"/>
          </w:tcPr>
          <w:p>
            <w:pPr>
              <w:spacing w:lineRule="exact" w:line="600"/>
              <w:jc w:val="center"/>
            </w:pPr>
            <w:r/>
            <w:r>
              <w:rPr>
                <w:rFonts w:ascii="仿宋_GB2312" w:hAnsi="仿宋_GB2312" w:eastAsia="仿宋_GB2312"/>
                <w:b w:val="0"/>
                <w:color w:val="000000"/>
                <w:sz w:val="32"/>
              </w:rPr>
              <w:t>盐穴储能示范基地</w:t>
            </w:r>
          </w:p>
        </w:tc>
        <w:tc>
          <w:tcPr>
            <w:tcW w:type="dxa" w:w="2835"/>
          </w:tcPr>
          <w:p>
            <w:pPr>
              <w:spacing w:lineRule="exact" w:line="600"/>
              <w:jc w:val="center"/>
            </w:pPr>
            <w:r/>
            <w:r>
              <w:rPr>
                <w:rFonts w:ascii="仿宋_GB2312" w:hAnsi="仿宋_GB2312" w:eastAsia="仿宋_GB2312"/>
                <w:b w:val="0"/>
                <w:color w:val="000000"/>
                <w:sz w:val="32"/>
              </w:rPr>
              <w:t>全国最大</w:t>
            </w:r>
          </w:p>
        </w:tc>
        <w:tc>
          <w:tcPr>
            <w:tcW w:type="dxa" w:w="2551"/>
          </w:tcPr>
          <w:p>
            <w:pPr>
              <w:spacing w:lineRule="exact" w:line="600"/>
              <w:jc w:val="center"/>
            </w:pPr>
            <w:r/>
            <w:r>
              <w:rPr>
                <w:rFonts w:ascii="仿宋_GB2312" w:hAnsi="仿宋_GB2312" w:eastAsia="仿宋_GB2312"/>
                <w:b w:val="0"/>
                <w:color w:val="000000"/>
                <w:sz w:val="32"/>
              </w:rPr>
              <w:t>未来产业集群</w:t>
            </w:r>
          </w:p>
        </w:tc>
      </w:tr>
      <w:tr>
        <w:tc>
          <w:tcPr>
            <w:tcW w:type="dxa" w:w="3118"/>
          </w:tcPr>
          <w:p>
            <w:pPr>
              <w:spacing w:lineRule="exact" w:line="600"/>
              <w:jc w:val="center"/>
            </w:pPr>
            <w:r/>
            <w:r>
              <w:rPr>
                <w:rFonts w:ascii="仿宋_GB2312" w:hAnsi="仿宋_GB2312" w:eastAsia="仿宋_GB2312"/>
                <w:b w:val="0"/>
                <w:color w:val="000000"/>
                <w:sz w:val="32"/>
              </w:rPr>
              <w:t>300MW储能电站年发电</w:t>
            </w:r>
          </w:p>
        </w:tc>
        <w:tc>
          <w:tcPr>
            <w:tcW w:type="dxa" w:w="2835"/>
          </w:tcPr>
          <w:p>
            <w:pPr>
              <w:spacing w:lineRule="exact" w:line="600"/>
              <w:jc w:val="center"/>
            </w:pPr>
            <w:r/>
            <w:r>
              <w:rPr>
                <w:rFonts w:ascii="仿宋_GB2312" w:hAnsi="仿宋_GB2312" w:eastAsia="仿宋_GB2312"/>
                <w:b w:val="0"/>
                <w:color w:val="000000"/>
                <w:sz w:val="32"/>
              </w:rPr>
              <w:t>5.94亿千瓦时</w:t>
            </w:r>
          </w:p>
        </w:tc>
        <w:tc>
          <w:tcPr>
            <w:tcW w:type="dxa" w:w="2551"/>
          </w:tcPr>
          <w:p>
            <w:pPr>
              <w:spacing w:lineRule="exact" w:line="600"/>
              <w:jc w:val="center"/>
            </w:pPr>
            <w:r/>
            <w:r>
              <w:rPr>
                <w:rFonts w:ascii="仿宋_GB2312" w:hAnsi="仿宋_GB2312" w:eastAsia="仿宋_GB2312"/>
                <w:b w:val="0"/>
                <w:color w:val="000000"/>
                <w:sz w:val="32"/>
              </w:rPr>
              <w:t>国家示范</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（一）集群总体规模</w:t>
      </w:r>
    </w:p>
    <w:p>
      <w:pPr>
        <w:spacing w:lineRule="exact" w:line="600" w:before="0" w:after="0"/>
        <w:ind w:firstLine="420"/>
        <w:jc w:val="both"/>
      </w:pPr>
      <w:r>
        <w:rPr>
          <w:rFonts w:ascii="仿宋_GB2312" w:hAnsi="仿宋_GB2312" w:eastAsia="仿宋_GB2312"/>
          <w:b w:val="0"/>
          <w:color w:val="000000"/>
          <w:sz w:val="32"/>
        </w:rPr>
        <w:t>肥城岩盐及盐化工集群以4家制盐企业为核心，配套鲁银储能等盐穴综合利用主体，2024年盐业产值24.74亿元、税收3.59亿元，2025年产值增至27.87亿元、税收2.5亿元（税收因退税及价格因素有所下降）。全市制盐总产能约1060万吨/年，盐穴储能装机3480MW，形成「采盐—制盐—盐穴储能」一体化集群雏形，为肥城岩盐医养健康产业集群提供资源与能源双重支撑。</w:t>
      </w:r>
    </w:p>
    <w:p>
      <w:pPr>
        <w:spacing w:lineRule="exact" w:line="600" w:before="120" w:after="120"/>
        <w:ind w:firstLine="420"/>
        <w:jc w:val="left"/>
      </w:pPr>
      <w:r>
        <w:rPr>
          <w:rFonts w:ascii="楷体_GB2312" w:hAnsi="楷体_GB2312" w:eastAsia="楷体_GB2312"/>
          <w:b w:val="0"/>
          <w:color w:val="000000"/>
          <w:sz w:val="32"/>
        </w:rPr>
        <w:t>（二）骨干龙头企业</w:t>
      </w:r>
    </w:p>
    <w:p>
      <w:pPr>
        <w:spacing w:lineRule="exact" w:line="600" w:before="0" w:after="0"/>
        <w:ind w:firstLine="420"/>
        <w:jc w:val="both"/>
      </w:pPr>
      <w:r>
        <w:rPr>
          <w:rFonts w:ascii="仿宋_GB2312" w:hAnsi="仿宋_GB2312" w:eastAsia="仿宋_GB2312"/>
          <w:b w:val="0"/>
          <w:color w:val="000000"/>
          <w:sz w:val="32"/>
        </w:rPr>
        <w:t>肥城精制盐厂1992年投产，为国有老牌制盐企业，经鲁银储能建穴配套制盐项目（2024年投资）扩能后年产能跃升至240万吨，为华北最大食盐定点生产企业、全国最大药用氯化钠生产基地，原产能仅30多万吨。海晶盐化为天津长芦海晶集团子公司（2011年成立，注册资本4.5亿元），一期120万吨/年已运行，二期2025年6月投料试车，总产能240万吨/年，坐拥4.06平方公里矿盐区域、9.5亿吨储量、2.4亿吨可开采，为省级专精特新、绿色工厂、高新技术企业。另有光明岩盐、胜利盐业两家骨干企业。</w:t>
      </w:r>
    </w:p>
    <w:p>
      <w:pPr>
        <w:spacing w:lineRule="exact" w:line="600" w:before="120" w:after="120"/>
        <w:ind w:firstLine="420"/>
        <w:jc w:val="left"/>
      </w:pPr>
      <w:r>
        <w:rPr>
          <w:rFonts w:ascii="楷体_GB2312" w:hAnsi="楷体_GB2312" w:eastAsia="楷体_GB2312"/>
          <w:b w:val="0"/>
          <w:color w:val="000000"/>
          <w:sz w:val="32"/>
        </w:rPr>
        <w:t>（三）协同与平台</w:t>
      </w:r>
    </w:p>
    <w:p>
      <w:pPr>
        <w:spacing w:lineRule="exact" w:line="600" w:before="0" w:after="0"/>
        <w:ind w:firstLine="420"/>
        <w:jc w:val="both"/>
      </w:pPr>
      <w:r>
        <w:rPr>
          <w:rFonts w:ascii="仿宋_GB2312" w:hAnsi="仿宋_GB2312" w:eastAsia="仿宋_GB2312"/>
          <w:b w:val="0"/>
          <w:color w:val="000000"/>
          <w:sz w:val="32"/>
        </w:rPr>
        <w:t>鲁银储能作为建穴配套制盐的投资运营主体，将采盐与造腔、储能统筹，形成「盐电协同」商业模式；中电建等能源央企落地储能项目，带来资金、技术与电网资源。肥城市层面推动盐穴储能产业园区与制盐企业空间协同，配套电网送出、储能电价等要素，吸引新型储能装备与系统集成企业集聚，集群协同效应逐步增强。</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重点企业</w:t>
            </w:r>
          </w:p>
        </w:tc>
        <w:tc>
          <w:tcPr>
            <w:tcW w:type="dxa" w:w="3969"/>
          </w:tcPr>
          <w:p>
            <w:pPr>
              <w:spacing w:lineRule="exact" w:line="600"/>
              <w:jc w:val="center"/>
            </w:pPr>
            <w:r/>
            <w:r>
              <w:rPr>
                <w:rFonts w:ascii="黑体" w:hAnsi="黑体" w:eastAsia="黑体"/>
                <w:b/>
                <w:color w:val="000000"/>
                <w:sz w:val="32"/>
              </w:rPr>
              <w:t>核心产能/指标</w:t>
            </w:r>
          </w:p>
        </w:tc>
        <w:tc>
          <w:tcPr>
            <w:tcW w:type="dxa" w:w="3118"/>
          </w:tcPr>
          <w:p>
            <w:pPr>
              <w:spacing w:lineRule="exact" w:line="600"/>
              <w:jc w:val="center"/>
            </w:pPr>
            <w:r/>
            <w:r>
              <w:rPr>
                <w:rFonts w:ascii="黑体" w:hAnsi="黑体" w:eastAsia="黑体"/>
                <w:b/>
                <w:color w:val="000000"/>
                <w:sz w:val="32"/>
              </w:rPr>
              <w:t>资质/角色</w:t>
            </w:r>
          </w:p>
        </w:tc>
      </w:tr>
      <w:tr>
        <w:tc>
          <w:tcPr>
            <w:tcW w:type="dxa" w:w="1984"/>
          </w:tcPr>
          <w:p>
            <w:pPr>
              <w:spacing w:lineRule="exact" w:line="600"/>
              <w:jc w:val="center"/>
            </w:pPr>
            <w:r/>
            <w:r>
              <w:rPr>
                <w:rFonts w:ascii="仿宋_GB2312" w:hAnsi="仿宋_GB2312" w:eastAsia="仿宋_GB2312"/>
                <w:b w:val="0"/>
                <w:color w:val="000000"/>
                <w:sz w:val="32"/>
              </w:rPr>
              <w:t>肥城精制盐厂</w:t>
            </w:r>
          </w:p>
        </w:tc>
        <w:tc>
          <w:tcPr>
            <w:tcW w:type="dxa" w:w="3969"/>
          </w:tcPr>
          <w:p>
            <w:pPr>
              <w:spacing w:lineRule="exact" w:line="600"/>
              <w:jc w:val="center"/>
            </w:pPr>
            <w:r/>
            <w:r>
              <w:rPr>
                <w:rFonts w:ascii="仿宋_GB2312" w:hAnsi="仿宋_GB2312" w:eastAsia="仿宋_GB2312"/>
                <w:b w:val="0"/>
                <w:color w:val="000000"/>
                <w:sz w:val="32"/>
              </w:rPr>
              <w:t>240万吨/年（华北最大定点）</w:t>
            </w:r>
          </w:p>
        </w:tc>
        <w:tc>
          <w:tcPr>
            <w:tcW w:type="dxa" w:w="3118"/>
          </w:tcPr>
          <w:p>
            <w:pPr>
              <w:spacing w:lineRule="exact" w:line="600"/>
              <w:jc w:val="center"/>
            </w:pPr>
            <w:r/>
            <w:r>
              <w:rPr>
                <w:rFonts w:ascii="仿宋_GB2312" w:hAnsi="仿宋_GB2312" w:eastAsia="仿宋_GB2312"/>
                <w:b w:val="0"/>
                <w:color w:val="000000"/>
                <w:sz w:val="32"/>
              </w:rPr>
              <w:t>国有/药用氯化钠全国最大</w:t>
            </w:r>
          </w:p>
        </w:tc>
      </w:tr>
      <w:tr>
        <w:tc>
          <w:tcPr>
            <w:tcW w:type="dxa" w:w="1984"/>
          </w:tcPr>
          <w:p>
            <w:pPr>
              <w:spacing w:lineRule="exact" w:line="600"/>
              <w:jc w:val="center"/>
            </w:pPr>
            <w:r/>
            <w:r>
              <w:rPr>
                <w:rFonts w:ascii="仿宋_GB2312" w:hAnsi="仿宋_GB2312" w:eastAsia="仿宋_GB2312"/>
                <w:b w:val="0"/>
                <w:color w:val="000000"/>
                <w:sz w:val="32"/>
              </w:rPr>
              <w:t>海晶盐化</w:t>
            </w:r>
          </w:p>
        </w:tc>
        <w:tc>
          <w:tcPr>
            <w:tcW w:type="dxa" w:w="3969"/>
          </w:tcPr>
          <w:p>
            <w:pPr>
              <w:spacing w:lineRule="exact" w:line="600"/>
              <w:jc w:val="center"/>
            </w:pPr>
            <w:r/>
            <w:r>
              <w:rPr>
                <w:rFonts w:ascii="仿宋_GB2312" w:hAnsi="仿宋_GB2312" w:eastAsia="仿宋_GB2312"/>
                <w:b w:val="0"/>
                <w:color w:val="000000"/>
                <w:sz w:val="32"/>
              </w:rPr>
              <w:t>240万吨/年（二期2025试车）</w:t>
            </w:r>
          </w:p>
        </w:tc>
        <w:tc>
          <w:tcPr>
            <w:tcW w:type="dxa" w:w="3118"/>
          </w:tcPr>
          <w:p>
            <w:pPr>
              <w:spacing w:lineRule="exact" w:line="600"/>
              <w:jc w:val="center"/>
            </w:pPr>
            <w:r/>
            <w:r>
              <w:rPr>
                <w:rFonts w:ascii="仿宋_GB2312" w:hAnsi="仿宋_GB2312" w:eastAsia="仿宋_GB2312"/>
                <w:b w:val="0"/>
                <w:color w:val="000000"/>
                <w:sz w:val="32"/>
              </w:rPr>
              <w:t>省级专精特新+绿色工厂</w:t>
            </w:r>
          </w:p>
        </w:tc>
      </w:tr>
      <w:tr>
        <w:tc>
          <w:tcPr>
            <w:tcW w:type="dxa" w:w="1984"/>
          </w:tcPr>
          <w:p>
            <w:pPr>
              <w:spacing w:lineRule="exact" w:line="600"/>
              <w:jc w:val="center"/>
            </w:pPr>
            <w:r/>
            <w:r>
              <w:rPr>
                <w:rFonts w:ascii="仿宋_GB2312" w:hAnsi="仿宋_GB2312" w:eastAsia="仿宋_GB2312"/>
                <w:b w:val="0"/>
                <w:color w:val="000000"/>
                <w:sz w:val="32"/>
              </w:rPr>
              <w:t>光明岩盐</w:t>
            </w:r>
          </w:p>
        </w:tc>
        <w:tc>
          <w:tcPr>
            <w:tcW w:type="dxa" w:w="3969"/>
          </w:tcPr>
          <w:p>
            <w:pPr>
              <w:spacing w:lineRule="exact" w:line="600"/>
              <w:jc w:val="center"/>
            </w:pPr>
            <w:r/>
            <w:r>
              <w:rPr>
                <w:rFonts w:ascii="仿宋_GB2312" w:hAnsi="仿宋_GB2312" w:eastAsia="仿宋_GB2312"/>
                <w:b w:val="0"/>
                <w:color w:val="000000"/>
                <w:sz w:val="32"/>
              </w:rPr>
              <w:t>骨干制盐企业</w:t>
            </w:r>
          </w:p>
        </w:tc>
        <w:tc>
          <w:tcPr>
            <w:tcW w:type="dxa" w:w="3118"/>
          </w:tcPr>
          <w:p>
            <w:pPr>
              <w:spacing w:lineRule="exact" w:line="600"/>
              <w:jc w:val="center"/>
            </w:pPr>
            <w:r/>
            <w:r>
              <w:rPr>
                <w:rFonts w:ascii="仿宋_GB2312" w:hAnsi="仿宋_GB2312" w:eastAsia="仿宋_GB2312"/>
                <w:b w:val="0"/>
                <w:color w:val="000000"/>
                <w:sz w:val="32"/>
              </w:rPr>
              <w:t>市内配套</w:t>
            </w:r>
          </w:p>
        </w:tc>
      </w:tr>
      <w:tr>
        <w:tc>
          <w:tcPr>
            <w:tcW w:type="dxa" w:w="1984"/>
          </w:tcPr>
          <w:p>
            <w:pPr>
              <w:spacing w:lineRule="exact" w:line="600"/>
              <w:jc w:val="center"/>
            </w:pPr>
            <w:r/>
            <w:r>
              <w:rPr>
                <w:rFonts w:ascii="仿宋_GB2312" w:hAnsi="仿宋_GB2312" w:eastAsia="仿宋_GB2312"/>
                <w:b w:val="0"/>
                <w:color w:val="000000"/>
                <w:sz w:val="32"/>
              </w:rPr>
              <w:t>胜利盐业</w:t>
            </w:r>
          </w:p>
        </w:tc>
        <w:tc>
          <w:tcPr>
            <w:tcW w:type="dxa" w:w="3969"/>
          </w:tcPr>
          <w:p>
            <w:pPr>
              <w:spacing w:lineRule="exact" w:line="600"/>
              <w:jc w:val="center"/>
            </w:pPr>
            <w:r/>
            <w:r>
              <w:rPr>
                <w:rFonts w:ascii="仿宋_GB2312" w:hAnsi="仿宋_GB2312" w:eastAsia="仿宋_GB2312"/>
                <w:b w:val="0"/>
                <w:color w:val="000000"/>
                <w:sz w:val="32"/>
              </w:rPr>
              <w:t>骨干制盐企业</w:t>
            </w:r>
          </w:p>
        </w:tc>
        <w:tc>
          <w:tcPr>
            <w:tcW w:type="dxa" w:w="3118"/>
          </w:tcPr>
          <w:p>
            <w:pPr>
              <w:spacing w:lineRule="exact" w:line="600"/>
              <w:jc w:val="center"/>
            </w:pPr>
            <w:r/>
            <w:r>
              <w:rPr>
                <w:rFonts w:ascii="仿宋_GB2312" w:hAnsi="仿宋_GB2312" w:eastAsia="仿宋_GB2312"/>
                <w:b w:val="0"/>
                <w:color w:val="000000"/>
                <w:sz w:val="32"/>
              </w:rPr>
              <w:t>市内配套</w:t>
            </w:r>
          </w:p>
        </w:tc>
      </w:tr>
      <w:tr>
        <w:tc>
          <w:tcPr>
            <w:tcW w:type="dxa" w:w="1984"/>
          </w:tcPr>
          <w:p>
            <w:pPr>
              <w:spacing w:lineRule="exact" w:line="600"/>
              <w:jc w:val="center"/>
            </w:pPr>
            <w:r/>
            <w:r>
              <w:rPr>
                <w:rFonts w:ascii="仿宋_GB2312" w:hAnsi="仿宋_GB2312" w:eastAsia="仿宋_GB2312"/>
                <w:b w:val="0"/>
                <w:color w:val="000000"/>
                <w:sz w:val="32"/>
              </w:rPr>
              <w:t>鲁银储能</w:t>
            </w:r>
          </w:p>
        </w:tc>
        <w:tc>
          <w:tcPr>
            <w:tcW w:type="dxa" w:w="3969"/>
          </w:tcPr>
          <w:p>
            <w:pPr>
              <w:spacing w:lineRule="exact" w:line="600"/>
              <w:jc w:val="center"/>
            </w:pPr>
            <w:r/>
            <w:r>
              <w:rPr>
                <w:rFonts w:ascii="仿宋_GB2312" w:hAnsi="仿宋_GB2312" w:eastAsia="仿宋_GB2312"/>
                <w:b w:val="0"/>
                <w:color w:val="000000"/>
                <w:sz w:val="32"/>
              </w:rPr>
              <w:t>建穴配套制盐</w:t>
            </w:r>
          </w:p>
        </w:tc>
        <w:tc>
          <w:tcPr>
            <w:tcW w:type="dxa" w:w="3118"/>
          </w:tcPr>
          <w:p>
            <w:pPr>
              <w:spacing w:lineRule="exact" w:line="600"/>
              <w:jc w:val="center"/>
            </w:pPr>
            <w:r/>
            <w:r>
              <w:rPr>
                <w:rFonts w:ascii="仿宋_GB2312" w:hAnsi="仿宋_GB2312" w:eastAsia="仿宋_GB2312"/>
                <w:b w:val="0"/>
                <w:color w:val="000000"/>
                <w:sz w:val="32"/>
              </w:rPr>
              <w:t>盐穴储能运营</w:t>
            </w:r>
          </w:p>
        </w:tc>
      </w:tr>
    </w:tbl>
    <w:p>
      <w:pPr>
        <w:spacing w:lineRule="exact" w:line="600" w:before="120" w:after="120"/>
        <w:ind w:firstLine="420"/>
        <w:jc w:val="left"/>
      </w:pPr>
      <w:r>
        <w:rPr>
          <w:rFonts w:ascii="楷体_GB2312" w:hAnsi="楷体_GB2312" w:eastAsia="楷体_GB2312"/>
          <w:b w:val="0"/>
          <w:color w:val="000000"/>
          <w:sz w:val="32"/>
        </w:rPr>
        <w:t>园区载体与企业（本批真实数据补充·来源见正文）</w:t>
      </w:r>
    </w:p>
    <w:p>
      <w:pPr>
        <w:spacing w:lineRule="exact" w:line="600" w:before="0" w:after="0"/>
        <w:ind w:firstLine="420"/>
        <w:jc w:val="both"/>
      </w:pPr>
      <w:r>
        <w:rPr>
          <w:rFonts w:ascii="仿宋_GB2312" w:hAnsi="仿宋_GB2312" w:eastAsia="仿宋_GB2312"/>
          <w:b w:val="0"/>
          <w:color w:val="000000"/>
          <w:sz w:val="32"/>
        </w:rPr>
        <w:t>肥城经济开发区规划面积6.27平方公里（含3.54平方公里现代盐化工产业园、2.73平方公里循环经济产业园），代管边院镇。辖区集聚山东肥城海晶盐化、山东肥城精制盐厂等盐企，以及中储国能等储能企业。医养健康方面，肥城顺利通过省医养结合高质量发展创新引领县验收，九如城康养中心启用。（来源：泰安市商务局2026、肥城市2025政府工作报告）</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载体/主体</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3118"/>
          </w:tcPr>
          <w:p>
            <w:pPr>
              <w:spacing w:lineRule="exact" w:line="600"/>
              <w:jc w:val="center"/>
            </w:pPr>
            <w:r/>
            <w:r>
              <w:rPr>
                <w:rFonts w:ascii="仿宋_GB2312" w:hAnsi="仿宋_GB2312" w:eastAsia="仿宋_GB2312"/>
                <w:b w:val="0"/>
                <w:color w:val="000000"/>
                <w:sz w:val="32"/>
              </w:rPr>
              <w:t>经开区规划面积</w:t>
            </w:r>
          </w:p>
        </w:tc>
        <w:tc>
          <w:tcPr>
            <w:tcW w:type="dxa" w:w="2835"/>
          </w:tcPr>
          <w:p>
            <w:pPr>
              <w:spacing w:lineRule="exact" w:line="600"/>
              <w:jc w:val="center"/>
            </w:pPr>
            <w:r/>
            <w:r>
              <w:rPr>
                <w:rFonts w:ascii="仿宋_GB2312" w:hAnsi="仿宋_GB2312" w:eastAsia="仿宋_GB2312"/>
                <w:b w:val="0"/>
                <w:color w:val="000000"/>
                <w:sz w:val="32"/>
              </w:rPr>
              <w:t>6.27平方公里</w:t>
            </w:r>
          </w:p>
        </w:tc>
        <w:tc>
          <w:tcPr>
            <w:tcW w:type="dxa" w:w="2551"/>
          </w:tcPr>
          <w:p>
            <w:pPr>
              <w:spacing w:lineRule="exact" w:line="600"/>
              <w:jc w:val="center"/>
            </w:pPr>
            <w:r/>
            <w:r>
              <w:rPr>
                <w:rFonts w:ascii="仿宋_GB2312" w:hAnsi="仿宋_GB2312" w:eastAsia="仿宋_GB2312"/>
                <w:b w:val="0"/>
                <w:color w:val="000000"/>
                <w:sz w:val="32"/>
              </w:rPr>
              <w:t>省级开发区</w:t>
            </w:r>
          </w:p>
        </w:tc>
      </w:tr>
      <w:tr>
        <w:tc>
          <w:tcPr>
            <w:tcW w:type="dxa" w:w="3118"/>
          </w:tcPr>
          <w:p>
            <w:pPr>
              <w:spacing w:lineRule="exact" w:line="600"/>
              <w:jc w:val="center"/>
            </w:pPr>
            <w:r/>
            <w:r>
              <w:rPr>
                <w:rFonts w:ascii="仿宋_GB2312" w:hAnsi="仿宋_GB2312" w:eastAsia="仿宋_GB2312"/>
                <w:b w:val="0"/>
                <w:color w:val="000000"/>
                <w:sz w:val="32"/>
              </w:rPr>
              <w:t>现代盐化工产业园</w:t>
            </w:r>
          </w:p>
        </w:tc>
        <w:tc>
          <w:tcPr>
            <w:tcW w:type="dxa" w:w="2835"/>
          </w:tcPr>
          <w:p>
            <w:pPr>
              <w:spacing w:lineRule="exact" w:line="600"/>
              <w:jc w:val="center"/>
            </w:pPr>
            <w:r/>
            <w:r>
              <w:rPr>
                <w:rFonts w:ascii="仿宋_GB2312" w:hAnsi="仿宋_GB2312" w:eastAsia="仿宋_GB2312"/>
                <w:b w:val="0"/>
                <w:color w:val="000000"/>
                <w:sz w:val="32"/>
              </w:rPr>
              <w:t>3.54平方公里</w:t>
            </w:r>
          </w:p>
        </w:tc>
        <w:tc>
          <w:tcPr>
            <w:tcW w:type="dxa" w:w="2551"/>
          </w:tcPr>
          <w:p>
            <w:pPr>
              <w:spacing w:lineRule="exact" w:line="600"/>
              <w:jc w:val="center"/>
            </w:pPr>
            <w:r/>
            <w:r>
              <w:rPr>
                <w:rFonts w:ascii="仿宋_GB2312" w:hAnsi="仿宋_GB2312" w:eastAsia="仿宋_GB2312"/>
                <w:b w:val="0"/>
                <w:color w:val="000000"/>
                <w:sz w:val="32"/>
              </w:rPr>
              <w:t>核心板块</w:t>
            </w:r>
          </w:p>
        </w:tc>
      </w:tr>
      <w:tr>
        <w:tc>
          <w:tcPr>
            <w:tcW w:type="dxa" w:w="3118"/>
          </w:tcPr>
          <w:p>
            <w:pPr>
              <w:spacing w:lineRule="exact" w:line="600"/>
              <w:jc w:val="center"/>
            </w:pPr>
            <w:r/>
            <w:r>
              <w:rPr>
                <w:rFonts w:ascii="仿宋_GB2312" w:hAnsi="仿宋_GB2312" w:eastAsia="仿宋_GB2312"/>
                <w:b w:val="0"/>
                <w:color w:val="000000"/>
                <w:sz w:val="32"/>
              </w:rPr>
              <w:t>医养结合示范县</w:t>
            </w:r>
          </w:p>
        </w:tc>
        <w:tc>
          <w:tcPr>
            <w:tcW w:type="dxa" w:w="2835"/>
          </w:tcPr>
          <w:p>
            <w:pPr>
              <w:spacing w:lineRule="exact" w:line="600"/>
              <w:jc w:val="center"/>
            </w:pPr>
            <w:r/>
            <w:r>
              <w:rPr>
                <w:rFonts w:ascii="仿宋_GB2312" w:hAnsi="仿宋_GB2312" w:eastAsia="仿宋_GB2312"/>
                <w:b w:val="0"/>
                <w:color w:val="000000"/>
                <w:sz w:val="32"/>
              </w:rPr>
              <w:t>通过省级验收</w:t>
            </w:r>
          </w:p>
        </w:tc>
        <w:tc>
          <w:tcPr>
            <w:tcW w:type="dxa" w:w="2551"/>
          </w:tcPr>
          <w:p>
            <w:pPr>
              <w:spacing w:lineRule="exact" w:line="600"/>
              <w:jc w:val="center"/>
            </w:pPr>
            <w:r/>
            <w:r>
              <w:rPr>
                <w:rFonts w:ascii="仿宋_GB2312" w:hAnsi="仿宋_GB2312" w:eastAsia="仿宋_GB2312"/>
                <w:b w:val="0"/>
                <w:color w:val="000000"/>
                <w:sz w:val="32"/>
              </w:rPr>
              <w:t>创新引领县</w:t>
            </w:r>
          </w:p>
        </w:tc>
      </w:tr>
      <w:tr>
        <w:tc>
          <w:tcPr>
            <w:tcW w:type="dxa" w:w="3118"/>
          </w:tcPr>
          <w:p>
            <w:pPr>
              <w:spacing w:lineRule="exact" w:line="600"/>
              <w:jc w:val="center"/>
            </w:pPr>
            <w:r/>
            <w:r>
              <w:rPr>
                <w:rFonts w:ascii="仿宋_GB2312" w:hAnsi="仿宋_GB2312" w:eastAsia="仿宋_GB2312"/>
                <w:b w:val="0"/>
                <w:color w:val="000000"/>
                <w:sz w:val="32"/>
              </w:rPr>
              <w:t>九如城康养中心</w:t>
            </w:r>
          </w:p>
        </w:tc>
        <w:tc>
          <w:tcPr>
            <w:tcW w:type="dxa" w:w="2835"/>
          </w:tcPr>
          <w:p>
            <w:pPr>
              <w:spacing w:lineRule="exact" w:line="600"/>
              <w:jc w:val="center"/>
            </w:pPr>
            <w:r/>
            <w:r>
              <w:rPr>
                <w:rFonts w:ascii="仿宋_GB2312" w:hAnsi="仿宋_GB2312" w:eastAsia="仿宋_GB2312"/>
                <w:b w:val="0"/>
                <w:color w:val="000000"/>
                <w:sz w:val="32"/>
              </w:rPr>
              <w:t>正式启用</w:t>
            </w:r>
          </w:p>
        </w:tc>
        <w:tc>
          <w:tcPr>
            <w:tcW w:type="dxa" w:w="2551"/>
          </w:tcPr>
          <w:p>
            <w:pPr>
              <w:spacing w:lineRule="exact" w:line="600"/>
              <w:jc w:val="center"/>
            </w:pPr>
            <w:r/>
            <w:r>
              <w:rPr>
                <w:rFonts w:ascii="仿宋_GB2312" w:hAnsi="仿宋_GB2312" w:eastAsia="仿宋_GB2312"/>
                <w:b w:val="0"/>
                <w:color w:val="000000"/>
                <w:sz w:val="32"/>
              </w:rPr>
              <w:t>社区养老</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（一）绿色制盐工艺</w:t>
      </w:r>
    </w:p>
    <w:p>
      <w:pPr>
        <w:spacing w:lineRule="exact" w:line="600" w:before="0" w:after="0"/>
        <w:ind w:firstLine="420"/>
        <w:jc w:val="both"/>
      </w:pPr>
      <w:r>
        <w:rPr>
          <w:rFonts w:ascii="仿宋_GB2312" w:hAnsi="仿宋_GB2312" w:eastAsia="仿宋_GB2312"/>
          <w:b w:val="0"/>
          <w:color w:val="000000"/>
          <w:sz w:val="32"/>
        </w:rPr>
        <w:t>海晶盐化采用MVR（机械蒸汽再压缩）热泵制盐工艺替代传统多效蒸发，大幅降低蒸汽与电力消耗，并耦合工业光伏自发绿电，实现年节电约1000万度、减少标煤约3.6万吨，显著降低碳足迹。该工艺使海晶成为行业内低碳制盐标杆，获省级绿色工厂认定。MVR+光伏的组合为井矿盐行业节能降碳提供可复制样板。</w:t>
      </w:r>
    </w:p>
    <w:p>
      <w:pPr>
        <w:spacing w:lineRule="exact" w:line="600" w:before="120" w:after="120"/>
        <w:ind w:firstLine="420"/>
        <w:jc w:val="left"/>
      </w:pPr>
      <w:r>
        <w:rPr>
          <w:rFonts w:ascii="楷体_GB2312" w:hAnsi="楷体_GB2312" w:eastAsia="楷体_GB2312"/>
          <w:b w:val="0"/>
          <w:color w:val="000000"/>
          <w:sz w:val="32"/>
        </w:rPr>
        <w:t>（二）盐穴储能技术</w:t>
      </w:r>
    </w:p>
    <w:p>
      <w:pPr>
        <w:spacing w:lineRule="exact" w:line="600" w:before="0" w:after="0"/>
        <w:ind w:firstLine="420"/>
        <w:jc w:val="both"/>
      </w:pPr>
      <w:r>
        <w:rPr>
          <w:rFonts w:ascii="仿宋_GB2312" w:hAnsi="仿宋_GB2312" w:eastAsia="仿宋_GB2312"/>
          <w:b w:val="0"/>
          <w:color w:val="000000"/>
          <w:sz w:val="32"/>
        </w:rPr>
        <w:t>肥城盐穴压缩空气储能采用非补燃式压缩空气储能技术，利用采盐腔体（埋深800—1500米）作为储气库，实现电能的「低储高发」。中电建等项目通过腔体稳定性评估、密封与监测技术保障安全运行，单库规模向百MW级迈进，系统效率与响应速度持续优化。盐穴资源的「建腔—监测—利用」全链条技术能力是肥城核心竞争力。</w:t>
      </w:r>
    </w:p>
    <w:p>
      <w:pPr>
        <w:spacing w:lineRule="exact" w:line="600" w:before="120" w:after="120"/>
        <w:ind w:firstLine="420"/>
        <w:jc w:val="left"/>
      </w:pPr>
      <w:r>
        <w:rPr>
          <w:rFonts w:ascii="楷体_GB2312" w:hAnsi="楷体_GB2312" w:eastAsia="楷体_GB2312"/>
          <w:b w:val="0"/>
          <w:color w:val="000000"/>
          <w:sz w:val="32"/>
        </w:rPr>
        <w:t>（三）数字化与安全</w:t>
      </w:r>
    </w:p>
    <w:p>
      <w:pPr>
        <w:spacing w:lineRule="exact" w:line="600" w:before="0" w:after="0"/>
        <w:ind w:firstLine="420"/>
        <w:jc w:val="both"/>
      </w:pPr>
      <w:r>
        <w:rPr>
          <w:rFonts w:ascii="仿宋_GB2312" w:hAnsi="仿宋_GB2312" w:eastAsia="仿宋_GB2312"/>
          <w:b w:val="0"/>
          <w:color w:val="000000"/>
          <w:sz w:val="32"/>
        </w:rPr>
        <w:t>制盐车间普遍引入DCS自动控制、卤水在线监测与能效管理系统，提升结晶控制精度与能耗管理水平。盐穴储能侧建立腔体形变、压力、温度实时监测网络，保障储能安全。肥城以「岩盐—制盐—储能」数据贯通为目标，推动矿山数字化与储能调度协同，为集群智能化打基础。</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创新指标</w:t>
            </w:r>
          </w:p>
        </w:tc>
        <w:tc>
          <w:tcPr>
            <w:tcW w:type="dxa" w:w="3685"/>
          </w:tcPr>
          <w:p>
            <w:pPr>
              <w:spacing w:lineRule="exact" w:line="600"/>
              <w:jc w:val="center"/>
            </w:pPr>
            <w:r/>
            <w:r>
              <w:rPr>
                <w:rFonts w:ascii="黑体" w:hAnsi="黑体" w:eastAsia="黑体"/>
                <w:b/>
                <w:color w:val="000000"/>
                <w:sz w:val="32"/>
              </w:rPr>
              <w:t>数值/水平</w:t>
            </w:r>
          </w:p>
        </w:tc>
        <w:tc>
          <w:tcPr>
            <w:tcW w:type="dxa" w:w="3118"/>
          </w:tcPr>
          <w:p>
            <w:pPr>
              <w:spacing w:lineRule="exact" w:line="600"/>
              <w:jc w:val="center"/>
            </w:pPr>
            <w:r/>
            <w:r>
              <w:rPr>
                <w:rFonts w:ascii="黑体" w:hAnsi="黑体" w:eastAsia="黑体"/>
                <w:b/>
                <w:color w:val="000000"/>
                <w:sz w:val="32"/>
              </w:rPr>
              <w:t>来源/年份</w:t>
            </w:r>
          </w:p>
        </w:tc>
      </w:tr>
      <w:tr>
        <w:tc>
          <w:tcPr>
            <w:tcW w:type="dxa" w:w="2268"/>
          </w:tcPr>
          <w:p>
            <w:pPr>
              <w:spacing w:lineRule="exact" w:line="600"/>
              <w:jc w:val="center"/>
            </w:pPr>
            <w:r/>
            <w:r>
              <w:rPr>
                <w:rFonts w:ascii="仿宋_GB2312" w:hAnsi="仿宋_GB2312" w:eastAsia="仿宋_GB2312"/>
                <w:b w:val="0"/>
                <w:color w:val="000000"/>
                <w:sz w:val="32"/>
              </w:rPr>
              <w:t>MVR+光伏节电</w:t>
            </w:r>
          </w:p>
        </w:tc>
        <w:tc>
          <w:tcPr>
            <w:tcW w:type="dxa" w:w="3685"/>
          </w:tcPr>
          <w:p>
            <w:pPr>
              <w:spacing w:lineRule="exact" w:line="600"/>
              <w:jc w:val="center"/>
            </w:pPr>
            <w:r/>
            <w:r>
              <w:rPr>
                <w:rFonts w:ascii="仿宋_GB2312" w:hAnsi="仿宋_GB2312" w:eastAsia="仿宋_GB2312"/>
                <w:b w:val="0"/>
                <w:color w:val="000000"/>
                <w:sz w:val="32"/>
              </w:rPr>
              <w:t>约1000万度/年</w:t>
            </w:r>
          </w:p>
        </w:tc>
        <w:tc>
          <w:tcPr>
            <w:tcW w:type="dxa" w:w="3118"/>
          </w:tcPr>
          <w:p>
            <w:pPr>
              <w:spacing w:lineRule="exact" w:line="600"/>
              <w:jc w:val="center"/>
            </w:pPr>
            <w:r/>
            <w:r>
              <w:rPr>
                <w:rFonts w:ascii="仿宋_GB2312" w:hAnsi="仿宋_GB2312" w:eastAsia="仿宋_GB2312"/>
                <w:b w:val="0"/>
                <w:color w:val="000000"/>
                <w:sz w:val="32"/>
              </w:rPr>
              <w:t>海晶盐化</w:t>
            </w:r>
          </w:p>
        </w:tc>
      </w:tr>
      <w:tr>
        <w:tc>
          <w:tcPr>
            <w:tcW w:type="dxa" w:w="2268"/>
          </w:tcPr>
          <w:p>
            <w:pPr>
              <w:spacing w:lineRule="exact" w:line="600"/>
              <w:jc w:val="center"/>
            </w:pPr>
            <w:r/>
            <w:r>
              <w:rPr>
                <w:rFonts w:ascii="仿宋_GB2312" w:hAnsi="仿宋_GB2312" w:eastAsia="仿宋_GB2312"/>
                <w:b w:val="0"/>
                <w:color w:val="000000"/>
                <w:sz w:val="32"/>
              </w:rPr>
              <w:t>减标煤</w:t>
            </w:r>
          </w:p>
        </w:tc>
        <w:tc>
          <w:tcPr>
            <w:tcW w:type="dxa" w:w="3685"/>
          </w:tcPr>
          <w:p>
            <w:pPr>
              <w:spacing w:lineRule="exact" w:line="600"/>
              <w:jc w:val="center"/>
            </w:pPr>
            <w:r/>
            <w:r>
              <w:rPr>
                <w:rFonts w:ascii="仿宋_GB2312" w:hAnsi="仿宋_GB2312" w:eastAsia="仿宋_GB2312"/>
                <w:b w:val="0"/>
                <w:color w:val="000000"/>
                <w:sz w:val="32"/>
              </w:rPr>
              <w:t>约3.6万吨/年</w:t>
            </w:r>
          </w:p>
        </w:tc>
        <w:tc>
          <w:tcPr>
            <w:tcW w:type="dxa" w:w="3118"/>
          </w:tcPr>
          <w:p>
            <w:pPr>
              <w:spacing w:lineRule="exact" w:line="600"/>
              <w:jc w:val="center"/>
            </w:pPr>
            <w:r/>
            <w:r>
              <w:rPr>
                <w:rFonts w:ascii="仿宋_GB2312" w:hAnsi="仿宋_GB2312" w:eastAsia="仿宋_GB2312"/>
                <w:b w:val="0"/>
                <w:color w:val="000000"/>
                <w:sz w:val="32"/>
              </w:rPr>
              <w:t>海晶盐化</w:t>
            </w:r>
          </w:p>
        </w:tc>
      </w:tr>
      <w:tr>
        <w:tc>
          <w:tcPr>
            <w:tcW w:type="dxa" w:w="2268"/>
          </w:tcPr>
          <w:p>
            <w:pPr>
              <w:spacing w:lineRule="exact" w:line="600"/>
              <w:jc w:val="center"/>
            </w:pPr>
            <w:r/>
            <w:r>
              <w:rPr>
                <w:rFonts w:ascii="仿宋_GB2312" w:hAnsi="仿宋_GB2312" w:eastAsia="仿宋_GB2312"/>
                <w:b w:val="0"/>
                <w:color w:val="000000"/>
                <w:sz w:val="32"/>
              </w:rPr>
              <w:t>盐穴储能装机</w:t>
            </w:r>
          </w:p>
        </w:tc>
        <w:tc>
          <w:tcPr>
            <w:tcW w:type="dxa" w:w="3685"/>
          </w:tcPr>
          <w:p>
            <w:pPr>
              <w:spacing w:lineRule="exact" w:line="600"/>
              <w:jc w:val="center"/>
            </w:pPr>
            <w:r/>
            <w:r>
              <w:rPr>
                <w:rFonts w:ascii="仿宋_GB2312" w:hAnsi="仿宋_GB2312" w:eastAsia="仿宋_GB2312"/>
                <w:b w:val="0"/>
                <w:color w:val="000000"/>
                <w:sz w:val="32"/>
              </w:rPr>
              <w:t>3480MW</w:t>
            </w:r>
          </w:p>
        </w:tc>
        <w:tc>
          <w:tcPr>
            <w:tcW w:type="dxa" w:w="3118"/>
          </w:tcPr>
          <w:p>
            <w:pPr>
              <w:spacing w:lineRule="exact" w:line="600"/>
              <w:jc w:val="center"/>
            </w:pPr>
            <w:r/>
            <w:r>
              <w:rPr>
                <w:rFonts w:ascii="仿宋_GB2312" w:hAnsi="仿宋_GB2312" w:eastAsia="仿宋_GB2312"/>
                <w:b w:val="0"/>
                <w:color w:val="000000"/>
                <w:sz w:val="32"/>
              </w:rPr>
              <w:t>肥城储能报道</w:t>
            </w:r>
          </w:p>
        </w:tc>
      </w:tr>
      <w:tr>
        <w:tc>
          <w:tcPr>
            <w:tcW w:type="dxa" w:w="2268"/>
          </w:tcPr>
          <w:p>
            <w:pPr>
              <w:spacing w:lineRule="exact" w:line="600"/>
              <w:jc w:val="center"/>
            </w:pPr>
            <w:r/>
            <w:r>
              <w:rPr>
                <w:rFonts w:ascii="仿宋_GB2312" w:hAnsi="仿宋_GB2312" w:eastAsia="仿宋_GB2312"/>
                <w:b w:val="0"/>
                <w:color w:val="000000"/>
                <w:sz w:val="32"/>
              </w:rPr>
              <w:t>腔体埋深</w:t>
            </w:r>
          </w:p>
        </w:tc>
        <w:tc>
          <w:tcPr>
            <w:tcW w:type="dxa" w:w="3685"/>
          </w:tcPr>
          <w:p>
            <w:pPr>
              <w:spacing w:lineRule="exact" w:line="600"/>
              <w:jc w:val="center"/>
            </w:pPr>
            <w:r/>
            <w:r>
              <w:rPr>
                <w:rFonts w:ascii="仿宋_GB2312" w:hAnsi="仿宋_GB2312" w:eastAsia="仿宋_GB2312"/>
                <w:b w:val="0"/>
                <w:color w:val="000000"/>
                <w:sz w:val="32"/>
              </w:rPr>
              <w:t>800—1500米</w:t>
            </w:r>
          </w:p>
        </w:tc>
        <w:tc>
          <w:tcPr>
            <w:tcW w:type="dxa" w:w="3118"/>
          </w:tcPr>
          <w:p>
            <w:pPr>
              <w:spacing w:lineRule="exact" w:line="600"/>
              <w:jc w:val="center"/>
            </w:pPr>
            <w:r/>
            <w:r>
              <w:rPr>
                <w:rFonts w:ascii="仿宋_GB2312" w:hAnsi="仿宋_GB2312" w:eastAsia="仿宋_GB2312"/>
                <w:b w:val="0"/>
                <w:color w:val="000000"/>
                <w:sz w:val="32"/>
              </w:rPr>
              <w:t>地质资料</w:t>
            </w:r>
          </w:p>
        </w:tc>
      </w:tr>
      <w:tr>
        <w:tc>
          <w:tcPr>
            <w:tcW w:type="dxa" w:w="2268"/>
          </w:tcPr>
          <w:p>
            <w:pPr>
              <w:spacing w:lineRule="exact" w:line="600"/>
              <w:jc w:val="center"/>
            </w:pPr>
            <w:r/>
            <w:r>
              <w:rPr>
                <w:rFonts w:ascii="仿宋_GB2312" w:hAnsi="仿宋_GB2312" w:eastAsia="仿宋_GB2312"/>
                <w:b w:val="0"/>
                <w:color w:val="000000"/>
                <w:sz w:val="32"/>
              </w:rPr>
              <w:t>海晶资质</w:t>
            </w:r>
          </w:p>
        </w:tc>
        <w:tc>
          <w:tcPr>
            <w:tcW w:type="dxa" w:w="3685"/>
          </w:tcPr>
          <w:p>
            <w:pPr>
              <w:spacing w:lineRule="exact" w:line="600"/>
              <w:jc w:val="center"/>
            </w:pPr>
            <w:r/>
            <w:r>
              <w:rPr>
                <w:rFonts w:ascii="仿宋_GB2312" w:hAnsi="仿宋_GB2312" w:eastAsia="仿宋_GB2312"/>
                <w:b w:val="0"/>
                <w:color w:val="000000"/>
                <w:sz w:val="32"/>
              </w:rPr>
              <w:t>专精特新+绿色工厂</w:t>
            </w:r>
          </w:p>
        </w:tc>
        <w:tc>
          <w:tcPr>
            <w:tcW w:type="dxa" w:w="3118"/>
          </w:tcPr>
          <w:p>
            <w:pPr>
              <w:spacing w:lineRule="exact" w:line="600"/>
              <w:jc w:val="center"/>
            </w:pPr>
            <w:r/>
            <w:r>
              <w:rPr>
                <w:rFonts w:ascii="仿宋_GB2312" w:hAnsi="仿宋_GB2312" w:eastAsia="仿宋_GB2312"/>
                <w:b w:val="0"/>
                <w:color w:val="000000"/>
                <w:sz w:val="32"/>
              </w:rPr>
              <w:t>省级认定</w:t>
            </w:r>
          </w:p>
        </w:tc>
      </w:tr>
    </w:tbl>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（一）原料与制盐成本</w:t>
      </w:r>
    </w:p>
    <w:p>
      <w:pPr>
        <w:spacing w:lineRule="exact" w:line="600" w:before="0" w:after="0"/>
        <w:ind w:firstLine="420"/>
        <w:jc w:val="both"/>
      </w:pPr>
      <w:r>
        <w:rPr>
          <w:rFonts w:ascii="仿宋_GB2312" w:hAnsi="仿宋_GB2312" w:eastAsia="仿宋_GB2312"/>
          <w:b w:val="0"/>
          <w:color w:val="000000"/>
          <w:sz w:val="32"/>
        </w:rPr>
        <w:t>岩盐开采成本以钻井、卤水输送、电耗为主，肥城矿层品位高、埋深适中，单位开采成本具比较优势。海晶盐化通过MVR热泵+光伏将能耗成本压降，年节电约1000万度直接改善毛利。制盐属微利大宗品，盈利依赖规模与能耗控制，龙头企业凭借产能与工艺优势维持稳定收益；食用盐因定点专营属性，价格波动小于工业盐。</w:t>
      </w:r>
    </w:p>
    <w:p>
      <w:pPr>
        <w:spacing w:lineRule="exact" w:line="600" w:before="120" w:after="120"/>
        <w:ind w:firstLine="420"/>
        <w:jc w:val="left"/>
      </w:pPr>
      <w:r>
        <w:rPr>
          <w:rFonts w:ascii="楷体_GB2312" w:hAnsi="楷体_GB2312" w:eastAsia="楷体_GB2312"/>
          <w:b w:val="0"/>
          <w:color w:val="000000"/>
          <w:sz w:val="32"/>
        </w:rPr>
        <w:t>（二）能源与环保要素</w:t>
      </w:r>
    </w:p>
    <w:p>
      <w:pPr>
        <w:spacing w:lineRule="exact" w:line="600" w:before="0" w:after="0"/>
        <w:ind w:firstLine="420"/>
        <w:jc w:val="both"/>
      </w:pPr>
      <w:r>
        <w:rPr>
          <w:rFonts w:ascii="仿宋_GB2312" w:hAnsi="仿宋_GB2312" w:eastAsia="仿宋_GB2312"/>
          <w:b w:val="0"/>
          <w:color w:val="000000"/>
          <w:sz w:val="32"/>
        </w:rPr>
        <w:t>制盐为高耗能行业，受能耗双控与环保约束。海晶盐化的MVR+光伏模式有效应对能耗约束；盐穴储能则属清洁能源设施，享受新能源政策红利。要素保障方面，肥城为制盐与储能项目统筹配置矿权、土地、能耗指标与电网接入，鲁银储能建穴配套制盐项目即体现「矿权—产能—储能」一体化要素供给。</w:t>
      </w:r>
    </w:p>
    <w:p>
      <w:pPr>
        <w:spacing w:lineRule="exact" w:line="600" w:before="120" w:after="120"/>
        <w:ind w:firstLine="420"/>
        <w:jc w:val="left"/>
      </w:pPr>
      <w:r>
        <w:rPr>
          <w:rFonts w:ascii="楷体_GB2312" w:hAnsi="楷体_GB2312" w:eastAsia="楷体_GB2312"/>
          <w:b w:val="0"/>
          <w:color w:val="000000"/>
          <w:sz w:val="32"/>
        </w:rPr>
        <w:t>（三）资金保障</w:t>
      </w:r>
    </w:p>
    <w:p>
      <w:pPr>
        <w:spacing w:lineRule="exact" w:line="600" w:before="0" w:after="0"/>
        <w:ind w:firstLine="420"/>
        <w:jc w:val="both"/>
      </w:pPr>
      <w:r>
        <w:rPr>
          <w:rFonts w:ascii="仿宋_GB2312" w:hAnsi="仿宋_GB2312" w:eastAsia="仿宋_GB2312"/>
          <w:b w:val="0"/>
          <w:color w:val="000000"/>
          <w:sz w:val="32"/>
        </w:rPr>
        <w:t>盐穴储能项目单体投资规模大（百MW级通常数十亿元），依赖能源央企资本与政策性金融；制盐扩能与绿色改造（如海晶二期、光伏配套）需固定资产贷款与绿色信贷。肥城通过未来产业集群政策、专项债与产业基金组合，支撑「岩盐—储能」重大项目建设，缓解重资产资金压力。</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要素指标</w:t>
            </w:r>
          </w:p>
        </w:tc>
        <w:tc>
          <w:tcPr>
            <w:tcW w:type="dxa" w:w="3685"/>
          </w:tcPr>
          <w:p>
            <w:pPr>
              <w:spacing w:lineRule="exact" w:line="600"/>
              <w:jc w:val="center"/>
            </w:pPr>
            <w:r/>
            <w:r>
              <w:rPr>
                <w:rFonts w:ascii="黑体" w:hAnsi="黑体" w:eastAsia="黑体"/>
                <w:b/>
                <w:color w:val="000000"/>
                <w:sz w:val="32"/>
              </w:rPr>
              <w:t>数值/特征</w:t>
            </w:r>
          </w:p>
        </w:tc>
        <w:tc>
          <w:tcPr>
            <w:tcW w:type="dxa" w:w="3118"/>
          </w:tcPr>
          <w:p>
            <w:pPr>
              <w:spacing w:lineRule="exact" w:line="600"/>
              <w:jc w:val="center"/>
            </w:pPr>
            <w:r/>
            <w:r>
              <w:rPr>
                <w:rFonts w:ascii="黑体" w:hAnsi="黑体" w:eastAsia="黑体"/>
                <w:b/>
                <w:color w:val="000000"/>
                <w:sz w:val="32"/>
              </w:rPr>
              <w:t>来源/年份</w:t>
            </w:r>
          </w:p>
        </w:tc>
      </w:tr>
      <w:tr>
        <w:tc>
          <w:tcPr>
            <w:tcW w:type="dxa" w:w="2268"/>
          </w:tcPr>
          <w:p>
            <w:pPr>
              <w:spacing w:lineRule="exact" w:line="600"/>
              <w:jc w:val="center"/>
            </w:pPr>
            <w:r/>
            <w:r>
              <w:rPr>
                <w:rFonts w:ascii="仿宋_GB2312" w:hAnsi="仿宋_GB2312" w:eastAsia="仿宋_GB2312"/>
                <w:b w:val="0"/>
                <w:color w:val="000000"/>
                <w:sz w:val="32"/>
              </w:rPr>
              <w:t>海晶节电</w:t>
            </w:r>
          </w:p>
        </w:tc>
        <w:tc>
          <w:tcPr>
            <w:tcW w:type="dxa" w:w="3685"/>
          </w:tcPr>
          <w:p>
            <w:pPr>
              <w:spacing w:lineRule="exact" w:line="600"/>
              <w:jc w:val="center"/>
            </w:pPr>
            <w:r/>
            <w:r>
              <w:rPr>
                <w:rFonts w:ascii="仿宋_GB2312" w:hAnsi="仿宋_GB2312" w:eastAsia="仿宋_GB2312"/>
                <w:b w:val="0"/>
                <w:color w:val="000000"/>
                <w:sz w:val="32"/>
              </w:rPr>
              <w:t>1000万度/年</w:t>
            </w:r>
          </w:p>
        </w:tc>
        <w:tc>
          <w:tcPr>
            <w:tcW w:type="dxa" w:w="3118"/>
          </w:tcPr>
          <w:p>
            <w:pPr>
              <w:spacing w:lineRule="exact" w:line="600"/>
              <w:jc w:val="center"/>
            </w:pPr>
            <w:r/>
            <w:r>
              <w:rPr>
                <w:rFonts w:ascii="仿宋_GB2312" w:hAnsi="仿宋_GB2312" w:eastAsia="仿宋_GB2312"/>
                <w:b w:val="0"/>
                <w:color w:val="000000"/>
                <w:sz w:val="32"/>
              </w:rPr>
              <w:t>海晶盐化</w:t>
            </w:r>
          </w:p>
        </w:tc>
      </w:tr>
      <w:tr>
        <w:tc>
          <w:tcPr>
            <w:tcW w:type="dxa" w:w="2268"/>
          </w:tcPr>
          <w:p>
            <w:pPr>
              <w:spacing w:lineRule="exact" w:line="600"/>
              <w:jc w:val="center"/>
            </w:pPr>
            <w:r/>
            <w:r>
              <w:rPr>
                <w:rFonts w:ascii="仿宋_GB2312" w:hAnsi="仿宋_GB2312" w:eastAsia="仿宋_GB2312"/>
                <w:b w:val="0"/>
                <w:color w:val="000000"/>
                <w:sz w:val="32"/>
              </w:rPr>
              <w:t>减标煤</w:t>
            </w:r>
          </w:p>
        </w:tc>
        <w:tc>
          <w:tcPr>
            <w:tcW w:type="dxa" w:w="3685"/>
          </w:tcPr>
          <w:p>
            <w:pPr>
              <w:spacing w:lineRule="exact" w:line="600"/>
              <w:jc w:val="center"/>
            </w:pPr>
            <w:r/>
            <w:r>
              <w:rPr>
                <w:rFonts w:ascii="仿宋_GB2312" w:hAnsi="仿宋_GB2312" w:eastAsia="仿宋_GB2312"/>
                <w:b w:val="0"/>
                <w:color w:val="000000"/>
                <w:sz w:val="32"/>
              </w:rPr>
              <w:t>3.6万吨/年</w:t>
            </w:r>
          </w:p>
        </w:tc>
        <w:tc>
          <w:tcPr>
            <w:tcW w:type="dxa" w:w="3118"/>
          </w:tcPr>
          <w:p>
            <w:pPr>
              <w:spacing w:lineRule="exact" w:line="600"/>
              <w:jc w:val="center"/>
            </w:pPr>
            <w:r/>
            <w:r>
              <w:rPr>
                <w:rFonts w:ascii="仿宋_GB2312" w:hAnsi="仿宋_GB2312" w:eastAsia="仿宋_GB2312"/>
                <w:b w:val="0"/>
                <w:color w:val="000000"/>
                <w:sz w:val="32"/>
              </w:rPr>
              <w:t>海晶盐化</w:t>
            </w:r>
          </w:p>
        </w:tc>
      </w:tr>
      <w:tr>
        <w:tc>
          <w:tcPr>
            <w:tcW w:type="dxa" w:w="2268"/>
          </w:tcPr>
          <w:p>
            <w:pPr>
              <w:spacing w:lineRule="exact" w:line="600"/>
              <w:jc w:val="center"/>
            </w:pPr>
            <w:r/>
            <w:r>
              <w:rPr>
                <w:rFonts w:ascii="仿宋_GB2312" w:hAnsi="仿宋_GB2312" w:eastAsia="仿宋_GB2312"/>
                <w:b w:val="0"/>
                <w:color w:val="000000"/>
                <w:sz w:val="32"/>
              </w:rPr>
              <w:t>海晶注册资本</w:t>
            </w:r>
          </w:p>
        </w:tc>
        <w:tc>
          <w:tcPr>
            <w:tcW w:type="dxa" w:w="3685"/>
          </w:tcPr>
          <w:p>
            <w:pPr>
              <w:spacing w:lineRule="exact" w:line="600"/>
              <w:jc w:val="center"/>
            </w:pPr>
            <w:r/>
            <w:r>
              <w:rPr>
                <w:rFonts w:ascii="仿宋_GB2312" w:hAnsi="仿宋_GB2312" w:eastAsia="仿宋_GB2312"/>
                <w:b w:val="0"/>
                <w:color w:val="000000"/>
                <w:sz w:val="32"/>
              </w:rPr>
              <w:t>4.5亿元</w:t>
            </w:r>
          </w:p>
        </w:tc>
        <w:tc>
          <w:tcPr>
            <w:tcW w:type="dxa" w:w="3118"/>
          </w:tcPr>
          <w:p>
            <w:pPr>
              <w:spacing w:lineRule="exact" w:line="600"/>
              <w:jc w:val="center"/>
            </w:pPr>
            <w:r/>
            <w:r>
              <w:rPr>
                <w:rFonts w:ascii="仿宋_GB2312" w:hAnsi="仿宋_GB2312" w:eastAsia="仿宋_GB2312"/>
                <w:b w:val="0"/>
                <w:color w:val="000000"/>
                <w:sz w:val="32"/>
              </w:rPr>
              <w:t>天眼查/报道</w:t>
            </w:r>
          </w:p>
        </w:tc>
      </w:tr>
      <w:tr>
        <w:tc>
          <w:tcPr>
            <w:tcW w:type="dxa" w:w="2268"/>
          </w:tcPr>
          <w:p>
            <w:pPr>
              <w:spacing w:lineRule="exact" w:line="600"/>
              <w:jc w:val="center"/>
            </w:pPr>
            <w:r/>
            <w:r>
              <w:rPr>
                <w:rFonts w:ascii="仿宋_GB2312" w:hAnsi="仿宋_GB2312" w:eastAsia="仿宋_GB2312"/>
                <w:b w:val="0"/>
                <w:color w:val="000000"/>
                <w:sz w:val="32"/>
              </w:rPr>
              <w:t>储能装机</w:t>
            </w:r>
          </w:p>
        </w:tc>
        <w:tc>
          <w:tcPr>
            <w:tcW w:type="dxa" w:w="3685"/>
          </w:tcPr>
          <w:p>
            <w:pPr>
              <w:spacing w:lineRule="exact" w:line="600"/>
              <w:jc w:val="center"/>
            </w:pPr>
            <w:r/>
            <w:r>
              <w:rPr>
                <w:rFonts w:ascii="仿宋_GB2312" w:hAnsi="仿宋_GB2312" w:eastAsia="仿宋_GB2312"/>
                <w:b w:val="0"/>
                <w:color w:val="000000"/>
                <w:sz w:val="32"/>
              </w:rPr>
              <w:t>3480MW</w:t>
            </w:r>
          </w:p>
        </w:tc>
        <w:tc>
          <w:tcPr>
            <w:tcW w:type="dxa" w:w="3118"/>
          </w:tcPr>
          <w:p>
            <w:pPr>
              <w:spacing w:lineRule="exact" w:line="600"/>
              <w:jc w:val="center"/>
            </w:pPr>
            <w:r/>
            <w:r>
              <w:rPr>
                <w:rFonts w:ascii="仿宋_GB2312" w:hAnsi="仿宋_GB2312" w:eastAsia="仿宋_GB2312"/>
                <w:b w:val="0"/>
                <w:color w:val="000000"/>
                <w:sz w:val="32"/>
              </w:rPr>
              <w:t>肥城储能报道</w:t>
            </w:r>
          </w:p>
        </w:tc>
      </w:tr>
      <w:tr>
        <w:tc>
          <w:tcPr>
            <w:tcW w:type="dxa" w:w="2268"/>
          </w:tcPr>
          <w:p>
            <w:pPr>
              <w:spacing w:lineRule="exact" w:line="600"/>
              <w:jc w:val="center"/>
            </w:pPr>
            <w:r/>
            <w:r>
              <w:rPr>
                <w:rFonts w:ascii="仿宋_GB2312" w:hAnsi="仿宋_GB2312" w:eastAsia="仿宋_GB2312"/>
                <w:b w:val="0"/>
                <w:color w:val="000000"/>
                <w:sz w:val="32"/>
              </w:rPr>
              <w:t>二期投料试车</w:t>
            </w:r>
          </w:p>
        </w:tc>
        <w:tc>
          <w:tcPr>
            <w:tcW w:type="dxa" w:w="3685"/>
          </w:tcPr>
          <w:p>
            <w:pPr>
              <w:spacing w:lineRule="exact" w:line="600"/>
              <w:jc w:val="center"/>
            </w:pPr>
            <w:r/>
            <w:r>
              <w:rPr>
                <w:rFonts w:ascii="仿宋_GB2312" w:hAnsi="仿宋_GB2312" w:eastAsia="仿宋_GB2312"/>
                <w:b w:val="0"/>
                <w:color w:val="000000"/>
                <w:sz w:val="32"/>
              </w:rPr>
              <w:t>2025年6月</w:t>
            </w:r>
          </w:p>
        </w:tc>
        <w:tc>
          <w:tcPr>
            <w:tcW w:type="dxa" w:w="3118"/>
          </w:tcPr>
          <w:p>
            <w:pPr>
              <w:spacing w:lineRule="exact" w:line="600"/>
              <w:jc w:val="center"/>
            </w:pPr>
            <w:r/>
            <w:r>
              <w:rPr>
                <w:rFonts w:ascii="仿宋_GB2312" w:hAnsi="仿宋_GB2312" w:eastAsia="仿宋_GB2312"/>
                <w:b w:val="0"/>
                <w:color w:val="000000"/>
                <w:sz w:val="32"/>
              </w:rPr>
              <w:t>海晶报道</w:t>
            </w:r>
          </w:p>
        </w:tc>
      </w:tr>
    </w:tbl>
    <w:p>
      <w:pPr>
        <w:spacing w:lineRule="exact" w:line="600" w:before="120" w:after="120"/>
        <w:ind w:firstLine="420"/>
        <w:jc w:val="left"/>
      </w:pPr>
      <w:r>
        <w:rPr>
          <w:rFonts w:ascii="楷体_GB2312" w:hAnsi="楷体_GB2312" w:eastAsia="楷体_GB2312"/>
          <w:b w:val="0"/>
          <w:color w:val="000000"/>
          <w:sz w:val="32"/>
        </w:rPr>
        <w:t>制盐成本与效益（本批真实数据补充·来源见正文）</w:t>
      </w:r>
    </w:p>
    <w:p>
      <w:pPr>
        <w:spacing w:lineRule="exact" w:line="600" w:before="0" w:after="0"/>
        <w:ind w:firstLine="420"/>
        <w:jc w:val="both"/>
      </w:pPr>
      <w:r>
        <w:rPr>
          <w:rFonts w:ascii="仿宋_GB2312" w:hAnsi="仿宋_GB2312" w:eastAsia="仿宋_GB2312"/>
          <w:b w:val="0"/>
          <w:color w:val="000000"/>
          <w:sz w:val="32"/>
        </w:rPr>
        <w:t>肥城精制盐厂整体搬迁至经开区后，吨盐成本直接下降12元；海晶盐化120万吨/年绿色生态精制盐项目总投资6.7亿元，建成后年均销售收入8亿元、利润总额近1.5亿元。盐穴资源为储能提供低成本腔体空间。（来源：今日头条2024肥城制盐项目、肥城经开区）</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要素指标</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效果</w:t>
            </w:r>
          </w:p>
        </w:tc>
      </w:tr>
      <w:tr>
        <w:tc>
          <w:tcPr>
            <w:tcW w:type="dxa" w:w="3118"/>
          </w:tcPr>
          <w:p>
            <w:pPr>
              <w:spacing w:lineRule="exact" w:line="600"/>
              <w:jc w:val="center"/>
            </w:pPr>
            <w:r/>
            <w:r>
              <w:rPr>
                <w:rFonts w:ascii="仿宋_GB2312" w:hAnsi="仿宋_GB2312" w:eastAsia="仿宋_GB2312"/>
                <w:b w:val="0"/>
                <w:color w:val="000000"/>
                <w:sz w:val="32"/>
              </w:rPr>
              <w:t>吨盐成本下降</w:t>
            </w:r>
          </w:p>
        </w:tc>
        <w:tc>
          <w:tcPr>
            <w:tcW w:type="dxa" w:w="2835"/>
          </w:tcPr>
          <w:p>
            <w:pPr>
              <w:spacing w:lineRule="exact" w:line="600"/>
              <w:jc w:val="center"/>
            </w:pPr>
            <w:r/>
            <w:r>
              <w:rPr>
                <w:rFonts w:ascii="仿宋_GB2312" w:hAnsi="仿宋_GB2312" w:eastAsia="仿宋_GB2312"/>
                <w:b w:val="0"/>
                <w:color w:val="000000"/>
                <w:sz w:val="32"/>
              </w:rPr>
              <w:t>12元</w:t>
            </w:r>
          </w:p>
        </w:tc>
        <w:tc>
          <w:tcPr>
            <w:tcW w:type="dxa" w:w="2551"/>
          </w:tcPr>
          <w:p>
            <w:pPr>
              <w:spacing w:lineRule="exact" w:line="600"/>
              <w:jc w:val="center"/>
            </w:pPr>
            <w:r/>
            <w:r>
              <w:rPr>
                <w:rFonts w:ascii="仿宋_GB2312" w:hAnsi="仿宋_GB2312" w:eastAsia="仿宋_GB2312"/>
                <w:b w:val="0"/>
                <w:color w:val="000000"/>
                <w:sz w:val="32"/>
              </w:rPr>
              <w:t>搬迁新厂区</w:t>
            </w:r>
          </w:p>
        </w:tc>
      </w:tr>
      <w:tr>
        <w:tc>
          <w:tcPr>
            <w:tcW w:type="dxa" w:w="3118"/>
          </w:tcPr>
          <w:p>
            <w:pPr>
              <w:spacing w:lineRule="exact" w:line="600"/>
              <w:jc w:val="center"/>
            </w:pPr>
            <w:r/>
            <w:r>
              <w:rPr>
                <w:rFonts w:ascii="仿宋_GB2312" w:hAnsi="仿宋_GB2312" w:eastAsia="仿宋_GB2312"/>
                <w:b w:val="0"/>
                <w:color w:val="000000"/>
                <w:sz w:val="32"/>
              </w:rPr>
              <w:t>海晶项目总投资</w:t>
            </w:r>
          </w:p>
        </w:tc>
        <w:tc>
          <w:tcPr>
            <w:tcW w:type="dxa" w:w="2835"/>
          </w:tcPr>
          <w:p>
            <w:pPr>
              <w:spacing w:lineRule="exact" w:line="600"/>
              <w:jc w:val="center"/>
            </w:pPr>
            <w:r/>
            <w:r>
              <w:rPr>
                <w:rFonts w:ascii="仿宋_GB2312" w:hAnsi="仿宋_GB2312" w:eastAsia="仿宋_GB2312"/>
                <w:b w:val="0"/>
                <w:color w:val="000000"/>
                <w:sz w:val="32"/>
              </w:rPr>
              <w:t>6.7亿元</w:t>
            </w:r>
          </w:p>
        </w:tc>
        <w:tc>
          <w:tcPr>
            <w:tcW w:type="dxa" w:w="2551"/>
          </w:tcPr>
          <w:p>
            <w:pPr>
              <w:spacing w:lineRule="exact" w:line="600"/>
              <w:jc w:val="center"/>
            </w:pPr>
            <w:r/>
            <w:r>
              <w:rPr>
                <w:rFonts w:ascii="仿宋_GB2312" w:hAnsi="仿宋_GB2312" w:eastAsia="仿宋_GB2312"/>
                <w:b w:val="0"/>
                <w:color w:val="000000"/>
                <w:sz w:val="32"/>
              </w:rPr>
              <w:t>120万吨/年</w:t>
            </w:r>
          </w:p>
        </w:tc>
      </w:tr>
      <w:tr>
        <w:tc>
          <w:tcPr>
            <w:tcW w:type="dxa" w:w="3118"/>
          </w:tcPr>
          <w:p>
            <w:pPr>
              <w:spacing w:lineRule="exact" w:line="600"/>
              <w:jc w:val="center"/>
            </w:pPr>
            <w:r/>
            <w:r>
              <w:rPr>
                <w:rFonts w:ascii="仿宋_GB2312" w:hAnsi="仿宋_GB2312" w:eastAsia="仿宋_GB2312"/>
                <w:b w:val="0"/>
                <w:color w:val="000000"/>
                <w:sz w:val="32"/>
              </w:rPr>
              <w:t>海晶年均销售收入</w:t>
            </w:r>
          </w:p>
        </w:tc>
        <w:tc>
          <w:tcPr>
            <w:tcW w:type="dxa" w:w="2835"/>
          </w:tcPr>
          <w:p>
            <w:pPr>
              <w:spacing w:lineRule="exact" w:line="600"/>
              <w:jc w:val="center"/>
            </w:pPr>
            <w:r/>
            <w:r>
              <w:rPr>
                <w:rFonts w:ascii="仿宋_GB2312" w:hAnsi="仿宋_GB2312" w:eastAsia="仿宋_GB2312"/>
                <w:b w:val="0"/>
                <w:color w:val="000000"/>
                <w:sz w:val="32"/>
              </w:rPr>
              <w:t>8亿元</w:t>
            </w:r>
          </w:p>
        </w:tc>
        <w:tc>
          <w:tcPr>
            <w:tcW w:type="dxa" w:w="2551"/>
          </w:tcPr>
          <w:p>
            <w:pPr>
              <w:spacing w:lineRule="exact" w:line="600"/>
              <w:jc w:val="center"/>
            </w:pPr>
            <w:r/>
            <w:r>
              <w:rPr>
                <w:rFonts w:ascii="仿宋_GB2312" w:hAnsi="仿宋_GB2312" w:eastAsia="仿宋_GB2312"/>
                <w:b w:val="0"/>
                <w:color w:val="000000"/>
                <w:sz w:val="32"/>
              </w:rPr>
              <w:t>利润近1.5亿元</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（一）机遇</w:t>
      </w:r>
    </w:p>
    <w:p>
      <w:pPr>
        <w:spacing w:lineRule="exact" w:line="600" w:before="0" w:after="0"/>
        <w:ind w:firstLine="420"/>
        <w:jc w:val="both"/>
      </w:pPr>
      <w:r>
        <w:rPr>
          <w:rFonts w:ascii="仿宋_GB2312" w:hAnsi="仿宋_GB2312" w:eastAsia="仿宋_GB2312"/>
          <w:b w:val="0"/>
          <w:color w:val="000000"/>
          <w:sz w:val="32"/>
        </w:rPr>
        <w:t>「双碳」目标下新能源消纳催生海量储能需求，盐穴压缩空气储能凭规模与成本优势迎来黄金期，肥城腔体年新增约300万m³、可开发空间大；食用盐刚需稳健，药用氯化钠高附加值稳固；MVR+光伏绿色工艺契合节能降碳，提升产品溢价与出口可能；鲁银储能等国企资源强化「盐电协同」模式。</w:t>
      </w:r>
    </w:p>
    <w:p>
      <w:pPr>
        <w:spacing w:lineRule="exact" w:line="600" w:before="120" w:after="120"/>
        <w:ind w:firstLine="420"/>
        <w:jc w:val="left"/>
      </w:pPr>
      <w:r>
        <w:rPr>
          <w:rFonts w:ascii="楷体_GB2312" w:hAnsi="楷体_GB2312" w:eastAsia="楷体_GB2312"/>
          <w:b w:val="0"/>
          <w:color w:val="000000"/>
          <w:sz w:val="32"/>
        </w:rPr>
        <w:t>（二）挑战</w:t>
      </w:r>
    </w:p>
    <w:p>
      <w:pPr>
        <w:spacing w:lineRule="exact" w:line="600" w:before="0" w:after="0"/>
        <w:ind w:firstLine="420"/>
        <w:jc w:val="both"/>
      </w:pPr>
      <w:r>
        <w:rPr>
          <w:rFonts w:ascii="仿宋_GB2312" w:hAnsi="仿宋_GB2312" w:eastAsia="仿宋_GB2312"/>
          <w:b w:val="0"/>
          <w:color w:val="000000"/>
          <w:sz w:val="32"/>
        </w:rPr>
        <w:t>盐化工下游（氯碱、纯碱）周期性明显，工业盐需求随化工景气波动；制盐环节同质化竞争、利润薄，对能耗与规模敏感；盐穴储能虽前景广，但技术门槛高、投资回收期长，依赖容量电价等机制落地；盐矿资源综合利用（伴生溴镁钾提取）仍处起步，高值化不足。</w:t>
      </w:r>
    </w:p>
    <w:p>
      <w:pPr>
        <w:spacing w:lineRule="exact" w:line="600" w:before="120" w:after="120"/>
        <w:ind w:firstLine="420"/>
        <w:jc w:val="left"/>
      </w:pPr>
      <w:r>
        <w:rPr>
          <w:rFonts w:ascii="楷体_GB2312" w:hAnsi="楷体_GB2312" w:eastAsia="楷体_GB2312"/>
          <w:b w:val="0"/>
          <w:color w:val="000000"/>
          <w:sz w:val="32"/>
        </w:rPr>
        <w:t>（三）风险</w:t>
      </w:r>
    </w:p>
    <w:p>
      <w:pPr>
        <w:spacing w:lineRule="exact" w:line="600" w:before="0" w:after="0"/>
        <w:ind w:firstLine="420"/>
        <w:jc w:val="both"/>
      </w:pPr>
      <w:r>
        <w:rPr>
          <w:rFonts w:ascii="仿宋_GB2312" w:hAnsi="仿宋_GB2312" w:eastAsia="仿宋_GB2312"/>
          <w:b w:val="0"/>
          <w:color w:val="000000"/>
          <w:sz w:val="32"/>
        </w:rPr>
        <w:t>新能源技术路线变化（如锂电成本骤降）可能挤压盐穴储能经济性；化工下行将传导至工业盐与盐化工盈利；盐穴腔体地质安全（塌陷、渗漏）属刚性约束，勘探与监测投入不可省；食用盐专营政策若调整，将影响定点企业格局。需防范资源过度开发与生态影响。</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风险类别</w:t>
            </w:r>
          </w:p>
        </w:tc>
        <w:tc>
          <w:tcPr>
            <w:tcW w:type="dxa" w:w="4535"/>
          </w:tcPr>
          <w:p>
            <w:pPr>
              <w:spacing w:lineRule="exact" w:line="600"/>
              <w:jc w:val="center"/>
            </w:pPr>
            <w:r/>
            <w:r>
              <w:rPr>
                <w:rFonts w:ascii="黑体" w:hAnsi="黑体" w:eastAsia="黑体"/>
                <w:b/>
                <w:color w:val="000000"/>
                <w:sz w:val="32"/>
              </w:rPr>
              <w:t>表现</w:t>
            </w:r>
          </w:p>
        </w:tc>
        <w:tc>
          <w:tcPr>
            <w:tcW w:type="dxa" w:w="2268"/>
          </w:tcPr>
          <w:p>
            <w:pPr>
              <w:spacing w:lineRule="exact" w:line="600"/>
              <w:jc w:val="center"/>
            </w:pPr>
            <w:r/>
            <w:r>
              <w:rPr>
                <w:rFonts w:ascii="黑体" w:hAnsi="黑体" w:eastAsia="黑体"/>
                <w:b/>
                <w:color w:val="000000"/>
                <w:sz w:val="32"/>
              </w:rPr>
              <w:t>影响</w:t>
            </w:r>
          </w:p>
        </w:tc>
      </w:tr>
      <w:tr>
        <w:tc>
          <w:tcPr>
            <w:tcW w:type="dxa" w:w="1701"/>
          </w:tcPr>
          <w:p>
            <w:pPr>
              <w:spacing w:lineRule="exact" w:line="600"/>
              <w:jc w:val="center"/>
            </w:pPr>
            <w:r/>
            <w:r>
              <w:rPr>
                <w:rFonts w:ascii="仿宋_GB2312" w:hAnsi="仿宋_GB2312" w:eastAsia="仿宋_GB2312"/>
                <w:b w:val="0"/>
                <w:color w:val="000000"/>
                <w:sz w:val="32"/>
              </w:rPr>
              <w:t>技术路线</w:t>
            </w:r>
          </w:p>
        </w:tc>
        <w:tc>
          <w:tcPr>
            <w:tcW w:type="dxa" w:w="4535"/>
          </w:tcPr>
          <w:p>
            <w:pPr>
              <w:spacing w:lineRule="exact" w:line="600"/>
              <w:jc w:val="center"/>
            </w:pPr>
            <w:r/>
            <w:r>
              <w:rPr>
                <w:rFonts w:ascii="仿宋_GB2312" w:hAnsi="仿宋_GB2312" w:eastAsia="仿宋_GB2312"/>
                <w:b w:val="0"/>
                <w:color w:val="000000"/>
                <w:sz w:val="32"/>
              </w:rPr>
              <w:t>锂电成本降挤压储能</w:t>
            </w:r>
          </w:p>
        </w:tc>
        <w:tc>
          <w:tcPr>
            <w:tcW w:type="dxa" w:w="2268"/>
          </w:tcPr>
          <w:p>
            <w:pPr>
              <w:spacing w:lineRule="exact" w:line="600"/>
              <w:jc w:val="center"/>
            </w:pPr>
            <w:r/>
            <w:r>
              <w:rPr>
                <w:rFonts w:ascii="仿宋_GB2312" w:hAnsi="仿宋_GB2312" w:eastAsia="仿宋_GB2312"/>
                <w:b w:val="0"/>
                <w:color w:val="000000"/>
                <w:sz w:val="32"/>
              </w:rPr>
              <w:t>中</w:t>
            </w:r>
          </w:p>
        </w:tc>
      </w:tr>
      <w:tr>
        <w:tc>
          <w:tcPr>
            <w:tcW w:type="dxa" w:w="1701"/>
          </w:tcPr>
          <w:p>
            <w:pPr>
              <w:spacing w:lineRule="exact" w:line="600"/>
              <w:jc w:val="center"/>
            </w:pPr>
            <w:r/>
            <w:r>
              <w:rPr>
                <w:rFonts w:ascii="仿宋_GB2312" w:hAnsi="仿宋_GB2312" w:eastAsia="仿宋_GB2312"/>
                <w:b w:val="0"/>
                <w:color w:val="000000"/>
                <w:sz w:val="32"/>
              </w:rPr>
              <w:t>化工周期</w:t>
            </w:r>
          </w:p>
        </w:tc>
        <w:tc>
          <w:tcPr>
            <w:tcW w:type="dxa" w:w="4535"/>
          </w:tcPr>
          <w:p>
            <w:pPr>
              <w:spacing w:lineRule="exact" w:line="600"/>
              <w:jc w:val="center"/>
            </w:pPr>
            <w:r/>
            <w:r>
              <w:rPr>
                <w:rFonts w:ascii="仿宋_GB2312" w:hAnsi="仿宋_GB2312" w:eastAsia="仿宋_GB2312"/>
                <w:b w:val="0"/>
                <w:color w:val="000000"/>
                <w:sz w:val="32"/>
              </w:rPr>
              <w:t>氯碱纯碱下行传导</w:t>
            </w:r>
          </w:p>
        </w:tc>
        <w:tc>
          <w:tcPr>
            <w:tcW w:type="dxa" w:w="2268"/>
          </w:tcPr>
          <w:p>
            <w:pPr>
              <w:spacing w:lineRule="exact" w:line="600"/>
              <w:jc w:val="center"/>
            </w:pPr>
            <w:r/>
            <w:r>
              <w:rPr>
                <w:rFonts w:ascii="仿宋_GB2312" w:hAnsi="仿宋_GB2312" w:eastAsia="仿宋_GB2312"/>
                <w:b w:val="0"/>
                <w:color w:val="000000"/>
                <w:sz w:val="32"/>
              </w:rPr>
              <w:t>中高</w:t>
            </w:r>
          </w:p>
        </w:tc>
      </w:tr>
      <w:tr>
        <w:tc>
          <w:tcPr>
            <w:tcW w:type="dxa" w:w="1701"/>
          </w:tcPr>
          <w:p>
            <w:pPr>
              <w:spacing w:lineRule="exact" w:line="600"/>
              <w:jc w:val="center"/>
            </w:pPr>
            <w:r/>
            <w:r>
              <w:rPr>
                <w:rFonts w:ascii="仿宋_GB2312" w:hAnsi="仿宋_GB2312" w:eastAsia="仿宋_GB2312"/>
                <w:b w:val="0"/>
                <w:color w:val="000000"/>
                <w:sz w:val="32"/>
              </w:rPr>
              <w:t>地质安全</w:t>
            </w:r>
          </w:p>
        </w:tc>
        <w:tc>
          <w:tcPr>
            <w:tcW w:type="dxa" w:w="4535"/>
          </w:tcPr>
          <w:p>
            <w:pPr>
              <w:spacing w:lineRule="exact" w:line="600"/>
              <w:jc w:val="center"/>
            </w:pPr>
            <w:r/>
            <w:r>
              <w:rPr>
                <w:rFonts w:ascii="仿宋_GB2312" w:hAnsi="仿宋_GB2312" w:eastAsia="仿宋_GB2312"/>
                <w:b w:val="0"/>
                <w:color w:val="000000"/>
                <w:sz w:val="32"/>
              </w:rPr>
              <w:t>腔体渗漏/塌陷</w:t>
            </w:r>
          </w:p>
        </w:tc>
        <w:tc>
          <w:tcPr>
            <w:tcW w:type="dxa" w:w="2268"/>
          </w:tcPr>
          <w:p>
            <w:pPr>
              <w:spacing w:lineRule="exact" w:line="600"/>
              <w:jc w:val="center"/>
            </w:pPr>
            <w:r/>
            <w:r>
              <w:rPr>
                <w:rFonts w:ascii="仿宋_GB2312" w:hAnsi="仿宋_GB2312" w:eastAsia="仿宋_GB2312"/>
                <w:b w:val="0"/>
                <w:color w:val="000000"/>
                <w:sz w:val="32"/>
              </w:rPr>
              <w:t>中</w:t>
            </w:r>
          </w:p>
        </w:tc>
      </w:tr>
      <w:tr>
        <w:tc>
          <w:tcPr>
            <w:tcW w:type="dxa" w:w="1701"/>
          </w:tcPr>
          <w:p>
            <w:pPr>
              <w:spacing w:lineRule="exact" w:line="600"/>
              <w:jc w:val="center"/>
            </w:pPr>
            <w:r/>
            <w:r>
              <w:rPr>
                <w:rFonts w:ascii="仿宋_GB2312" w:hAnsi="仿宋_GB2312" w:eastAsia="仿宋_GB2312"/>
                <w:b w:val="0"/>
                <w:color w:val="000000"/>
                <w:sz w:val="32"/>
              </w:rPr>
              <w:t>政策</w:t>
            </w:r>
          </w:p>
        </w:tc>
        <w:tc>
          <w:tcPr>
            <w:tcW w:type="dxa" w:w="4535"/>
          </w:tcPr>
          <w:p>
            <w:pPr>
              <w:spacing w:lineRule="exact" w:line="600"/>
              <w:jc w:val="center"/>
            </w:pPr>
            <w:r/>
            <w:r>
              <w:rPr>
                <w:rFonts w:ascii="仿宋_GB2312" w:hAnsi="仿宋_GB2312" w:eastAsia="仿宋_GB2312"/>
                <w:b w:val="0"/>
                <w:color w:val="000000"/>
                <w:sz w:val="32"/>
              </w:rPr>
              <w:t>专营调整</w:t>
            </w:r>
          </w:p>
        </w:tc>
        <w:tc>
          <w:tcPr>
            <w:tcW w:type="dxa" w:w="2268"/>
          </w:tcPr>
          <w:p>
            <w:pPr>
              <w:spacing w:lineRule="exact" w:line="600"/>
              <w:jc w:val="center"/>
            </w:pPr>
            <w:r/>
            <w:r>
              <w:rPr>
                <w:rFonts w:ascii="仿宋_GB2312" w:hAnsi="仿宋_GB2312" w:eastAsia="仿宋_GB2312"/>
                <w:b w:val="0"/>
                <w:color w:val="000000"/>
                <w:sz w:val="32"/>
              </w:rPr>
              <w:t>中</w:t>
            </w:r>
          </w:p>
        </w:tc>
      </w:tr>
      <w:tr>
        <w:tc>
          <w:tcPr>
            <w:tcW w:type="dxa" w:w="1701"/>
          </w:tcPr>
          <w:p>
            <w:pPr>
              <w:spacing w:lineRule="exact" w:line="600"/>
              <w:jc w:val="center"/>
            </w:pPr>
            <w:r/>
            <w:r>
              <w:rPr>
                <w:rFonts w:ascii="仿宋_GB2312" w:hAnsi="仿宋_GB2312" w:eastAsia="仿宋_GB2312"/>
                <w:b w:val="0"/>
                <w:color w:val="000000"/>
                <w:sz w:val="32"/>
              </w:rPr>
              <w:t>资源</w:t>
            </w:r>
          </w:p>
        </w:tc>
        <w:tc>
          <w:tcPr>
            <w:tcW w:type="dxa" w:w="4535"/>
          </w:tcPr>
          <w:p>
            <w:pPr>
              <w:spacing w:lineRule="exact" w:line="600"/>
              <w:jc w:val="center"/>
            </w:pPr>
            <w:r/>
            <w:r>
              <w:rPr>
                <w:rFonts w:ascii="仿宋_GB2312" w:hAnsi="仿宋_GB2312" w:eastAsia="仿宋_GB2312"/>
                <w:b w:val="0"/>
                <w:color w:val="000000"/>
                <w:sz w:val="32"/>
              </w:rPr>
              <w:t>伴生利用不足</w:t>
            </w:r>
          </w:p>
        </w:tc>
        <w:tc>
          <w:tcPr>
            <w:tcW w:type="dxa" w:w="2268"/>
          </w:tcPr>
          <w:p>
            <w:pPr>
              <w:spacing w:lineRule="exact" w:line="600"/>
              <w:jc w:val="center"/>
            </w:pPr>
            <w:r/>
            <w:r>
              <w:rPr>
                <w:rFonts w:ascii="仿宋_GB2312" w:hAnsi="仿宋_GB2312" w:eastAsia="仿宋_GB2312"/>
                <w:b w:val="0"/>
                <w:color w:val="000000"/>
                <w:sz w:val="32"/>
              </w:rPr>
              <w:t>中</w:t>
            </w:r>
          </w:p>
        </w:tc>
      </w:tr>
    </w:tbl>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（一）盐电深度协同</w:t>
      </w:r>
    </w:p>
    <w:p>
      <w:pPr>
        <w:spacing w:lineRule="exact" w:line="600" w:before="0" w:after="0"/>
        <w:ind w:firstLine="420"/>
        <w:jc w:val="both"/>
      </w:pPr>
      <w:r>
        <w:rPr>
          <w:rFonts w:ascii="仿宋_GB2312" w:hAnsi="仿宋_GB2312" w:eastAsia="仿宋_GB2312"/>
          <w:b w:val="0"/>
          <w:color w:val="000000"/>
          <w:sz w:val="32"/>
        </w:rPr>
        <w:t>深化「采盐即造库」模式，推动鲁银储能等主体将建穴、制盐、储能统筹规划，使每一个采盐腔体同步成为储能资源，提升单位资源综合产出。争取纳入省级电网调峰与容量电价体系，将盐穴储能由示范走向规模化商业运营，打造「储能之都」名片。</w:t>
      </w:r>
    </w:p>
    <w:p>
      <w:pPr>
        <w:spacing w:lineRule="exact" w:line="600" w:before="120" w:after="120"/>
        <w:ind w:firstLine="420"/>
        <w:jc w:val="left"/>
      </w:pPr>
      <w:r>
        <w:rPr>
          <w:rFonts w:ascii="楷体_GB2312" w:hAnsi="楷体_GB2312" w:eastAsia="楷体_GB2312"/>
          <w:b w:val="0"/>
          <w:color w:val="000000"/>
          <w:sz w:val="32"/>
        </w:rPr>
        <w:t>（二）制盐绿色高端化</w:t>
      </w:r>
    </w:p>
    <w:p>
      <w:pPr>
        <w:spacing w:lineRule="exact" w:line="600" w:before="0" w:after="0"/>
        <w:ind w:firstLine="420"/>
        <w:jc w:val="both"/>
      </w:pPr>
      <w:r>
        <w:rPr>
          <w:rFonts w:ascii="仿宋_GB2312" w:hAnsi="仿宋_GB2312" w:eastAsia="仿宋_GB2312"/>
          <w:b w:val="0"/>
          <w:color w:val="000000"/>
          <w:sz w:val="32"/>
        </w:rPr>
        <w:t>推广海晶盐化MVR热泵+光伏经验，推动全行业绿色制盐改造；提升食用盐品质与品牌（深井盐、天然钙盐等），巩固药用氯化钠全国最大基地地位；探索卤水伴生资源（溴、镁、钾）提取，延伸盐化工高值链条，减少对单一工业盐的依赖。</w:t>
      </w:r>
    </w:p>
    <w:p>
      <w:pPr>
        <w:spacing w:lineRule="exact" w:line="600" w:before="120" w:after="120"/>
        <w:ind w:firstLine="420"/>
        <w:jc w:val="left"/>
      </w:pPr>
      <w:r>
        <w:rPr>
          <w:rFonts w:ascii="楷体_GB2312" w:hAnsi="楷体_GB2312" w:eastAsia="楷体_GB2312"/>
          <w:b w:val="0"/>
          <w:color w:val="000000"/>
          <w:sz w:val="32"/>
        </w:rPr>
        <w:t>（三）产业链融合与平台</w:t>
      </w:r>
    </w:p>
    <w:p>
      <w:pPr>
        <w:spacing w:lineRule="exact" w:line="600" w:before="0" w:after="0"/>
        <w:ind w:firstLine="420"/>
        <w:jc w:val="both"/>
      </w:pPr>
      <w:r>
        <w:rPr>
          <w:rFonts w:ascii="仿宋_GB2312" w:hAnsi="仿宋_GB2312" w:eastAsia="仿宋_GB2312"/>
          <w:b w:val="0"/>
          <w:color w:val="000000"/>
          <w:sz w:val="32"/>
        </w:rPr>
        <w:t>以盐穴储能产业园区为载体，招引压缩空气装备、系统集成、智能控制企业，构建「岩盐—制盐—储能装备—电力服务」融合集群；建设矿山与储能数据平台，实现腔体监测、制盐能效、电网调度一体化，提升集群整体智能化与安全水平。</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升级方向</w:t>
            </w:r>
          </w:p>
        </w:tc>
        <w:tc>
          <w:tcPr>
            <w:tcW w:type="dxa" w:w="4535"/>
          </w:tcPr>
          <w:p>
            <w:pPr>
              <w:spacing w:lineRule="exact" w:line="600"/>
              <w:jc w:val="center"/>
            </w:pPr>
            <w:r/>
            <w:r>
              <w:rPr>
                <w:rFonts w:ascii="黑体" w:hAnsi="黑体" w:eastAsia="黑体"/>
                <w:b/>
                <w:color w:val="000000"/>
                <w:sz w:val="32"/>
              </w:rPr>
              <w:t>重点内容</w:t>
            </w:r>
          </w:p>
        </w:tc>
        <w:tc>
          <w:tcPr>
            <w:tcW w:type="dxa" w:w="2268"/>
          </w:tcPr>
          <w:p>
            <w:pPr>
              <w:spacing w:lineRule="exact" w:line="600"/>
              <w:jc w:val="center"/>
            </w:pPr>
            <w:r/>
            <w:r>
              <w:rPr>
                <w:rFonts w:ascii="黑体" w:hAnsi="黑体" w:eastAsia="黑体"/>
                <w:b/>
                <w:color w:val="000000"/>
                <w:sz w:val="32"/>
              </w:rPr>
              <w:t>目标</w:t>
            </w:r>
          </w:p>
        </w:tc>
      </w:tr>
      <w:tr>
        <w:tc>
          <w:tcPr>
            <w:tcW w:type="dxa" w:w="1701"/>
          </w:tcPr>
          <w:p>
            <w:pPr>
              <w:spacing w:lineRule="exact" w:line="600"/>
              <w:jc w:val="center"/>
            </w:pPr>
            <w:r/>
            <w:r>
              <w:rPr>
                <w:rFonts w:ascii="仿宋_GB2312" w:hAnsi="仿宋_GB2312" w:eastAsia="仿宋_GB2312"/>
                <w:b w:val="0"/>
                <w:color w:val="000000"/>
                <w:sz w:val="32"/>
              </w:rPr>
              <w:t>盐电协同</w:t>
            </w:r>
          </w:p>
        </w:tc>
        <w:tc>
          <w:tcPr>
            <w:tcW w:type="dxa" w:w="4535"/>
          </w:tcPr>
          <w:p>
            <w:pPr>
              <w:spacing w:lineRule="exact" w:line="600"/>
              <w:jc w:val="center"/>
            </w:pPr>
            <w:r/>
            <w:r>
              <w:rPr>
                <w:rFonts w:ascii="仿宋_GB2312" w:hAnsi="仿宋_GB2312" w:eastAsia="仿宋_GB2312"/>
                <w:b w:val="0"/>
                <w:color w:val="000000"/>
                <w:sz w:val="32"/>
              </w:rPr>
              <w:t>采盐即造库+容量电价</w:t>
            </w:r>
          </w:p>
        </w:tc>
        <w:tc>
          <w:tcPr>
            <w:tcW w:type="dxa" w:w="2268"/>
          </w:tcPr>
          <w:p>
            <w:pPr>
              <w:spacing w:lineRule="exact" w:line="600"/>
              <w:jc w:val="center"/>
            </w:pPr>
            <w:r/>
            <w:r>
              <w:rPr>
                <w:rFonts w:ascii="仿宋_GB2312" w:hAnsi="仿宋_GB2312" w:eastAsia="仿宋_GB2312"/>
                <w:b w:val="0"/>
                <w:color w:val="000000"/>
                <w:sz w:val="32"/>
              </w:rPr>
              <w:t>储能规模化</w:t>
            </w:r>
          </w:p>
        </w:tc>
      </w:tr>
      <w:tr>
        <w:tc>
          <w:tcPr>
            <w:tcW w:type="dxa" w:w="1701"/>
          </w:tcPr>
          <w:p>
            <w:pPr>
              <w:spacing w:lineRule="exact" w:line="600"/>
              <w:jc w:val="center"/>
            </w:pPr>
            <w:r/>
            <w:r>
              <w:rPr>
                <w:rFonts w:ascii="仿宋_GB2312" w:hAnsi="仿宋_GB2312" w:eastAsia="仿宋_GB2312"/>
                <w:b w:val="0"/>
                <w:color w:val="000000"/>
                <w:sz w:val="32"/>
              </w:rPr>
              <w:t>绿色制盐</w:t>
            </w:r>
          </w:p>
        </w:tc>
        <w:tc>
          <w:tcPr>
            <w:tcW w:type="dxa" w:w="4535"/>
          </w:tcPr>
          <w:p>
            <w:pPr>
              <w:spacing w:lineRule="exact" w:line="600"/>
              <w:jc w:val="center"/>
            </w:pPr>
            <w:r/>
            <w:r>
              <w:rPr>
                <w:rFonts w:ascii="仿宋_GB2312" w:hAnsi="仿宋_GB2312" w:eastAsia="仿宋_GB2312"/>
                <w:b w:val="0"/>
                <w:color w:val="000000"/>
                <w:sz w:val="32"/>
              </w:rPr>
              <w:t>MVR+光伏全覆盖</w:t>
            </w:r>
          </w:p>
        </w:tc>
        <w:tc>
          <w:tcPr>
            <w:tcW w:type="dxa" w:w="2268"/>
          </w:tcPr>
          <w:p>
            <w:pPr>
              <w:spacing w:lineRule="exact" w:line="600"/>
              <w:jc w:val="center"/>
            </w:pPr>
            <w:r/>
            <w:r>
              <w:rPr>
                <w:rFonts w:ascii="仿宋_GB2312" w:hAnsi="仿宋_GB2312" w:eastAsia="仿宋_GB2312"/>
                <w:b w:val="0"/>
                <w:color w:val="000000"/>
                <w:sz w:val="32"/>
              </w:rPr>
              <w:t>降耗提效</w:t>
            </w:r>
          </w:p>
        </w:tc>
      </w:tr>
      <w:tr>
        <w:tc>
          <w:tcPr>
            <w:tcW w:type="dxa" w:w="1701"/>
          </w:tcPr>
          <w:p>
            <w:pPr>
              <w:spacing w:lineRule="exact" w:line="600"/>
              <w:jc w:val="center"/>
            </w:pPr>
            <w:r/>
            <w:r>
              <w:rPr>
                <w:rFonts w:ascii="仿宋_GB2312" w:hAnsi="仿宋_GB2312" w:eastAsia="仿宋_GB2312"/>
                <w:b w:val="0"/>
                <w:color w:val="000000"/>
                <w:sz w:val="32"/>
              </w:rPr>
              <w:t>高值盐化</w:t>
            </w:r>
          </w:p>
        </w:tc>
        <w:tc>
          <w:tcPr>
            <w:tcW w:type="dxa" w:w="4535"/>
          </w:tcPr>
          <w:p>
            <w:pPr>
              <w:spacing w:lineRule="exact" w:line="600"/>
              <w:jc w:val="center"/>
            </w:pPr>
            <w:r/>
            <w:r>
              <w:rPr>
                <w:rFonts w:ascii="仿宋_GB2312" w:hAnsi="仿宋_GB2312" w:eastAsia="仿宋_GB2312"/>
                <w:b w:val="0"/>
                <w:color w:val="000000"/>
                <w:sz w:val="32"/>
              </w:rPr>
              <w:t>伴生溴镁钾提取</w:t>
            </w:r>
          </w:p>
        </w:tc>
        <w:tc>
          <w:tcPr>
            <w:tcW w:type="dxa" w:w="2268"/>
          </w:tcPr>
          <w:p>
            <w:pPr>
              <w:spacing w:lineRule="exact" w:line="600"/>
              <w:jc w:val="center"/>
            </w:pPr>
            <w:r/>
            <w:r>
              <w:rPr>
                <w:rFonts w:ascii="仿宋_GB2312" w:hAnsi="仿宋_GB2312" w:eastAsia="仿宋_GB2312"/>
                <w:b w:val="0"/>
                <w:color w:val="000000"/>
                <w:sz w:val="32"/>
              </w:rPr>
              <w:t>延链增值</w:t>
            </w:r>
          </w:p>
        </w:tc>
      </w:tr>
      <w:tr>
        <w:tc>
          <w:tcPr>
            <w:tcW w:type="dxa" w:w="1701"/>
          </w:tcPr>
          <w:p>
            <w:pPr>
              <w:spacing w:lineRule="exact" w:line="600"/>
              <w:jc w:val="center"/>
            </w:pPr>
            <w:r/>
            <w:r>
              <w:rPr>
                <w:rFonts w:ascii="仿宋_GB2312" w:hAnsi="仿宋_GB2312" w:eastAsia="仿宋_GB2312"/>
                <w:b w:val="0"/>
                <w:color w:val="000000"/>
                <w:sz w:val="32"/>
              </w:rPr>
              <w:t>融合集群</w:t>
            </w:r>
          </w:p>
        </w:tc>
        <w:tc>
          <w:tcPr>
            <w:tcW w:type="dxa" w:w="4535"/>
          </w:tcPr>
          <w:p>
            <w:pPr>
              <w:spacing w:lineRule="exact" w:line="600"/>
              <w:jc w:val="center"/>
            </w:pPr>
            <w:r/>
            <w:r>
              <w:rPr>
                <w:rFonts w:ascii="仿宋_GB2312" w:hAnsi="仿宋_GB2312" w:eastAsia="仿宋_GB2312"/>
                <w:b w:val="0"/>
                <w:color w:val="000000"/>
                <w:sz w:val="32"/>
              </w:rPr>
              <w:t>储能装备+系统集成</w:t>
            </w:r>
          </w:p>
        </w:tc>
        <w:tc>
          <w:tcPr>
            <w:tcW w:type="dxa" w:w="2268"/>
          </w:tcPr>
          <w:p>
            <w:pPr>
              <w:spacing w:lineRule="exact" w:line="600"/>
              <w:jc w:val="center"/>
            </w:pPr>
            <w:r/>
            <w:r>
              <w:rPr>
                <w:rFonts w:ascii="仿宋_GB2312" w:hAnsi="仿宋_GB2312" w:eastAsia="仿宋_GB2312"/>
                <w:b w:val="0"/>
                <w:color w:val="000000"/>
                <w:sz w:val="32"/>
              </w:rPr>
              <w:t>平台集聚</w:t>
            </w:r>
          </w:p>
        </w:tc>
      </w:tr>
    </w:tbl>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（一）盐穴储能项目建设融资</w:t>
      </w:r>
    </w:p>
    <w:p>
      <w:pPr>
        <w:spacing w:lineRule="exact" w:line="600" w:before="0" w:after="0"/>
        <w:ind w:firstLine="420"/>
        <w:jc w:val="both"/>
      </w:pPr>
      <w:r>
        <w:rPr>
          <w:rFonts w:ascii="仿宋_GB2312" w:hAnsi="仿宋_GB2312" w:eastAsia="仿宋_GB2312"/>
          <w:b w:val="0"/>
          <w:color w:val="000000"/>
          <w:sz w:val="32"/>
        </w:rPr>
        <w:t>肥城已落地22个新型储能项目、总装机3480MW，后续腔体年新增约300万m³对应持续开发需求，单库投资常达数十亿元，需银团贷款、政策性金融工具（如基础设施基金）与绿色债券支持。建议设立盐穴储能专项产业基金，撬动社会资本参与建库与电站建设。</w:t>
      </w:r>
    </w:p>
    <w:p>
      <w:pPr>
        <w:spacing w:lineRule="exact" w:line="600" w:before="120" w:after="120"/>
        <w:ind w:firstLine="420"/>
        <w:jc w:val="left"/>
      </w:pPr>
      <w:r>
        <w:rPr>
          <w:rFonts w:ascii="楷体_GB2312" w:hAnsi="楷体_GB2312" w:eastAsia="楷体_GB2312"/>
          <w:b w:val="0"/>
          <w:color w:val="000000"/>
          <w:sz w:val="32"/>
        </w:rPr>
        <w:t>（二）制盐绿色改造融资</w:t>
      </w:r>
    </w:p>
    <w:p>
      <w:pPr>
        <w:spacing w:lineRule="exact" w:line="600" w:before="0" w:after="0"/>
        <w:ind w:firstLine="420"/>
        <w:jc w:val="both"/>
      </w:pPr>
      <w:r>
        <w:rPr>
          <w:rFonts w:ascii="仿宋_GB2312" w:hAnsi="仿宋_GB2312" w:eastAsia="仿宋_GB2312"/>
          <w:b w:val="0"/>
          <w:color w:val="000000"/>
          <w:sz w:val="32"/>
        </w:rPr>
        <w:t>推动海晶、精制盐厂等全行业MVR热泵、光伏耦合、能效提升改造，需绿色信贷、碳减排支持工具与节能改造贷款；海晶二期（2025年6月投料试车、总产能240万吨）等扩能项目需项目贷与设备融资，专精特新企业可借科创再贷款降成本。</w:t>
      </w:r>
    </w:p>
    <w:p>
      <w:pPr>
        <w:spacing w:lineRule="exact" w:line="600" w:before="120" w:after="120"/>
        <w:ind w:firstLine="420"/>
        <w:jc w:val="left"/>
      </w:pPr>
      <w:r>
        <w:rPr>
          <w:rFonts w:ascii="楷体_GB2312" w:hAnsi="楷体_GB2312" w:eastAsia="楷体_GB2312"/>
          <w:b w:val="0"/>
          <w:color w:val="000000"/>
          <w:sz w:val="32"/>
        </w:rPr>
        <w:t>（三）资源综合利用与供应链金融</w:t>
      </w:r>
    </w:p>
    <w:p>
      <w:pPr>
        <w:spacing w:lineRule="exact" w:line="600" w:before="0" w:after="0"/>
        <w:ind w:firstLine="420"/>
        <w:jc w:val="both"/>
      </w:pPr>
      <w:r>
        <w:rPr>
          <w:rFonts w:ascii="仿宋_GB2312" w:hAnsi="仿宋_GB2312" w:eastAsia="仿宋_GB2312"/>
          <w:b w:val="0"/>
          <w:color w:val="000000"/>
          <w:sz w:val="32"/>
        </w:rPr>
        <w:t>卤水伴生资源（溴、镁、钾）提取示范线、药用氯化钠产能提升需研发与产线融资；依托龙头企业信用发展应收账款融资、仓单质押，缓解中小制盐与配套企业流动资金压力；探索以盐穴腔体资产未来收益权开展ABS/REITS创新融资。</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融资方向</w:t>
            </w:r>
          </w:p>
        </w:tc>
        <w:tc>
          <w:tcPr>
            <w:tcW w:type="dxa" w:w="3969"/>
          </w:tcPr>
          <w:p>
            <w:pPr>
              <w:spacing w:lineRule="exact" w:line="600"/>
              <w:jc w:val="center"/>
            </w:pPr>
            <w:r/>
            <w:r>
              <w:rPr>
                <w:rFonts w:ascii="黑体" w:hAnsi="黑体" w:eastAsia="黑体"/>
                <w:b/>
                <w:color w:val="000000"/>
                <w:sz w:val="32"/>
              </w:rPr>
              <w:t>规模/示例</w:t>
            </w:r>
          </w:p>
        </w:tc>
        <w:tc>
          <w:tcPr>
            <w:tcW w:type="dxa" w:w="3118"/>
          </w:tcPr>
          <w:p>
            <w:pPr>
              <w:spacing w:lineRule="exact" w:line="600"/>
              <w:jc w:val="center"/>
            </w:pPr>
            <w:r/>
            <w:r>
              <w:rPr>
                <w:rFonts w:ascii="黑体" w:hAnsi="黑体" w:eastAsia="黑体"/>
                <w:b/>
                <w:color w:val="000000"/>
                <w:sz w:val="32"/>
              </w:rPr>
              <w:t>工具</w:t>
            </w:r>
          </w:p>
        </w:tc>
      </w:tr>
      <w:tr>
        <w:tc>
          <w:tcPr>
            <w:tcW w:type="dxa" w:w="1984"/>
          </w:tcPr>
          <w:p>
            <w:pPr>
              <w:spacing w:lineRule="exact" w:line="600"/>
              <w:jc w:val="center"/>
            </w:pPr>
            <w:r/>
            <w:r>
              <w:rPr>
                <w:rFonts w:ascii="仿宋_GB2312" w:hAnsi="仿宋_GB2312" w:eastAsia="仿宋_GB2312"/>
                <w:b w:val="0"/>
                <w:color w:val="000000"/>
                <w:sz w:val="32"/>
              </w:rPr>
              <w:t>储能建设</w:t>
            </w:r>
          </w:p>
        </w:tc>
        <w:tc>
          <w:tcPr>
            <w:tcW w:type="dxa" w:w="3969"/>
          </w:tcPr>
          <w:p>
            <w:pPr>
              <w:spacing w:lineRule="exact" w:line="600"/>
              <w:jc w:val="center"/>
            </w:pPr>
            <w:r/>
            <w:r>
              <w:rPr>
                <w:rFonts w:ascii="仿宋_GB2312" w:hAnsi="仿宋_GB2312" w:eastAsia="仿宋_GB2312"/>
                <w:b w:val="0"/>
                <w:color w:val="000000"/>
                <w:sz w:val="32"/>
              </w:rPr>
              <w:t>3480MW/持续开发</w:t>
            </w:r>
          </w:p>
        </w:tc>
        <w:tc>
          <w:tcPr>
            <w:tcW w:type="dxa" w:w="3118"/>
          </w:tcPr>
          <w:p>
            <w:pPr>
              <w:spacing w:lineRule="exact" w:line="600"/>
              <w:jc w:val="center"/>
            </w:pPr>
            <w:r/>
            <w:r>
              <w:rPr>
                <w:rFonts w:ascii="仿宋_GB2312" w:hAnsi="仿宋_GB2312" w:eastAsia="仿宋_GB2312"/>
                <w:b w:val="0"/>
                <w:color w:val="000000"/>
                <w:sz w:val="32"/>
              </w:rPr>
              <w:t>银团贷、绿债、基金</w:t>
            </w:r>
          </w:p>
        </w:tc>
      </w:tr>
      <w:tr>
        <w:tc>
          <w:tcPr>
            <w:tcW w:type="dxa" w:w="1984"/>
          </w:tcPr>
          <w:p>
            <w:pPr>
              <w:spacing w:lineRule="exact" w:line="600"/>
              <w:jc w:val="center"/>
            </w:pPr>
            <w:r/>
            <w:r>
              <w:rPr>
                <w:rFonts w:ascii="仿宋_GB2312" w:hAnsi="仿宋_GB2312" w:eastAsia="仿宋_GB2312"/>
                <w:b w:val="0"/>
                <w:color w:val="000000"/>
                <w:sz w:val="32"/>
              </w:rPr>
              <w:t>绿色制盐</w:t>
            </w:r>
          </w:p>
        </w:tc>
        <w:tc>
          <w:tcPr>
            <w:tcW w:type="dxa" w:w="3969"/>
          </w:tcPr>
          <w:p>
            <w:pPr>
              <w:spacing w:lineRule="exact" w:line="600"/>
              <w:jc w:val="center"/>
            </w:pPr>
            <w:r/>
            <w:r>
              <w:rPr>
                <w:rFonts w:ascii="仿宋_GB2312" w:hAnsi="仿宋_GB2312" w:eastAsia="仿宋_GB2312"/>
                <w:b w:val="0"/>
                <w:color w:val="000000"/>
                <w:sz w:val="32"/>
              </w:rPr>
              <w:t>海晶二期等</w:t>
            </w:r>
          </w:p>
        </w:tc>
        <w:tc>
          <w:tcPr>
            <w:tcW w:type="dxa" w:w="3118"/>
          </w:tcPr>
          <w:p>
            <w:pPr>
              <w:spacing w:lineRule="exact" w:line="600"/>
              <w:jc w:val="center"/>
            </w:pPr>
            <w:r/>
            <w:r>
              <w:rPr>
                <w:rFonts w:ascii="仿宋_GB2312" w:hAnsi="仿宋_GB2312" w:eastAsia="仿宋_GB2312"/>
                <w:b w:val="0"/>
                <w:color w:val="000000"/>
                <w:sz w:val="32"/>
              </w:rPr>
              <w:t>绿色信贷、碳工具</w:t>
            </w:r>
          </w:p>
        </w:tc>
      </w:tr>
      <w:tr>
        <w:tc>
          <w:tcPr>
            <w:tcW w:type="dxa" w:w="1984"/>
          </w:tcPr>
          <w:p>
            <w:pPr>
              <w:spacing w:lineRule="exact" w:line="600"/>
              <w:jc w:val="center"/>
            </w:pPr>
            <w:r/>
            <w:r>
              <w:rPr>
                <w:rFonts w:ascii="仿宋_GB2312" w:hAnsi="仿宋_GB2312" w:eastAsia="仿宋_GB2312"/>
                <w:b w:val="0"/>
                <w:color w:val="000000"/>
                <w:sz w:val="32"/>
              </w:rPr>
              <w:t>资源利用</w:t>
            </w:r>
          </w:p>
        </w:tc>
        <w:tc>
          <w:tcPr>
            <w:tcW w:type="dxa" w:w="3969"/>
          </w:tcPr>
          <w:p>
            <w:pPr>
              <w:spacing w:lineRule="exact" w:line="600"/>
              <w:jc w:val="center"/>
            </w:pPr>
            <w:r/>
            <w:r>
              <w:rPr>
                <w:rFonts w:ascii="仿宋_GB2312" w:hAnsi="仿宋_GB2312" w:eastAsia="仿宋_GB2312"/>
                <w:b w:val="0"/>
                <w:color w:val="000000"/>
                <w:sz w:val="32"/>
              </w:rPr>
              <w:t>溴镁钾提取</w:t>
            </w:r>
          </w:p>
        </w:tc>
        <w:tc>
          <w:tcPr>
            <w:tcW w:type="dxa" w:w="3118"/>
          </w:tcPr>
          <w:p>
            <w:pPr>
              <w:spacing w:lineRule="exact" w:line="600"/>
              <w:jc w:val="center"/>
            </w:pPr>
            <w:r/>
            <w:r>
              <w:rPr>
                <w:rFonts w:ascii="仿宋_GB2312" w:hAnsi="仿宋_GB2312" w:eastAsia="仿宋_GB2312"/>
                <w:b w:val="0"/>
                <w:color w:val="000000"/>
                <w:sz w:val="32"/>
              </w:rPr>
              <w:t>研发贷、项目贷</w:t>
            </w:r>
          </w:p>
        </w:tc>
      </w:tr>
      <w:tr>
        <w:tc>
          <w:tcPr>
            <w:tcW w:type="dxa" w:w="1984"/>
          </w:tcPr>
          <w:p>
            <w:pPr>
              <w:spacing w:lineRule="exact" w:line="600"/>
              <w:jc w:val="center"/>
            </w:pPr>
            <w:r/>
            <w:r>
              <w:rPr>
                <w:rFonts w:ascii="仿宋_GB2312" w:hAnsi="仿宋_GB2312" w:eastAsia="仿宋_GB2312"/>
                <w:b w:val="0"/>
                <w:color w:val="000000"/>
                <w:sz w:val="32"/>
              </w:rPr>
              <w:t>流贷</w:t>
            </w:r>
          </w:p>
        </w:tc>
        <w:tc>
          <w:tcPr>
            <w:tcW w:type="dxa" w:w="3969"/>
          </w:tcPr>
          <w:p>
            <w:pPr>
              <w:spacing w:lineRule="exact" w:line="600"/>
              <w:jc w:val="center"/>
            </w:pPr>
            <w:r/>
            <w:r>
              <w:rPr>
                <w:rFonts w:ascii="仿宋_GB2312" w:hAnsi="仿宋_GB2312" w:eastAsia="仿宋_GB2312"/>
                <w:b w:val="0"/>
                <w:color w:val="000000"/>
                <w:sz w:val="32"/>
              </w:rPr>
              <w:t>中小企业周转</w:t>
            </w:r>
          </w:p>
        </w:tc>
        <w:tc>
          <w:tcPr>
            <w:tcW w:type="dxa" w:w="3118"/>
          </w:tcPr>
          <w:p>
            <w:pPr>
              <w:spacing w:lineRule="exact" w:line="600"/>
              <w:jc w:val="center"/>
            </w:pPr>
            <w:r/>
            <w:r>
              <w:rPr>
                <w:rFonts w:ascii="仿宋_GB2312" w:hAnsi="仿宋_GB2312" w:eastAsia="仿宋_GB2312"/>
                <w:b w:val="0"/>
                <w:color w:val="000000"/>
                <w:sz w:val="32"/>
              </w:rPr>
              <w:t>供应链金融</w:t>
            </w:r>
          </w:p>
        </w:tc>
      </w:tr>
    </w:tbl>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肥城精制盐厂：1992年投产的国有老牌制盐企业，经鲁银储能建穴配套制盐项目（2024年投资）扩能后年产能跃升至240万吨，为华北最大食盐定点生产企业、全国最大药用氯化钠生产基地，原产能仅30多万吨，承担区域食盐保供与药用盐供给核心职能。来源：肥城市政府官网、鲁银储能公开报道。</w:t>
      </w:r>
    </w:p>
    <w:p>
      <w:pPr>
        <w:spacing w:lineRule="exact" w:line="600" w:before="0" w:after="0"/>
        <w:ind w:firstLine="420"/>
        <w:jc w:val="both"/>
      </w:pPr>
      <w:r>
        <w:rPr>
          <w:rFonts w:ascii="仿宋_GB2312" w:hAnsi="仿宋_GB2312" w:eastAsia="仿宋_GB2312"/>
          <w:b w:val="0"/>
          <w:color w:val="000000"/>
          <w:sz w:val="32"/>
        </w:rPr>
        <w:t>山东肥城海晶盐化有限公司：天津长芦海晶集团子公司（2011年成立，注册资本4.5亿元），一期120万吨/年已运行，二期2025年6月投料试车，总产能240万吨/年；坐拥4.06平方公里矿盐区域、保有储量9.5亿吨、可开采2.4亿吨；采用MVR热泵制盐+工业光伏，年节电约1000万度、减标煤3.6万吨，为省级专精特新、绿色工厂、高新技术企业。来源：海晶盐化公开资料、肥城报道。</w:t>
      </w:r>
    </w:p>
    <w:p>
      <w:pPr>
        <w:spacing w:lineRule="exact" w:line="600" w:before="0" w:after="0"/>
        <w:ind w:firstLine="420"/>
        <w:jc w:val="both"/>
      </w:pPr>
      <w:r>
        <w:rPr>
          <w:rFonts w:ascii="仿宋_GB2312" w:hAnsi="仿宋_GB2312" w:eastAsia="仿宋_GB2312"/>
          <w:b w:val="0"/>
          <w:color w:val="000000"/>
          <w:sz w:val="32"/>
        </w:rPr>
        <w:t>鲁银储能（建穴配套制盐投资运营主体）：统筹肥城盐穴建穴与配套制盐，推动「采盐即造库、盐电协同」商业模式，将采盐腔体同步转化为压缩空气储能库，是肥城盐穴储能（22个项目、3480MW、入选全省首批未来产业集群）的关键运营与资本平台。来源：肥城市政府官网、山东省发改委未来产业集群公示。</w:t>
      </w:r>
    </w:p>
    <w:p>
      <w:pPr>
        <w:spacing w:lineRule="exact" w:line="600" w:before="0" w:after="0"/>
        <w:jc w:val="left"/>
      </w:pPr>
      <w:r>
        <w:rPr>
          <w:rFonts w:ascii="仿宋_GB2312" w:hAnsi="仿宋_GB2312" w:eastAsia="仿宋_GB2312"/>
          <w:b w:val="0"/>
          <w:color w:val="000000"/>
          <w:sz w:val="28"/>
        </w:rPr>
        <w:t>主要数据来源：肥城市人民政府官网（盐及盐穴储能产业公开报道、鲁银储能建穴配套制盐项目）；山东省能源局/山东省发改委（新型储能、全省首批未来产业集群公示，2024）；天津长芦海晶集团及山东肥城海晶盐化有限公司公开资料；肥城精制盐厂公开报道（华北最大食盐定点、药用氯化钠全国最大基地）；大众日报、人民网关于肥城盐穴储能（3480MW、占全省1/5）的报道；泰安市统计局公开资料、肥城市2024—2025年盐业产值与税收数据</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