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山东临清（轴承）特色产业集群</w:t>
      </w:r>
    </w:p>
    <w:p>
      <w:pPr>
        <w:spacing w:lineRule="exact" w:line="600" w:before="240" w:after="240"/>
        <w:ind w:firstLine="0"/>
        <w:jc w:val="center"/>
      </w:pPr>
      <w:r>
        <w:rPr>
          <w:rFonts w:ascii="方正小标宋简体" w:hAnsi="方正小标宋简体" w:eastAsia="方正小标宋简体"/>
          <w:b w:val="0"/>
          <w:color w:val="000000"/>
          <w:sz w:val="44"/>
        </w:rPr>
        <w:t>轴承成品制造行业深度分析报告</w:t>
      </w:r>
    </w:p>
    <w:p>
      <w:pPr>
        <w:spacing w:lineRule="exact" w:line="600" w:before="0" w:after="0"/>
        <w:jc w:val="left"/>
      </w:pPr>
      <w:r>
        <w:rPr>
          <w:rFonts w:ascii="仿宋_GB2312" w:hAnsi="仿宋_GB2312" w:eastAsia="仿宋_GB2312"/>
          <w:b w:val="0"/>
          <w:color w:val="000000"/>
          <w:sz w:val="28"/>
        </w:rPr>
        <w:t>本报告数据来源于临清市政府官网、临清市统计局2023年统计公报、聊城市/临清市工信局公开报道、科技日报/经济日报/聊城日报等权威媒体，以及企业公开信息。数据截至2024—2025年，成品制造细分（调心滚子、薄壁、风电轴承等）公开数据较充分，已在正文引用；部分企业内部经营数据为媒体报道口径。</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轴承成品制造是临清轴承产业集群的核心环节，也是「中国轴承之乡」的价值高地。临清市轴承企业达5100余家，2025年产业营收突破500亿元、约占全国市场10%，烟潘唐三镇轴承产业总产值超300亿元。成品制造从早期维修翻新、低端通用件，跃迁至调心滚子轴承、薄壁特种轴承、风电大型轴承等高端领域：宇捷轴承调心滚子轴承产销量连续三年全国第一，博特薄壁轴承市占率多年第一，华工填补山东特大型风电轴承空白。但整体仍面临龙头偏少、同质化内卷、高端依赖进口等挑战，正通过专精特新、数字孪生柔性产线、工业互联网平台加速突围。</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2025产业营收</w:t>
            </w:r>
          </w:p>
        </w:tc>
        <w:tc>
          <w:tcPr>
            <w:tcW w:type="dxa" w:w="2835"/>
          </w:tcPr>
          <w:p>
            <w:pPr>
              <w:spacing w:lineRule="exact" w:line="600"/>
              <w:jc w:val="center"/>
            </w:pPr>
            <w:r/>
            <w:r>
              <w:rPr>
                <w:rFonts w:ascii="仿宋_GB2312" w:hAnsi="仿宋_GB2312" w:eastAsia="仿宋_GB2312"/>
                <w:b w:val="0"/>
                <w:color w:val="000000"/>
                <w:sz w:val="32"/>
              </w:rPr>
              <w:t>突破500亿元，占全国约10%</w:t>
            </w:r>
          </w:p>
        </w:tc>
        <w:tc>
          <w:tcPr>
            <w:tcW w:type="dxa" w:w="3118"/>
          </w:tcPr>
          <w:p>
            <w:pPr>
              <w:spacing w:lineRule="exact" w:line="600"/>
              <w:jc w:val="center"/>
            </w:pPr>
            <w:r/>
            <w:r>
              <w:rPr>
                <w:rFonts w:ascii="仿宋_GB2312" w:hAnsi="仿宋_GB2312" w:eastAsia="仿宋_GB2312"/>
                <w:b w:val="0"/>
                <w:color w:val="000000"/>
                <w:sz w:val="32"/>
              </w:rPr>
              <w:t>科技日报2026</w:t>
            </w:r>
          </w:p>
        </w:tc>
      </w:tr>
      <w:tr>
        <w:tc>
          <w:tcPr>
            <w:tcW w:type="dxa" w:w="2835"/>
          </w:tcPr>
          <w:p>
            <w:pPr>
              <w:spacing w:lineRule="exact" w:line="600"/>
              <w:jc w:val="center"/>
            </w:pPr>
            <w:r/>
            <w:r>
              <w:rPr>
                <w:rFonts w:ascii="仿宋_GB2312" w:hAnsi="仿宋_GB2312" w:eastAsia="仿宋_GB2312"/>
                <w:b w:val="0"/>
                <w:color w:val="000000"/>
                <w:sz w:val="32"/>
              </w:rPr>
              <w:t>烟潘唐三镇企业</w:t>
            </w:r>
          </w:p>
        </w:tc>
        <w:tc>
          <w:tcPr>
            <w:tcW w:type="dxa" w:w="2835"/>
          </w:tcPr>
          <w:p>
            <w:pPr>
              <w:spacing w:lineRule="exact" w:line="600"/>
              <w:jc w:val="center"/>
            </w:pPr>
            <w:r/>
            <w:r>
              <w:rPr>
                <w:rFonts w:ascii="仿宋_GB2312" w:hAnsi="仿宋_GB2312" w:eastAsia="仿宋_GB2312"/>
                <w:b w:val="0"/>
                <w:color w:val="000000"/>
                <w:sz w:val="32"/>
              </w:rPr>
              <w:t>6811家</w:t>
            </w:r>
          </w:p>
        </w:tc>
        <w:tc>
          <w:tcPr>
            <w:tcW w:type="dxa" w:w="3118"/>
          </w:tcPr>
          <w:p>
            <w:pPr>
              <w:spacing w:lineRule="exact" w:line="600"/>
              <w:jc w:val="center"/>
            </w:pPr>
            <w:r/>
            <w:r>
              <w:rPr>
                <w:rFonts w:ascii="仿宋_GB2312" w:hAnsi="仿宋_GB2312" w:eastAsia="仿宋_GB2312"/>
                <w:b w:val="0"/>
                <w:color w:val="000000"/>
                <w:sz w:val="32"/>
              </w:rPr>
              <w:t>临清规划草案</w:t>
            </w:r>
          </w:p>
        </w:tc>
      </w:tr>
      <w:tr>
        <w:tc>
          <w:tcPr>
            <w:tcW w:type="dxa" w:w="2835"/>
          </w:tcPr>
          <w:p>
            <w:pPr>
              <w:spacing w:lineRule="exact" w:line="600"/>
              <w:jc w:val="center"/>
            </w:pPr>
            <w:r/>
            <w:r>
              <w:rPr>
                <w:rFonts w:ascii="仿宋_GB2312" w:hAnsi="仿宋_GB2312" w:eastAsia="仿宋_GB2312"/>
                <w:b w:val="0"/>
                <w:color w:val="000000"/>
                <w:sz w:val="32"/>
              </w:rPr>
              <w:t>规上轴承企业</w:t>
            </w:r>
          </w:p>
        </w:tc>
        <w:tc>
          <w:tcPr>
            <w:tcW w:type="dxa" w:w="2835"/>
          </w:tcPr>
          <w:p>
            <w:pPr>
              <w:spacing w:lineRule="exact" w:line="600"/>
              <w:jc w:val="center"/>
            </w:pPr>
            <w:r/>
            <w:r>
              <w:rPr>
                <w:rFonts w:ascii="仿宋_GB2312" w:hAnsi="仿宋_GB2312" w:eastAsia="仿宋_GB2312"/>
                <w:b w:val="0"/>
                <w:color w:val="000000"/>
                <w:sz w:val="32"/>
              </w:rPr>
              <w:t>47家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国家级小巨人</w:t>
            </w:r>
          </w:p>
        </w:tc>
        <w:tc>
          <w:tcPr>
            <w:tcW w:type="dxa" w:w="2835"/>
          </w:tcPr>
          <w:p>
            <w:pPr>
              <w:spacing w:lineRule="exact" w:line="600"/>
              <w:jc w:val="center"/>
            </w:pPr>
            <w:r/>
            <w:r>
              <w:rPr>
                <w:rFonts w:ascii="仿宋_GB2312" w:hAnsi="仿宋_GB2312" w:eastAsia="仿宋_GB2312"/>
                <w:b w:val="0"/>
                <w:color w:val="000000"/>
                <w:sz w:val="32"/>
              </w:rPr>
              <w:t>5家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宇捷2024销售收入</w:t>
            </w:r>
          </w:p>
        </w:tc>
        <w:tc>
          <w:tcPr>
            <w:tcW w:type="dxa" w:w="2835"/>
          </w:tcPr>
          <w:p>
            <w:pPr>
              <w:spacing w:lineRule="exact" w:line="600"/>
              <w:jc w:val="center"/>
            </w:pPr>
            <w:r/>
            <w:r>
              <w:rPr>
                <w:rFonts w:ascii="仿宋_GB2312" w:hAnsi="仿宋_GB2312" w:eastAsia="仿宋_GB2312"/>
                <w:b w:val="0"/>
                <w:color w:val="000000"/>
                <w:sz w:val="32"/>
              </w:rPr>
              <w:t>1.5亿元</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835"/>
          </w:tcPr>
          <w:p>
            <w:pPr>
              <w:spacing w:lineRule="exact" w:line="600"/>
              <w:jc w:val="center"/>
            </w:pPr>
            <w:r/>
            <w:r>
              <w:rPr>
                <w:rFonts w:ascii="仿宋_GB2312" w:hAnsi="仿宋_GB2312" w:eastAsia="仿宋_GB2312"/>
                <w:b w:val="0"/>
                <w:color w:val="000000"/>
                <w:sz w:val="32"/>
              </w:rPr>
              <w:t>博特市占率</w:t>
            </w:r>
          </w:p>
        </w:tc>
        <w:tc>
          <w:tcPr>
            <w:tcW w:type="dxa" w:w="2835"/>
          </w:tcPr>
          <w:p>
            <w:pPr>
              <w:spacing w:lineRule="exact" w:line="600"/>
              <w:jc w:val="center"/>
            </w:pPr>
            <w:r/>
            <w:r>
              <w:rPr>
                <w:rFonts w:ascii="仿宋_GB2312" w:hAnsi="仿宋_GB2312" w:eastAsia="仿宋_GB2312"/>
                <w:b w:val="0"/>
                <w:color w:val="000000"/>
                <w:sz w:val="32"/>
              </w:rPr>
              <w:t>薄壁轴承多年第一</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华工风电项目</w:t>
            </w:r>
          </w:p>
        </w:tc>
        <w:tc>
          <w:tcPr>
            <w:tcW w:type="dxa" w:w="2835"/>
          </w:tcPr>
          <w:p>
            <w:pPr>
              <w:spacing w:lineRule="exact" w:line="600"/>
              <w:jc w:val="center"/>
            </w:pPr>
            <w:r/>
            <w:r>
              <w:rPr>
                <w:rFonts w:ascii="仿宋_GB2312" w:hAnsi="仿宋_GB2312" w:eastAsia="仿宋_GB2312"/>
                <w:b w:val="0"/>
                <w:color w:val="000000"/>
                <w:sz w:val="32"/>
              </w:rPr>
              <w:t>3.5亿，年产2万套</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出口额</w:t>
            </w:r>
          </w:p>
        </w:tc>
        <w:tc>
          <w:tcPr>
            <w:tcW w:type="dxa" w:w="2835"/>
          </w:tcPr>
          <w:p>
            <w:pPr>
              <w:spacing w:lineRule="exact" w:line="600"/>
              <w:jc w:val="center"/>
            </w:pPr>
            <w:r/>
            <w:r>
              <w:rPr>
                <w:rFonts w:ascii="仿宋_GB2312" w:hAnsi="仿宋_GB2312" w:eastAsia="仿宋_GB2312"/>
                <w:b w:val="0"/>
                <w:color w:val="000000"/>
                <w:sz w:val="32"/>
              </w:rPr>
              <w:t>3.2亿元/年</w:t>
            </w:r>
          </w:p>
        </w:tc>
        <w:tc>
          <w:tcPr>
            <w:tcW w:type="dxa" w:w="3118"/>
          </w:tcPr>
          <w:p>
            <w:pPr>
              <w:spacing w:lineRule="exact" w:line="600"/>
              <w:jc w:val="center"/>
            </w:pPr>
            <w:r/>
            <w:r>
              <w:rPr>
                <w:rFonts w:ascii="仿宋_GB2312" w:hAnsi="仿宋_GB2312" w:eastAsia="仿宋_GB2312"/>
                <w:b w:val="0"/>
                <w:color w:val="000000"/>
                <w:sz w:val="32"/>
              </w:rPr>
              <w:t>聊城日报</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轴承作为核心基础零部件，被列入《机械基础件产业高质量发展行动计划》重点突破领域，国家持续以专精特新、首台套、产业基础再造等政策扶持。山东省将轴承等特色产业作为民营经济高质量发展抓手，聊城市出台专项政策支持临清轴承全链条升级。临清市2023年GDP 300.24亿元（增长6.6%），工业总产值413.1亿元（增长4.1%），轴承产业集群获评国家级特色产业集群（来源：临清市2023年统计公报）。</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临清被誉为「中国轴承之乡」「中国轴承贸易之都」，轴承成品制造是当地最具标识度的产业。2026年1月《烟潘唐一体化发展战略规划》提出以烟店为核心联动潘庄、唐园，构建「国际性配套产业链」，目标建成全国最大、具国际影响力的轴承产业集群和贸易中心（来源：临清市政府官网）。成品制造环节是这一战略的价值中枢。</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临清GDP</w:t>
            </w:r>
          </w:p>
        </w:tc>
        <w:tc>
          <w:tcPr>
            <w:tcW w:type="dxa" w:w="2835"/>
          </w:tcPr>
          <w:p>
            <w:pPr>
              <w:spacing w:lineRule="exact" w:line="600"/>
              <w:jc w:val="center"/>
            </w:pPr>
            <w:r/>
            <w:r>
              <w:rPr>
                <w:rFonts w:ascii="仿宋_GB2312" w:hAnsi="仿宋_GB2312" w:eastAsia="仿宋_GB2312"/>
                <w:b w:val="0"/>
                <w:color w:val="000000"/>
                <w:sz w:val="32"/>
              </w:rPr>
              <w:t>300.24亿元，+6.6%</w:t>
            </w:r>
          </w:p>
        </w:tc>
        <w:tc>
          <w:tcPr>
            <w:tcW w:type="dxa" w:w="3118"/>
          </w:tcPr>
          <w:p>
            <w:pPr>
              <w:spacing w:lineRule="exact" w:line="600"/>
              <w:jc w:val="center"/>
            </w:pPr>
            <w:r/>
            <w:r>
              <w:rPr>
                <w:rFonts w:ascii="仿宋_GB2312" w:hAnsi="仿宋_GB2312" w:eastAsia="仿宋_GB2312"/>
                <w:b w:val="0"/>
                <w:color w:val="000000"/>
                <w:sz w:val="32"/>
              </w:rPr>
              <w:t>临清2023统计公报</w:t>
            </w:r>
          </w:p>
        </w:tc>
      </w:tr>
      <w:tr>
        <w:tc>
          <w:tcPr>
            <w:tcW w:type="dxa" w:w="2835"/>
          </w:tcPr>
          <w:p>
            <w:pPr>
              <w:spacing w:lineRule="exact" w:line="600"/>
              <w:jc w:val="center"/>
            </w:pPr>
            <w:r/>
            <w:r>
              <w:rPr>
                <w:rFonts w:ascii="仿宋_GB2312" w:hAnsi="仿宋_GB2312" w:eastAsia="仿宋_GB2312"/>
                <w:b w:val="0"/>
                <w:color w:val="000000"/>
                <w:sz w:val="32"/>
              </w:rPr>
              <w:t>工业总产值</w:t>
            </w:r>
          </w:p>
        </w:tc>
        <w:tc>
          <w:tcPr>
            <w:tcW w:type="dxa" w:w="2835"/>
          </w:tcPr>
          <w:p>
            <w:pPr>
              <w:spacing w:lineRule="exact" w:line="600"/>
              <w:jc w:val="center"/>
            </w:pPr>
            <w:r/>
            <w:r>
              <w:rPr>
                <w:rFonts w:ascii="仿宋_GB2312" w:hAnsi="仿宋_GB2312" w:eastAsia="仿宋_GB2312"/>
                <w:b w:val="0"/>
                <w:color w:val="000000"/>
                <w:sz w:val="32"/>
              </w:rPr>
              <w:t>413.1亿元，+4.1%</w:t>
            </w:r>
          </w:p>
        </w:tc>
        <w:tc>
          <w:tcPr>
            <w:tcW w:type="dxa" w:w="3118"/>
          </w:tcPr>
          <w:p>
            <w:pPr>
              <w:spacing w:lineRule="exact" w:line="600"/>
              <w:jc w:val="center"/>
            </w:pPr>
            <w:r/>
            <w:r>
              <w:rPr>
                <w:rFonts w:ascii="仿宋_GB2312" w:hAnsi="仿宋_GB2312" w:eastAsia="仿宋_GB2312"/>
                <w:b w:val="0"/>
                <w:color w:val="000000"/>
                <w:sz w:val="32"/>
              </w:rPr>
              <w:t>同上</w:t>
            </w:r>
          </w:p>
        </w:tc>
      </w:tr>
      <w:tr>
        <w:tc>
          <w:tcPr>
            <w:tcW w:type="dxa" w:w="2835"/>
          </w:tcPr>
          <w:p>
            <w:pPr>
              <w:spacing w:lineRule="exact" w:line="600"/>
              <w:jc w:val="center"/>
            </w:pPr>
            <w:r/>
            <w:r>
              <w:rPr>
                <w:rFonts w:ascii="仿宋_GB2312" w:hAnsi="仿宋_GB2312" w:eastAsia="仿宋_GB2312"/>
                <w:b w:val="0"/>
                <w:color w:val="000000"/>
                <w:sz w:val="32"/>
              </w:rPr>
              <w:t>集群级别</w:t>
            </w:r>
          </w:p>
        </w:tc>
        <w:tc>
          <w:tcPr>
            <w:tcW w:type="dxa" w:w="2835"/>
          </w:tcPr>
          <w:p>
            <w:pPr>
              <w:spacing w:lineRule="exact" w:line="600"/>
              <w:jc w:val="center"/>
            </w:pPr>
            <w:r/>
            <w:r>
              <w:rPr>
                <w:rFonts w:ascii="仿宋_GB2312" w:hAnsi="仿宋_GB2312" w:eastAsia="仿宋_GB2312"/>
                <w:b w:val="0"/>
                <w:color w:val="000000"/>
                <w:sz w:val="32"/>
              </w:rPr>
              <w:t>国家级特色产业集群</w:t>
            </w:r>
          </w:p>
        </w:tc>
        <w:tc>
          <w:tcPr>
            <w:tcW w:type="dxa" w:w="3118"/>
          </w:tcPr>
          <w:p>
            <w:pPr>
              <w:spacing w:lineRule="exact" w:line="600"/>
              <w:jc w:val="center"/>
            </w:pPr>
            <w:r/>
            <w:r>
              <w:rPr>
                <w:rFonts w:ascii="仿宋_GB2312" w:hAnsi="仿宋_GB2312" w:eastAsia="仿宋_GB2312"/>
                <w:b w:val="0"/>
                <w:color w:val="000000"/>
                <w:sz w:val="32"/>
              </w:rPr>
              <w:t>同上</w:t>
            </w:r>
          </w:p>
        </w:tc>
      </w:tr>
      <w:tr>
        <w:tc>
          <w:tcPr>
            <w:tcW w:type="dxa" w:w="2835"/>
          </w:tcPr>
          <w:p>
            <w:pPr>
              <w:spacing w:lineRule="exact" w:line="600"/>
              <w:jc w:val="center"/>
            </w:pPr>
            <w:r/>
            <w:r>
              <w:rPr>
                <w:rFonts w:ascii="仿宋_GB2312" w:hAnsi="仿宋_GB2312" w:eastAsia="仿宋_GB2312"/>
                <w:b w:val="0"/>
                <w:color w:val="000000"/>
                <w:sz w:val="32"/>
              </w:rPr>
              <w:t>2025产业营收</w:t>
            </w:r>
          </w:p>
        </w:tc>
        <w:tc>
          <w:tcPr>
            <w:tcW w:type="dxa" w:w="2835"/>
          </w:tcPr>
          <w:p>
            <w:pPr>
              <w:spacing w:lineRule="exact" w:line="600"/>
              <w:jc w:val="center"/>
            </w:pPr>
            <w:r/>
            <w:r>
              <w:rPr>
                <w:rFonts w:ascii="仿宋_GB2312" w:hAnsi="仿宋_GB2312" w:eastAsia="仿宋_GB2312"/>
                <w:b w:val="0"/>
                <w:color w:val="000000"/>
                <w:sz w:val="32"/>
              </w:rPr>
              <w:t>突破500亿元，占全国约10%</w:t>
            </w:r>
          </w:p>
        </w:tc>
        <w:tc>
          <w:tcPr>
            <w:tcW w:type="dxa" w:w="3118"/>
          </w:tcPr>
          <w:p>
            <w:pPr>
              <w:spacing w:lineRule="exact" w:line="600"/>
              <w:jc w:val="center"/>
            </w:pPr>
            <w:r/>
            <w:r>
              <w:rPr>
                <w:rFonts w:ascii="仿宋_GB2312" w:hAnsi="仿宋_GB2312" w:eastAsia="仿宋_GB2312"/>
                <w:b w:val="0"/>
                <w:color w:val="000000"/>
                <w:sz w:val="32"/>
              </w:rPr>
              <w:t>科技日报2026</w:t>
            </w:r>
          </w:p>
        </w:tc>
      </w:tr>
      <w:tr>
        <w:tc>
          <w:tcPr>
            <w:tcW w:type="dxa" w:w="2835"/>
          </w:tcPr>
          <w:p>
            <w:pPr>
              <w:spacing w:lineRule="exact" w:line="600"/>
              <w:jc w:val="center"/>
            </w:pPr>
            <w:r/>
            <w:r>
              <w:rPr>
                <w:rFonts w:ascii="仿宋_GB2312" w:hAnsi="仿宋_GB2312" w:eastAsia="仿宋_GB2312"/>
                <w:b w:val="0"/>
                <w:color w:val="000000"/>
                <w:sz w:val="32"/>
              </w:rPr>
              <w:t>三镇总产值</w:t>
            </w:r>
          </w:p>
        </w:tc>
        <w:tc>
          <w:tcPr>
            <w:tcW w:type="dxa" w:w="2835"/>
          </w:tcPr>
          <w:p>
            <w:pPr>
              <w:spacing w:lineRule="exact" w:line="600"/>
              <w:jc w:val="center"/>
            </w:pPr>
            <w:r/>
            <w:r>
              <w:rPr>
                <w:rFonts w:ascii="仿宋_GB2312" w:hAnsi="仿宋_GB2312" w:eastAsia="仿宋_GB2312"/>
                <w:b w:val="0"/>
                <w:color w:val="000000"/>
                <w:sz w:val="32"/>
              </w:rPr>
              <w:t>超300亿元</w:t>
            </w:r>
          </w:p>
        </w:tc>
        <w:tc>
          <w:tcPr>
            <w:tcW w:type="dxa" w:w="3118"/>
          </w:tcPr>
          <w:p>
            <w:pPr>
              <w:spacing w:lineRule="exact" w:line="600"/>
              <w:jc w:val="center"/>
            </w:pPr>
            <w:r/>
            <w:r>
              <w:rPr>
                <w:rFonts w:ascii="仿宋_GB2312" w:hAnsi="仿宋_GB2312" w:eastAsia="仿宋_GB2312"/>
                <w:b w:val="0"/>
                <w:color w:val="000000"/>
                <w:sz w:val="32"/>
              </w:rPr>
              <w:t>临清规划草案</w:t>
            </w:r>
          </w:p>
        </w:tc>
      </w:tr>
    </w:tbl>
    <w:p>
      <w:pPr>
        <w:spacing w:lineRule="exact" w:line="600" w:before="120" w:after="120"/>
        <w:ind w:firstLine="420"/>
        <w:jc w:val="left"/>
      </w:pPr>
      <w:r>
        <w:rPr>
          <w:rFonts w:ascii="楷体_GB2312" w:hAnsi="楷体_GB2312" w:eastAsia="楷体_GB2312"/>
          <w:b w:val="0"/>
          <w:color w:val="000000"/>
          <w:sz w:val="32"/>
        </w:rPr>
        <w:t>县域主导产业底盘（本批真实数据补充·来源见正文）</w:t>
      </w:r>
    </w:p>
    <w:p>
      <w:pPr>
        <w:spacing w:lineRule="exact" w:line="600" w:before="0" w:after="0"/>
        <w:ind w:firstLine="420"/>
        <w:jc w:val="both"/>
      </w:pPr>
      <w:r>
        <w:rPr>
          <w:rFonts w:ascii="仿宋_GB2312" w:hAnsi="仿宋_GB2312" w:eastAsia="仿宋_GB2312"/>
          <w:b w:val="0"/>
          <w:color w:val="000000"/>
          <w:sz w:val="32"/>
        </w:rPr>
        <w:t>轴承产业是临清市（聊城市）的县域主导产业，为聊城市轴承产业集群核心区。临清轴承产业年营收500余亿元，吸纳20余万人创业就业，已形成烟店、潘庄、唐园三镇集聚发展格局，产业影响力持续扩大。（来源：临清市政府官网、中新网2024临清轴承报道）</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说明</w:t>
            </w:r>
          </w:p>
        </w:tc>
      </w:tr>
      <w:tr>
        <w:tc>
          <w:tcPr>
            <w:tcW w:type="dxa" w:w="2551"/>
          </w:tcPr>
          <w:p>
            <w:pPr>
              <w:spacing w:lineRule="exact" w:line="600"/>
              <w:jc w:val="center"/>
            </w:pPr>
            <w:r/>
            <w:r>
              <w:rPr>
                <w:rFonts w:ascii="仿宋_GB2312" w:hAnsi="仿宋_GB2312" w:eastAsia="仿宋_GB2312"/>
                <w:b w:val="0"/>
                <w:color w:val="000000"/>
                <w:sz w:val="32"/>
              </w:rPr>
              <w:t>轴承产业年营收</w:t>
            </w:r>
          </w:p>
        </w:tc>
        <w:tc>
          <w:tcPr>
            <w:tcW w:type="dxa" w:w="3118"/>
          </w:tcPr>
          <w:p>
            <w:pPr>
              <w:spacing w:lineRule="exact" w:line="600"/>
              <w:jc w:val="center"/>
            </w:pPr>
            <w:r/>
            <w:r>
              <w:rPr>
                <w:rFonts w:ascii="仿宋_GB2312" w:hAnsi="仿宋_GB2312" w:eastAsia="仿宋_GB2312"/>
                <w:b w:val="0"/>
                <w:color w:val="000000"/>
                <w:sz w:val="32"/>
              </w:rPr>
              <w:t>500余亿元</w:t>
            </w:r>
          </w:p>
        </w:tc>
        <w:tc>
          <w:tcPr>
            <w:tcW w:type="dxa" w:w="2835"/>
          </w:tcPr>
          <w:p>
            <w:pPr>
              <w:spacing w:lineRule="exact" w:line="600"/>
              <w:jc w:val="center"/>
            </w:pPr>
            <w:r/>
            <w:r>
              <w:rPr>
                <w:rFonts w:ascii="仿宋_GB2312" w:hAnsi="仿宋_GB2312" w:eastAsia="仿宋_GB2312"/>
                <w:b w:val="0"/>
                <w:color w:val="000000"/>
                <w:sz w:val="32"/>
              </w:rPr>
              <w:t>县域主导产业</w:t>
            </w:r>
          </w:p>
        </w:tc>
      </w:tr>
      <w:tr>
        <w:tc>
          <w:tcPr>
            <w:tcW w:type="dxa" w:w="2551"/>
          </w:tcPr>
          <w:p>
            <w:pPr>
              <w:spacing w:lineRule="exact" w:line="600"/>
              <w:jc w:val="center"/>
            </w:pPr>
            <w:r/>
            <w:r>
              <w:rPr>
                <w:rFonts w:ascii="仿宋_GB2312" w:hAnsi="仿宋_GB2312" w:eastAsia="仿宋_GB2312"/>
                <w:b w:val="0"/>
                <w:color w:val="000000"/>
                <w:sz w:val="32"/>
              </w:rPr>
              <w:t>从业人数</w:t>
            </w:r>
          </w:p>
        </w:tc>
        <w:tc>
          <w:tcPr>
            <w:tcW w:type="dxa" w:w="3118"/>
          </w:tcPr>
          <w:p>
            <w:pPr>
              <w:spacing w:lineRule="exact" w:line="600"/>
              <w:jc w:val="center"/>
            </w:pPr>
            <w:r/>
            <w:r>
              <w:rPr>
                <w:rFonts w:ascii="仿宋_GB2312" w:hAnsi="仿宋_GB2312" w:eastAsia="仿宋_GB2312"/>
                <w:b w:val="0"/>
                <w:color w:val="000000"/>
                <w:sz w:val="32"/>
              </w:rPr>
              <w:t>20余万人</w:t>
            </w:r>
          </w:p>
        </w:tc>
        <w:tc>
          <w:tcPr>
            <w:tcW w:type="dxa" w:w="2835"/>
          </w:tcPr>
          <w:p>
            <w:pPr>
              <w:spacing w:lineRule="exact" w:line="600"/>
              <w:jc w:val="center"/>
            </w:pPr>
            <w:r/>
            <w:r>
              <w:rPr>
                <w:rFonts w:ascii="仿宋_GB2312" w:hAnsi="仿宋_GB2312" w:eastAsia="仿宋_GB2312"/>
                <w:b w:val="0"/>
                <w:color w:val="000000"/>
                <w:sz w:val="32"/>
              </w:rPr>
              <w:t>创业就业</w:t>
            </w:r>
          </w:p>
        </w:tc>
      </w:tr>
      <w:tr>
        <w:tc>
          <w:tcPr>
            <w:tcW w:type="dxa" w:w="2551"/>
          </w:tcPr>
          <w:p>
            <w:pPr>
              <w:spacing w:lineRule="exact" w:line="600"/>
              <w:jc w:val="center"/>
            </w:pPr>
            <w:r/>
            <w:r>
              <w:rPr>
                <w:rFonts w:ascii="仿宋_GB2312" w:hAnsi="仿宋_GB2312" w:eastAsia="仿宋_GB2312"/>
                <w:b w:val="0"/>
                <w:color w:val="000000"/>
                <w:sz w:val="32"/>
              </w:rPr>
              <w:t>核心集聚镇</w:t>
            </w:r>
          </w:p>
        </w:tc>
        <w:tc>
          <w:tcPr>
            <w:tcW w:type="dxa" w:w="3118"/>
          </w:tcPr>
          <w:p>
            <w:pPr>
              <w:spacing w:lineRule="exact" w:line="600"/>
              <w:jc w:val="center"/>
            </w:pPr>
            <w:r/>
            <w:r>
              <w:rPr>
                <w:rFonts w:ascii="仿宋_GB2312" w:hAnsi="仿宋_GB2312" w:eastAsia="仿宋_GB2312"/>
                <w:b w:val="0"/>
                <w:color w:val="000000"/>
                <w:sz w:val="32"/>
              </w:rPr>
              <w:t>烟店/潘庄/唐园</w:t>
            </w:r>
          </w:p>
        </w:tc>
        <w:tc>
          <w:tcPr>
            <w:tcW w:type="dxa" w:w="2835"/>
          </w:tcPr>
          <w:p>
            <w:pPr>
              <w:spacing w:lineRule="exact" w:line="600"/>
              <w:jc w:val="center"/>
            </w:pPr>
            <w:r/>
            <w:r>
              <w:rPr>
                <w:rFonts w:ascii="仿宋_GB2312" w:hAnsi="仿宋_GB2312" w:eastAsia="仿宋_GB2312"/>
                <w:b w:val="0"/>
                <w:color w:val="000000"/>
                <w:sz w:val="32"/>
              </w:rPr>
              <w:t>三镇联动</w:t>
            </w:r>
          </w:p>
        </w:tc>
      </w:tr>
      <w:tr>
        <w:tc>
          <w:tcPr>
            <w:tcW w:type="dxa" w:w="2551"/>
          </w:tcPr>
          <w:p>
            <w:pPr>
              <w:spacing w:lineRule="exact" w:line="600"/>
              <w:jc w:val="center"/>
            </w:pPr>
            <w:r/>
            <w:r>
              <w:rPr>
                <w:rFonts w:ascii="仿宋_GB2312" w:hAnsi="仿宋_GB2312" w:eastAsia="仿宋_GB2312"/>
                <w:b w:val="0"/>
                <w:color w:val="000000"/>
                <w:sz w:val="32"/>
              </w:rPr>
              <w:t>全国市场占有率</w:t>
            </w:r>
          </w:p>
        </w:tc>
        <w:tc>
          <w:tcPr>
            <w:tcW w:type="dxa" w:w="3118"/>
          </w:tcPr>
          <w:p>
            <w:pPr>
              <w:spacing w:lineRule="exact" w:line="600"/>
              <w:jc w:val="center"/>
            </w:pPr>
            <w:r/>
            <w:r>
              <w:rPr>
                <w:rFonts w:ascii="仿宋_GB2312" w:hAnsi="仿宋_GB2312" w:eastAsia="仿宋_GB2312"/>
                <w:b w:val="0"/>
                <w:color w:val="000000"/>
                <w:sz w:val="32"/>
              </w:rPr>
              <w:t>约1/10（交易额）</w:t>
            </w:r>
          </w:p>
        </w:tc>
        <w:tc>
          <w:tcPr>
            <w:tcW w:type="dxa" w:w="2835"/>
          </w:tcPr>
          <w:p>
            <w:pPr>
              <w:spacing w:lineRule="exact" w:line="600"/>
              <w:jc w:val="center"/>
            </w:pPr>
            <w:r/>
            <w:r>
              <w:rPr>
                <w:rFonts w:ascii="仿宋_GB2312" w:hAnsi="仿宋_GB2312" w:eastAsia="仿宋_GB2312"/>
                <w:b w:val="0"/>
                <w:color w:val="000000"/>
                <w:sz w:val="32"/>
              </w:rPr>
              <w:t>行业影响力</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（一）成品制造环节构成</w:t>
      </w:r>
    </w:p>
    <w:p>
      <w:pPr>
        <w:spacing w:lineRule="exact" w:line="600" w:before="0" w:after="0"/>
        <w:ind w:firstLine="420"/>
        <w:jc w:val="both"/>
      </w:pPr>
      <w:r>
        <w:rPr>
          <w:rFonts w:ascii="仿宋_GB2312" w:hAnsi="仿宋_GB2312" w:eastAsia="仿宋_GB2312"/>
          <w:b w:val="0"/>
          <w:color w:val="000000"/>
          <w:sz w:val="32"/>
        </w:rPr>
        <w:t>临清轴承成品涵盖0—9类及非标共11大类、1万余种型号，从通用深沟球轴承到调心滚子、薄壁、圆锥、风电特大轴承均有布局。成品制造上游依赖本地钢管/配件与外地特钢，下游经烟店专业市场（固定门店3100多户、上市业户5200多家）分销全球（来源：烟店轴承商贸小镇）。产业链呈现「贸易起家—制造跟进—高端突破」的演进路径。</w:t>
      </w:r>
    </w:p>
    <w:p>
      <w:pPr>
        <w:spacing w:lineRule="exact" w:line="600" w:before="120" w:after="120"/>
        <w:ind w:firstLine="420"/>
        <w:jc w:val="left"/>
      </w:pPr>
      <w:r>
        <w:rPr>
          <w:rFonts w:ascii="楷体_GB2312" w:hAnsi="楷体_GB2312" w:eastAsia="楷体_GB2312"/>
          <w:b w:val="0"/>
          <w:color w:val="000000"/>
          <w:sz w:val="32"/>
        </w:rPr>
        <w:t>（二）分工与协同</w:t>
      </w:r>
    </w:p>
    <w:p>
      <w:pPr>
        <w:spacing w:lineRule="exact" w:line="600" w:before="0" w:after="0"/>
        <w:ind w:firstLine="420"/>
        <w:jc w:val="both"/>
      </w:pPr>
      <w:r>
        <w:rPr>
          <w:rFonts w:ascii="仿宋_GB2312" w:hAnsi="仿宋_GB2312" w:eastAsia="仿宋_GB2312"/>
          <w:b w:val="0"/>
          <w:color w:val="000000"/>
          <w:sz w:val="32"/>
        </w:rPr>
        <w:t>烟店镇以成品组装与品牌企业为核心，潘庄、唐园侧重配件与毛坯，三镇总面积151.25平方公里、常住人口近20万人，轴承相关企业6811家（来源：临清规划草案）。龙头企业如宇捷、博特、华工向上游传导高精度需求，带动本地配套。「行业共性研判」：成品制造企业多为中小微企业，龙头引领下的梯次协同仍在深化。</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2835"/>
          </w:tcPr>
          <w:p>
            <w:pPr>
              <w:spacing w:lineRule="exact" w:line="600"/>
              <w:jc w:val="center"/>
            </w:pPr>
            <w:r/>
            <w:r>
              <w:rPr>
                <w:rFonts w:ascii="黑体" w:hAnsi="黑体" w:eastAsia="黑体"/>
                <w:b/>
                <w:color w:val="000000"/>
                <w:sz w:val="32"/>
              </w:rPr>
              <w:t>代表产品</w:t>
            </w:r>
          </w:p>
        </w:tc>
        <w:tc>
          <w:tcPr>
            <w:tcW w:type="dxa" w:w="3118"/>
          </w:tcPr>
          <w:p>
            <w:pPr>
              <w:spacing w:lineRule="exact" w:line="600"/>
              <w:jc w:val="center"/>
            </w:pPr>
            <w:r/>
            <w:r>
              <w:rPr>
                <w:rFonts w:ascii="黑体" w:hAnsi="黑体" w:eastAsia="黑体"/>
                <w:b/>
                <w:color w:val="000000"/>
                <w:sz w:val="32"/>
              </w:rPr>
              <w:t>临清情况</w:t>
            </w:r>
          </w:p>
        </w:tc>
      </w:tr>
      <w:tr>
        <w:tc>
          <w:tcPr>
            <w:tcW w:type="dxa" w:w="2551"/>
          </w:tcPr>
          <w:p>
            <w:pPr>
              <w:spacing w:lineRule="exact" w:line="600"/>
              <w:jc w:val="center"/>
            </w:pPr>
            <w:r/>
            <w:r>
              <w:rPr>
                <w:rFonts w:ascii="仿宋_GB2312" w:hAnsi="仿宋_GB2312" w:eastAsia="仿宋_GB2312"/>
                <w:b w:val="0"/>
                <w:color w:val="000000"/>
                <w:sz w:val="32"/>
              </w:rPr>
              <w:t>通用轴承</w:t>
            </w:r>
          </w:p>
        </w:tc>
        <w:tc>
          <w:tcPr>
            <w:tcW w:type="dxa" w:w="2835"/>
          </w:tcPr>
          <w:p>
            <w:pPr>
              <w:spacing w:lineRule="exact" w:line="600"/>
              <w:jc w:val="center"/>
            </w:pPr>
            <w:r/>
            <w:r>
              <w:rPr>
                <w:rFonts w:ascii="仿宋_GB2312" w:hAnsi="仿宋_GB2312" w:eastAsia="仿宋_GB2312"/>
                <w:b w:val="0"/>
                <w:color w:val="000000"/>
                <w:sz w:val="32"/>
              </w:rPr>
              <w:t>深沟球、圆锥</w:t>
            </w:r>
          </w:p>
        </w:tc>
        <w:tc>
          <w:tcPr>
            <w:tcW w:type="dxa" w:w="3118"/>
          </w:tcPr>
          <w:p>
            <w:pPr>
              <w:spacing w:lineRule="exact" w:line="600"/>
              <w:jc w:val="center"/>
            </w:pPr>
            <w:r/>
            <w:r>
              <w:rPr>
                <w:rFonts w:ascii="仿宋_GB2312" w:hAnsi="仿宋_GB2312" w:eastAsia="仿宋_GB2312"/>
                <w:b w:val="0"/>
                <w:color w:val="000000"/>
                <w:sz w:val="32"/>
              </w:rPr>
              <w:t>量大面广，同质化</w:t>
            </w:r>
          </w:p>
        </w:tc>
      </w:tr>
      <w:tr>
        <w:tc>
          <w:tcPr>
            <w:tcW w:type="dxa" w:w="2551"/>
          </w:tcPr>
          <w:p>
            <w:pPr>
              <w:spacing w:lineRule="exact" w:line="600"/>
              <w:jc w:val="center"/>
            </w:pPr>
            <w:r/>
            <w:r>
              <w:rPr>
                <w:rFonts w:ascii="仿宋_GB2312" w:hAnsi="仿宋_GB2312" w:eastAsia="仿宋_GB2312"/>
                <w:b w:val="0"/>
                <w:color w:val="000000"/>
                <w:sz w:val="32"/>
              </w:rPr>
              <w:t>专用轴承</w:t>
            </w:r>
          </w:p>
        </w:tc>
        <w:tc>
          <w:tcPr>
            <w:tcW w:type="dxa" w:w="2835"/>
          </w:tcPr>
          <w:p>
            <w:pPr>
              <w:spacing w:lineRule="exact" w:line="600"/>
              <w:jc w:val="center"/>
            </w:pPr>
            <w:r/>
            <w:r>
              <w:rPr>
                <w:rFonts w:ascii="仿宋_GB2312" w:hAnsi="仿宋_GB2312" w:eastAsia="仿宋_GB2312"/>
                <w:b w:val="0"/>
                <w:color w:val="000000"/>
                <w:sz w:val="32"/>
              </w:rPr>
              <w:t>调心滚子、薄壁</w:t>
            </w:r>
          </w:p>
        </w:tc>
        <w:tc>
          <w:tcPr>
            <w:tcW w:type="dxa" w:w="3118"/>
          </w:tcPr>
          <w:p>
            <w:pPr>
              <w:spacing w:lineRule="exact" w:line="600"/>
              <w:jc w:val="center"/>
            </w:pPr>
            <w:r/>
            <w:r>
              <w:rPr>
                <w:rFonts w:ascii="仿宋_GB2312" w:hAnsi="仿宋_GB2312" w:eastAsia="仿宋_GB2312"/>
                <w:b w:val="0"/>
                <w:color w:val="000000"/>
                <w:sz w:val="32"/>
              </w:rPr>
              <w:t>宇捷/博特领先</w:t>
            </w:r>
          </w:p>
        </w:tc>
      </w:tr>
      <w:tr>
        <w:tc>
          <w:tcPr>
            <w:tcW w:type="dxa" w:w="2551"/>
          </w:tcPr>
          <w:p>
            <w:pPr>
              <w:spacing w:lineRule="exact" w:line="600"/>
              <w:jc w:val="center"/>
            </w:pPr>
            <w:r/>
            <w:r>
              <w:rPr>
                <w:rFonts w:ascii="仿宋_GB2312" w:hAnsi="仿宋_GB2312" w:eastAsia="仿宋_GB2312"/>
                <w:b w:val="0"/>
                <w:color w:val="000000"/>
                <w:sz w:val="32"/>
              </w:rPr>
              <w:t>大型轴承</w:t>
            </w:r>
          </w:p>
        </w:tc>
        <w:tc>
          <w:tcPr>
            <w:tcW w:type="dxa" w:w="2835"/>
          </w:tcPr>
          <w:p>
            <w:pPr>
              <w:spacing w:lineRule="exact" w:line="600"/>
              <w:jc w:val="center"/>
            </w:pPr>
            <w:r/>
            <w:r>
              <w:rPr>
                <w:rFonts w:ascii="仿宋_GB2312" w:hAnsi="仿宋_GB2312" w:eastAsia="仿宋_GB2312"/>
                <w:b w:val="0"/>
                <w:color w:val="000000"/>
                <w:sz w:val="32"/>
              </w:rPr>
              <w:t>风电、特大型</w:t>
            </w:r>
          </w:p>
        </w:tc>
        <w:tc>
          <w:tcPr>
            <w:tcW w:type="dxa" w:w="3118"/>
          </w:tcPr>
          <w:p>
            <w:pPr>
              <w:spacing w:lineRule="exact" w:line="600"/>
              <w:jc w:val="center"/>
            </w:pPr>
            <w:r/>
            <w:r>
              <w:rPr>
                <w:rFonts w:ascii="仿宋_GB2312" w:hAnsi="仿宋_GB2312" w:eastAsia="仿宋_GB2312"/>
                <w:b w:val="0"/>
                <w:color w:val="000000"/>
                <w:sz w:val="32"/>
              </w:rPr>
              <w:t>华工填补空白</w:t>
            </w:r>
          </w:p>
        </w:tc>
      </w:tr>
      <w:tr>
        <w:tc>
          <w:tcPr>
            <w:tcW w:type="dxa" w:w="2551"/>
          </w:tcPr>
          <w:p>
            <w:pPr>
              <w:spacing w:lineRule="exact" w:line="600"/>
              <w:jc w:val="center"/>
            </w:pPr>
            <w:r/>
            <w:r>
              <w:rPr>
                <w:rFonts w:ascii="仿宋_GB2312" w:hAnsi="仿宋_GB2312" w:eastAsia="仿宋_GB2312"/>
                <w:b w:val="0"/>
                <w:color w:val="000000"/>
                <w:sz w:val="32"/>
              </w:rPr>
              <w:t>商贸分销</w:t>
            </w:r>
          </w:p>
        </w:tc>
        <w:tc>
          <w:tcPr>
            <w:tcW w:type="dxa" w:w="2835"/>
          </w:tcPr>
          <w:p>
            <w:pPr>
              <w:spacing w:lineRule="exact" w:line="600"/>
              <w:jc w:val="center"/>
            </w:pPr>
            <w:r/>
            <w:r>
              <w:rPr>
                <w:rFonts w:ascii="仿宋_GB2312" w:hAnsi="仿宋_GB2312" w:eastAsia="仿宋_GB2312"/>
                <w:b w:val="0"/>
                <w:color w:val="000000"/>
                <w:sz w:val="32"/>
              </w:rPr>
              <w:t>专业市场+海外仓</w:t>
            </w:r>
          </w:p>
        </w:tc>
        <w:tc>
          <w:tcPr>
            <w:tcW w:type="dxa" w:w="3118"/>
          </w:tcPr>
          <w:p>
            <w:pPr>
              <w:spacing w:lineRule="exact" w:line="600"/>
              <w:jc w:val="center"/>
            </w:pPr>
            <w:r/>
            <w:r>
              <w:rPr>
                <w:rFonts w:ascii="仿宋_GB2312" w:hAnsi="仿宋_GB2312" w:eastAsia="仿宋_GB2312"/>
                <w:b w:val="0"/>
                <w:color w:val="000000"/>
                <w:sz w:val="32"/>
              </w:rPr>
              <w:t>年交易额约300亿</w:t>
            </w:r>
          </w:p>
        </w:tc>
      </w:tr>
      <w:tr>
        <w:tc>
          <w:tcPr>
            <w:tcW w:type="dxa" w:w="2551"/>
          </w:tcPr>
          <w:p>
            <w:pPr>
              <w:spacing w:lineRule="exact" w:line="600"/>
              <w:jc w:val="center"/>
            </w:pPr>
            <w:r/>
            <w:r>
              <w:rPr>
                <w:rFonts w:ascii="仿宋_GB2312" w:hAnsi="仿宋_GB2312" w:eastAsia="仿宋_GB2312"/>
                <w:b w:val="0"/>
                <w:color w:val="000000"/>
                <w:sz w:val="32"/>
              </w:rPr>
              <w:t>配套</w:t>
            </w:r>
          </w:p>
        </w:tc>
        <w:tc>
          <w:tcPr>
            <w:tcW w:type="dxa" w:w="2835"/>
          </w:tcPr>
          <w:p>
            <w:pPr>
              <w:spacing w:lineRule="exact" w:line="600"/>
              <w:jc w:val="center"/>
            </w:pPr>
            <w:r/>
            <w:r>
              <w:rPr>
                <w:rFonts w:ascii="仿宋_GB2312" w:hAnsi="仿宋_GB2312" w:eastAsia="仿宋_GB2312"/>
                <w:b w:val="0"/>
                <w:color w:val="000000"/>
                <w:sz w:val="32"/>
              </w:rPr>
              <w:t>钢管/滚动体/保持器</w:t>
            </w:r>
          </w:p>
        </w:tc>
        <w:tc>
          <w:tcPr>
            <w:tcW w:type="dxa" w:w="3118"/>
          </w:tcPr>
          <w:p>
            <w:pPr>
              <w:spacing w:lineRule="exact" w:line="600"/>
              <w:jc w:val="center"/>
            </w:pPr>
            <w:r/>
            <w:r>
              <w:rPr>
                <w:rFonts w:ascii="仿宋_GB2312" w:hAnsi="仿宋_GB2312" w:eastAsia="仿宋_GB2312"/>
                <w:b w:val="0"/>
                <w:color w:val="000000"/>
                <w:sz w:val="32"/>
              </w:rPr>
              <w:t>三镇6811家</w:t>
            </w:r>
          </w:p>
        </w:tc>
      </w:tr>
    </w:tbl>
    <w:p>
      <w:pPr>
        <w:spacing w:lineRule="exact" w:line="600" w:before="120" w:after="120"/>
        <w:ind w:firstLine="420"/>
        <w:jc w:val="left"/>
      </w:pPr>
      <w:r>
        <w:rPr>
          <w:rFonts w:ascii="楷体_GB2312" w:hAnsi="楷体_GB2312" w:eastAsia="楷体_GB2312"/>
          <w:b w:val="0"/>
          <w:color w:val="000000"/>
          <w:sz w:val="32"/>
        </w:rPr>
        <w:t>全产业链闭环（本批真实数据补充·来源见正文）</w:t>
      </w:r>
    </w:p>
    <w:p>
      <w:pPr>
        <w:spacing w:lineRule="exact" w:line="600" w:before="0" w:after="0"/>
        <w:ind w:firstLine="420"/>
        <w:jc w:val="both"/>
      </w:pPr>
      <w:r>
        <w:rPr>
          <w:rFonts w:ascii="仿宋_GB2312" w:hAnsi="仿宋_GB2312" w:eastAsia="仿宋_GB2312"/>
          <w:b w:val="0"/>
          <w:color w:val="000000"/>
          <w:sz w:val="32"/>
        </w:rPr>
        <w:t>临清轴承已形成从轴承钢、钢管、锻造到车、热处理、研磨、装配、销售一条龙的生产加工销售体系，以及套圈、保持器、滚动体、轴承座等专业化分工明确、配套能力强的产业链条；可生产7000多种型号轴承。建成连城智造小镇、专用特种轴承产业园等九大产业园区，入驻企业500多家。（来源：聊城市工信局2024轴承产业大会、临清市政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内容</w:t>
            </w:r>
          </w:p>
        </w:tc>
        <w:tc>
          <w:tcPr>
            <w:tcW w:type="dxa" w:w="2268"/>
          </w:tcPr>
          <w:p>
            <w:pPr>
              <w:spacing w:lineRule="exact" w:line="600"/>
              <w:jc w:val="center"/>
            </w:pPr>
            <w:r/>
            <w:r>
              <w:rPr>
                <w:rFonts w:ascii="黑体" w:hAnsi="黑体" w:eastAsia="黑体"/>
                <w:b/>
                <w:color w:val="000000"/>
                <w:sz w:val="32"/>
              </w:rPr>
              <w:t>规模</w:t>
            </w:r>
          </w:p>
        </w:tc>
      </w:tr>
      <w:tr>
        <w:tc>
          <w:tcPr>
            <w:tcW w:type="dxa" w:w="2551"/>
          </w:tcPr>
          <w:p>
            <w:pPr>
              <w:spacing w:lineRule="exact" w:line="600"/>
              <w:jc w:val="center"/>
            </w:pPr>
            <w:r/>
            <w:r>
              <w:rPr>
                <w:rFonts w:ascii="仿宋_GB2312" w:hAnsi="仿宋_GB2312" w:eastAsia="仿宋_GB2312"/>
                <w:b w:val="0"/>
                <w:color w:val="000000"/>
                <w:sz w:val="32"/>
              </w:rPr>
              <w:t>专业市场</w:t>
            </w:r>
          </w:p>
        </w:tc>
        <w:tc>
          <w:tcPr>
            <w:tcW w:type="dxa" w:w="3685"/>
          </w:tcPr>
          <w:p>
            <w:pPr>
              <w:spacing w:lineRule="exact" w:line="600"/>
              <w:jc w:val="center"/>
            </w:pPr>
            <w:r/>
            <w:r>
              <w:rPr>
                <w:rFonts w:ascii="仿宋_GB2312" w:hAnsi="仿宋_GB2312" w:eastAsia="仿宋_GB2312"/>
                <w:b w:val="0"/>
                <w:color w:val="000000"/>
                <w:sz w:val="32"/>
              </w:rPr>
              <w:t>中国规模最大、品种最多</w:t>
            </w:r>
          </w:p>
        </w:tc>
        <w:tc>
          <w:tcPr>
            <w:tcW w:type="dxa" w:w="2268"/>
          </w:tcPr>
          <w:p>
            <w:pPr>
              <w:spacing w:lineRule="exact" w:line="600"/>
              <w:jc w:val="center"/>
            </w:pPr>
            <w:r/>
            <w:r>
              <w:rPr>
                <w:rFonts w:ascii="仿宋_GB2312" w:hAnsi="仿宋_GB2312" w:eastAsia="仿宋_GB2312"/>
                <w:b w:val="0"/>
                <w:color w:val="000000"/>
                <w:sz w:val="32"/>
              </w:rPr>
              <w:t>年交易额300亿元</w:t>
            </w:r>
          </w:p>
        </w:tc>
      </w:tr>
      <w:tr>
        <w:tc>
          <w:tcPr>
            <w:tcW w:type="dxa" w:w="2551"/>
          </w:tcPr>
          <w:p>
            <w:pPr>
              <w:spacing w:lineRule="exact" w:line="600"/>
              <w:jc w:val="center"/>
            </w:pPr>
            <w:r/>
            <w:r>
              <w:rPr>
                <w:rFonts w:ascii="仿宋_GB2312" w:hAnsi="仿宋_GB2312" w:eastAsia="仿宋_GB2312"/>
                <w:b w:val="0"/>
                <w:color w:val="000000"/>
                <w:sz w:val="32"/>
              </w:rPr>
              <w:t>产品型号</w:t>
            </w:r>
          </w:p>
        </w:tc>
        <w:tc>
          <w:tcPr>
            <w:tcW w:type="dxa" w:w="3685"/>
          </w:tcPr>
          <w:p>
            <w:pPr>
              <w:spacing w:lineRule="exact" w:line="600"/>
              <w:jc w:val="center"/>
            </w:pPr>
            <w:r/>
            <w:r>
              <w:rPr>
                <w:rFonts w:ascii="仿宋_GB2312" w:hAnsi="仿宋_GB2312" w:eastAsia="仿宋_GB2312"/>
                <w:b w:val="0"/>
                <w:color w:val="000000"/>
                <w:sz w:val="32"/>
              </w:rPr>
              <w:t>7000多种</w:t>
            </w:r>
          </w:p>
        </w:tc>
        <w:tc>
          <w:tcPr>
            <w:tcW w:type="dxa" w:w="2268"/>
          </w:tcPr>
          <w:p>
            <w:pPr>
              <w:spacing w:lineRule="exact" w:line="600"/>
              <w:jc w:val="center"/>
            </w:pPr>
            <w:r/>
            <w:r>
              <w:rPr>
                <w:rFonts w:ascii="仿宋_GB2312" w:hAnsi="仿宋_GB2312" w:eastAsia="仿宋_GB2312"/>
                <w:b w:val="0"/>
                <w:color w:val="000000"/>
                <w:sz w:val="32"/>
              </w:rPr>
              <w:t>覆盖多专用领域</w:t>
            </w:r>
          </w:p>
        </w:tc>
      </w:tr>
      <w:tr>
        <w:tc>
          <w:tcPr>
            <w:tcW w:type="dxa" w:w="2551"/>
          </w:tcPr>
          <w:p>
            <w:pPr>
              <w:spacing w:lineRule="exact" w:line="600"/>
              <w:jc w:val="center"/>
            </w:pPr>
            <w:r/>
            <w:r>
              <w:rPr>
                <w:rFonts w:ascii="仿宋_GB2312" w:hAnsi="仿宋_GB2312" w:eastAsia="仿宋_GB2312"/>
                <w:b w:val="0"/>
                <w:color w:val="000000"/>
                <w:sz w:val="32"/>
              </w:rPr>
              <w:t>产业园区</w:t>
            </w:r>
          </w:p>
        </w:tc>
        <w:tc>
          <w:tcPr>
            <w:tcW w:type="dxa" w:w="3685"/>
          </w:tcPr>
          <w:p>
            <w:pPr>
              <w:spacing w:lineRule="exact" w:line="600"/>
              <w:jc w:val="center"/>
            </w:pPr>
            <w:r/>
            <w:r>
              <w:rPr>
                <w:rFonts w:ascii="仿宋_GB2312" w:hAnsi="仿宋_GB2312" w:eastAsia="仿宋_GB2312"/>
                <w:b w:val="0"/>
                <w:color w:val="000000"/>
                <w:sz w:val="32"/>
              </w:rPr>
              <w:t>九大园区</w:t>
            </w:r>
          </w:p>
        </w:tc>
        <w:tc>
          <w:tcPr>
            <w:tcW w:type="dxa" w:w="2268"/>
          </w:tcPr>
          <w:p>
            <w:pPr>
              <w:spacing w:lineRule="exact" w:line="600"/>
              <w:jc w:val="center"/>
            </w:pPr>
            <w:r/>
            <w:r>
              <w:rPr>
                <w:rFonts w:ascii="仿宋_GB2312" w:hAnsi="仿宋_GB2312" w:eastAsia="仿宋_GB2312"/>
                <w:b w:val="0"/>
                <w:color w:val="000000"/>
                <w:sz w:val="32"/>
              </w:rPr>
              <w:t>入驻500多家</w:t>
            </w:r>
          </w:p>
        </w:tc>
      </w:tr>
      <w:tr>
        <w:tc>
          <w:tcPr>
            <w:tcW w:type="dxa" w:w="2551"/>
          </w:tcPr>
          <w:p>
            <w:pPr>
              <w:spacing w:lineRule="exact" w:line="600"/>
              <w:jc w:val="center"/>
            </w:pPr>
            <w:r/>
            <w:r>
              <w:rPr>
                <w:rFonts w:ascii="仿宋_GB2312" w:hAnsi="仿宋_GB2312" w:eastAsia="仿宋_GB2312"/>
                <w:b w:val="0"/>
                <w:color w:val="000000"/>
                <w:sz w:val="32"/>
              </w:rPr>
              <w:t>数字化</w:t>
            </w:r>
          </w:p>
        </w:tc>
        <w:tc>
          <w:tcPr>
            <w:tcW w:type="dxa" w:w="3685"/>
          </w:tcPr>
          <w:p>
            <w:pPr>
              <w:spacing w:lineRule="exact" w:line="600"/>
              <w:jc w:val="center"/>
            </w:pPr>
            <w:r/>
            <w:r>
              <w:rPr>
                <w:rFonts w:ascii="仿宋_GB2312" w:hAnsi="仿宋_GB2312" w:eastAsia="仿宋_GB2312"/>
                <w:b w:val="0"/>
                <w:color w:val="000000"/>
                <w:sz w:val="32"/>
              </w:rPr>
              <w:t>轴承行业标识解析二级节点</w:t>
            </w:r>
          </w:p>
        </w:tc>
        <w:tc>
          <w:tcPr>
            <w:tcW w:type="dxa" w:w="2268"/>
          </w:tcPr>
          <w:p>
            <w:pPr>
              <w:spacing w:lineRule="exact" w:line="600"/>
              <w:jc w:val="center"/>
            </w:pPr>
            <w:r/>
            <w:r>
              <w:rPr>
                <w:rFonts w:ascii="仿宋_GB2312" w:hAnsi="仿宋_GB2312" w:eastAsia="仿宋_GB2312"/>
                <w:b w:val="0"/>
                <w:color w:val="000000"/>
                <w:sz w:val="32"/>
              </w:rPr>
              <w:t>全国首个</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（一）市场规模与需求</w:t>
      </w:r>
    </w:p>
    <w:p>
      <w:pPr>
        <w:spacing w:lineRule="exact" w:line="600" w:before="0" w:after="0"/>
        <w:ind w:firstLine="420"/>
        <w:jc w:val="both"/>
      </w:pPr>
      <w:r>
        <w:rPr>
          <w:rFonts w:ascii="仿宋_GB2312" w:hAnsi="仿宋_GB2312" w:eastAsia="仿宋_GB2312"/>
          <w:b w:val="0"/>
          <w:color w:val="000000"/>
          <w:sz w:val="32"/>
        </w:rPr>
        <w:t>中国是全球最大轴承消费国，临清贡献约全国1/10的轴承交易额（来源：经济日报）。下游风电、汽车、电机、农机持续放量，其中风电大型化直接拉动大尺寸成品轴承需求——华工3.5亿元风电轴承项目年产2万套、新增产值7亿元（来源：经济日报）。出口方面，临清轴承远销50多个国家和地区、年出口额3.2亿元，宇捷、博特出口额占营收约1/3（来源：聊城日报、经济日报）。</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临清成品轴承长期面临「低端、同质、内卷」，畅销型号常被蜂拥模仿致利润变薄（来源：聊城日报）。破局靠差异化：宇捷专攻调心滚子轴承（2022年市占率全国第一）、博特专攻薄壁轴承（市占率多年第一）。「行业共性研判」：与瑞典SKF、德国舍弗勒、日本NSK等国际巨头相比，临清在高端精密轴承可靠性、寿命上仍有差距，但性价比与交付优势明显。</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现状</w:t>
            </w:r>
          </w:p>
        </w:tc>
        <w:tc>
          <w:tcPr>
            <w:tcW w:type="dxa" w:w="3118"/>
          </w:tcPr>
          <w:p>
            <w:pPr>
              <w:spacing w:lineRule="exact" w:line="600"/>
              <w:jc w:val="center"/>
            </w:pPr>
            <w:r/>
            <w:r>
              <w:rPr>
                <w:rFonts w:ascii="黑体" w:hAnsi="黑体" w:eastAsia="黑体"/>
                <w:b/>
                <w:color w:val="000000"/>
                <w:sz w:val="32"/>
              </w:rPr>
              <w:t>数据/来源</w:t>
            </w:r>
          </w:p>
        </w:tc>
      </w:tr>
      <w:tr>
        <w:tc>
          <w:tcPr>
            <w:tcW w:type="dxa" w:w="2268"/>
          </w:tcPr>
          <w:p>
            <w:pPr>
              <w:spacing w:lineRule="exact" w:line="600"/>
              <w:jc w:val="center"/>
            </w:pPr>
            <w:r/>
            <w:r>
              <w:rPr>
                <w:rFonts w:ascii="仿宋_GB2312" w:hAnsi="仿宋_GB2312" w:eastAsia="仿宋_GB2312"/>
                <w:b w:val="0"/>
                <w:color w:val="000000"/>
                <w:sz w:val="32"/>
              </w:rPr>
              <w:t>全国占比</w:t>
            </w:r>
          </w:p>
        </w:tc>
        <w:tc>
          <w:tcPr>
            <w:tcW w:type="dxa" w:w="3118"/>
          </w:tcPr>
          <w:p>
            <w:pPr>
              <w:spacing w:lineRule="exact" w:line="600"/>
              <w:jc w:val="center"/>
            </w:pPr>
            <w:r/>
            <w:r>
              <w:rPr>
                <w:rFonts w:ascii="仿宋_GB2312" w:hAnsi="仿宋_GB2312" w:eastAsia="仿宋_GB2312"/>
                <w:b w:val="0"/>
                <w:color w:val="000000"/>
                <w:sz w:val="32"/>
              </w:rPr>
              <w:t>交易额约占1/10</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出口</w:t>
            </w:r>
          </w:p>
        </w:tc>
        <w:tc>
          <w:tcPr>
            <w:tcW w:type="dxa" w:w="3118"/>
          </w:tcPr>
          <w:p>
            <w:pPr>
              <w:spacing w:lineRule="exact" w:line="600"/>
              <w:jc w:val="center"/>
            </w:pPr>
            <w:r/>
            <w:r>
              <w:rPr>
                <w:rFonts w:ascii="仿宋_GB2312" w:hAnsi="仿宋_GB2312" w:eastAsia="仿宋_GB2312"/>
                <w:b w:val="0"/>
                <w:color w:val="000000"/>
                <w:sz w:val="32"/>
              </w:rPr>
              <w:t>50多国，3.2亿元/年</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268"/>
          </w:tcPr>
          <w:p>
            <w:pPr>
              <w:spacing w:lineRule="exact" w:line="600"/>
              <w:jc w:val="center"/>
            </w:pPr>
            <w:r/>
            <w:r>
              <w:rPr>
                <w:rFonts w:ascii="仿宋_GB2312" w:hAnsi="仿宋_GB2312" w:eastAsia="仿宋_GB2312"/>
                <w:b w:val="0"/>
                <w:color w:val="000000"/>
                <w:sz w:val="32"/>
              </w:rPr>
              <w:t>龙头市占率</w:t>
            </w:r>
          </w:p>
        </w:tc>
        <w:tc>
          <w:tcPr>
            <w:tcW w:type="dxa" w:w="3118"/>
          </w:tcPr>
          <w:p>
            <w:pPr>
              <w:spacing w:lineRule="exact" w:line="600"/>
              <w:jc w:val="center"/>
            </w:pPr>
            <w:r/>
            <w:r>
              <w:rPr>
                <w:rFonts w:ascii="仿宋_GB2312" w:hAnsi="仿宋_GB2312" w:eastAsia="仿宋_GB2312"/>
                <w:b w:val="0"/>
                <w:color w:val="000000"/>
                <w:sz w:val="32"/>
              </w:rPr>
              <w:t>宇捷调心滚子第一</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268"/>
          </w:tcPr>
          <w:p>
            <w:pPr>
              <w:spacing w:lineRule="exact" w:line="600"/>
              <w:jc w:val="center"/>
            </w:pPr>
            <w:r/>
            <w:r>
              <w:rPr>
                <w:rFonts w:ascii="仿宋_GB2312" w:hAnsi="仿宋_GB2312" w:eastAsia="仿宋_GB2312"/>
                <w:b w:val="0"/>
                <w:color w:val="000000"/>
                <w:sz w:val="32"/>
              </w:rPr>
              <w:t>博特市占率</w:t>
            </w:r>
          </w:p>
        </w:tc>
        <w:tc>
          <w:tcPr>
            <w:tcW w:type="dxa" w:w="3118"/>
          </w:tcPr>
          <w:p>
            <w:pPr>
              <w:spacing w:lineRule="exact" w:line="600"/>
              <w:jc w:val="center"/>
            </w:pPr>
            <w:r/>
            <w:r>
              <w:rPr>
                <w:rFonts w:ascii="仿宋_GB2312" w:hAnsi="仿宋_GB2312" w:eastAsia="仿宋_GB2312"/>
                <w:b w:val="0"/>
                <w:color w:val="000000"/>
                <w:sz w:val="32"/>
              </w:rPr>
              <w:t>薄壁轴承多年第一</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竞争痛点</w:t>
            </w:r>
          </w:p>
        </w:tc>
        <w:tc>
          <w:tcPr>
            <w:tcW w:type="dxa" w:w="3118"/>
          </w:tcPr>
          <w:p>
            <w:pPr>
              <w:spacing w:lineRule="exact" w:line="600"/>
              <w:jc w:val="center"/>
            </w:pPr>
            <w:r/>
            <w:r>
              <w:rPr>
                <w:rFonts w:ascii="仿宋_GB2312" w:hAnsi="仿宋_GB2312" w:eastAsia="仿宋_GB2312"/>
                <w:b w:val="0"/>
                <w:color w:val="000000"/>
                <w:sz w:val="32"/>
              </w:rPr>
              <w:t>同质化内卷</w:t>
            </w:r>
          </w:p>
        </w:tc>
        <w:tc>
          <w:tcPr>
            <w:tcW w:type="dxa" w:w="3118"/>
          </w:tcPr>
          <w:p>
            <w:pPr>
              <w:spacing w:lineRule="exact" w:line="600"/>
              <w:jc w:val="center"/>
            </w:pPr>
            <w:r/>
            <w:r>
              <w:rPr>
                <w:rFonts w:ascii="仿宋_GB2312" w:hAnsi="仿宋_GB2312" w:eastAsia="仿宋_GB2312"/>
                <w:b w:val="0"/>
                <w:color w:val="000000"/>
                <w:sz w:val="32"/>
              </w:rPr>
              <w:t>聊城日报</w:t>
            </w:r>
          </w:p>
        </w:tc>
      </w:tr>
    </w:tbl>
    <w:p>
      <w:pPr>
        <w:spacing w:lineRule="exact" w:line="600" w:before="120" w:after="120"/>
        <w:ind w:firstLine="420"/>
        <w:jc w:val="left"/>
      </w:pPr>
      <w:r>
        <w:rPr>
          <w:rFonts w:ascii="楷体_GB2312" w:hAnsi="楷体_GB2312" w:eastAsia="楷体_GB2312"/>
          <w:b w:val="0"/>
          <w:color w:val="000000"/>
          <w:sz w:val="32"/>
        </w:rPr>
        <w:t>内外贸市场（本批真实数据补充·来源见正文）</w:t>
      </w:r>
    </w:p>
    <w:p>
      <w:pPr>
        <w:spacing w:lineRule="exact" w:line="600" w:before="0" w:after="0"/>
        <w:ind w:firstLine="420"/>
        <w:jc w:val="both"/>
      </w:pPr>
      <w:r>
        <w:rPr>
          <w:rFonts w:ascii="仿宋_GB2312" w:hAnsi="仿宋_GB2312" w:eastAsia="仿宋_GB2312"/>
          <w:b w:val="0"/>
          <w:color w:val="000000"/>
          <w:sz w:val="32"/>
        </w:rPr>
        <w:t>临清拥有中国规模最大、品种最多、规格最全的轴承专业市场，年交易额达300亿元；每天有来自欧美、非洲、东南亚等50余个国家和地区的订单排队生产，2024年一季度轴承行业完成进出口额8578万元。（来源：中新网2024、临清市政府）</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区域</w:t>
            </w:r>
          </w:p>
        </w:tc>
      </w:tr>
      <w:tr>
        <w:tc>
          <w:tcPr>
            <w:tcW w:type="dxa" w:w="3118"/>
          </w:tcPr>
          <w:p>
            <w:pPr>
              <w:spacing w:lineRule="exact" w:line="600"/>
              <w:jc w:val="center"/>
            </w:pPr>
            <w:r/>
            <w:r>
              <w:rPr>
                <w:rFonts w:ascii="仿宋_GB2312" w:hAnsi="仿宋_GB2312" w:eastAsia="仿宋_GB2312"/>
                <w:b w:val="0"/>
                <w:color w:val="000000"/>
                <w:sz w:val="32"/>
              </w:rPr>
              <w:t>专业市场交易额</w:t>
            </w:r>
          </w:p>
        </w:tc>
        <w:tc>
          <w:tcPr>
            <w:tcW w:type="dxa" w:w="2835"/>
          </w:tcPr>
          <w:p>
            <w:pPr>
              <w:spacing w:lineRule="exact" w:line="600"/>
              <w:jc w:val="center"/>
            </w:pPr>
            <w:r/>
            <w:r>
              <w:rPr>
                <w:rFonts w:ascii="仿宋_GB2312" w:hAnsi="仿宋_GB2312" w:eastAsia="仿宋_GB2312"/>
                <w:b w:val="0"/>
                <w:color w:val="000000"/>
                <w:sz w:val="32"/>
              </w:rPr>
              <w:t>300亿元/年</w:t>
            </w:r>
          </w:p>
        </w:tc>
        <w:tc>
          <w:tcPr>
            <w:tcW w:type="dxa" w:w="2551"/>
          </w:tcPr>
          <w:p>
            <w:pPr>
              <w:spacing w:lineRule="exact" w:line="600"/>
              <w:jc w:val="center"/>
            </w:pPr>
            <w:r/>
            <w:r>
              <w:rPr>
                <w:rFonts w:ascii="仿宋_GB2312" w:hAnsi="仿宋_GB2312" w:eastAsia="仿宋_GB2312"/>
                <w:b w:val="0"/>
                <w:color w:val="000000"/>
                <w:sz w:val="32"/>
              </w:rPr>
              <w:t>全国最大</w:t>
            </w:r>
          </w:p>
        </w:tc>
      </w:tr>
      <w:tr>
        <w:tc>
          <w:tcPr>
            <w:tcW w:type="dxa" w:w="3118"/>
          </w:tcPr>
          <w:p>
            <w:pPr>
              <w:spacing w:lineRule="exact" w:line="600"/>
              <w:jc w:val="center"/>
            </w:pPr>
            <w:r/>
            <w:r>
              <w:rPr>
                <w:rFonts w:ascii="仿宋_GB2312" w:hAnsi="仿宋_GB2312" w:eastAsia="仿宋_GB2312"/>
                <w:b w:val="0"/>
                <w:color w:val="000000"/>
                <w:sz w:val="32"/>
              </w:rPr>
              <w:t>出口覆盖</w:t>
            </w:r>
          </w:p>
        </w:tc>
        <w:tc>
          <w:tcPr>
            <w:tcW w:type="dxa" w:w="2835"/>
          </w:tcPr>
          <w:p>
            <w:pPr>
              <w:spacing w:lineRule="exact" w:line="600"/>
              <w:jc w:val="center"/>
            </w:pPr>
            <w:r/>
            <w:r>
              <w:rPr>
                <w:rFonts w:ascii="仿宋_GB2312" w:hAnsi="仿宋_GB2312" w:eastAsia="仿宋_GB2312"/>
                <w:b w:val="0"/>
                <w:color w:val="000000"/>
                <w:sz w:val="32"/>
              </w:rPr>
              <w:t>50余个国家地区</w:t>
            </w:r>
          </w:p>
        </w:tc>
        <w:tc>
          <w:tcPr>
            <w:tcW w:type="dxa" w:w="2551"/>
          </w:tcPr>
          <w:p>
            <w:pPr>
              <w:spacing w:lineRule="exact" w:line="600"/>
              <w:jc w:val="center"/>
            </w:pPr>
            <w:r/>
            <w:r>
              <w:rPr>
                <w:rFonts w:ascii="仿宋_GB2312" w:hAnsi="仿宋_GB2312" w:eastAsia="仿宋_GB2312"/>
                <w:b w:val="0"/>
                <w:color w:val="000000"/>
                <w:sz w:val="32"/>
              </w:rPr>
              <w:t>欧美非东南亚</w:t>
            </w:r>
          </w:p>
        </w:tc>
      </w:tr>
      <w:tr>
        <w:tc>
          <w:tcPr>
            <w:tcW w:type="dxa" w:w="3118"/>
          </w:tcPr>
          <w:p>
            <w:pPr>
              <w:spacing w:lineRule="exact" w:line="600"/>
              <w:jc w:val="center"/>
            </w:pPr>
            <w:r/>
            <w:r>
              <w:rPr>
                <w:rFonts w:ascii="仿宋_GB2312" w:hAnsi="仿宋_GB2312" w:eastAsia="仿宋_GB2312"/>
                <w:b w:val="0"/>
                <w:color w:val="000000"/>
                <w:sz w:val="32"/>
              </w:rPr>
              <w:t>一季度进出口额</w:t>
            </w:r>
          </w:p>
        </w:tc>
        <w:tc>
          <w:tcPr>
            <w:tcW w:type="dxa" w:w="2835"/>
          </w:tcPr>
          <w:p>
            <w:pPr>
              <w:spacing w:lineRule="exact" w:line="600"/>
              <w:jc w:val="center"/>
            </w:pPr>
            <w:r/>
            <w:r>
              <w:rPr>
                <w:rFonts w:ascii="仿宋_GB2312" w:hAnsi="仿宋_GB2312" w:eastAsia="仿宋_GB2312"/>
                <w:b w:val="0"/>
                <w:color w:val="000000"/>
                <w:sz w:val="32"/>
              </w:rPr>
              <w:t>8578万元（2024）</w:t>
            </w:r>
          </w:p>
        </w:tc>
        <w:tc>
          <w:tcPr>
            <w:tcW w:type="dxa" w:w="2551"/>
          </w:tcPr>
          <w:p>
            <w:pPr>
              <w:spacing w:lineRule="exact" w:line="600"/>
              <w:jc w:val="center"/>
            </w:pPr>
            <w:r/>
            <w:r>
              <w:rPr>
                <w:rFonts w:ascii="仿宋_GB2312" w:hAnsi="仿宋_GB2312" w:eastAsia="仿宋_GB2312"/>
                <w:b w:val="0"/>
                <w:color w:val="000000"/>
                <w:sz w:val="32"/>
              </w:rPr>
              <w:t>轴承行业</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（一）企业梯队</w:t>
      </w:r>
    </w:p>
    <w:p>
      <w:pPr>
        <w:spacing w:lineRule="exact" w:line="600" w:before="0" w:after="0"/>
        <w:ind w:firstLine="420"/>
        <w:jc w:val="both"/>
      </w:pPr>
      <w:r>
        <w:rPr>
          <w:rFonts w:ascii="仿宋_GB2312" w:hAnsi="仿宋_GB2312" w:eastAsia="仿宋_GB2312"/>
          <w:b w:val="0"/>
          <w:color w:val="000000"/>
          <w:sz w:val="32"/>
        </w:rPr>
        <w:t>临清轴承企业5100余家，烟店镇2899家、潘庄2606家、唐园1306家（来源：科技日报、临清规划草案）。全镇规上轴承企业47家、高新技术企业44家、国家级专精特新「小巨人」5家、省级专精特新45家（来源：经济日报）。成品制造龙头宇捷、博特、华工均为制造业单项冠军或省级单项冠军。</w:t>
      </w:r>
    </w:p>
    <w:p>
      <w:pPr>
        <w:spacing w:lineRule="exact" w:line="600" w:before="120" w:after="120"/>
        <w:ind w:firstLine="420"/>
        <w:jc w:val="left"/>
      </w:pPr>
      <w:r>
        <w:rPr>
          <w:rFonts w:ascii="楷体_GB2312" w:hAnsi="楷体_GB2312" w:eastAsia="楷体_GB2312"/>
          <w:b w:val="0"/>
          <w:color w:val="000000"/>
          <w:sz w:val="32"/>
        </w:rPr>
        <w:t>（二）园区与平台载体</w:t>
      </w:r>
    </w:p>
    <w:p>
      <w:pPr>
        <w:spacing w:lineRule="exact" w:line="600" w:before="0" w:after="0"/>
        <w:ind w:firstLine="420"/>
        <w:jc w:val="both"/>
      </w:pPr>
      <w:r>
        <w:rPr>
          <w:rFonts w:ascii="仿宋_GB2312" w:hAnsi="仿宋_GB2312" w:eastAsia="仿宋_GB2312"/>
          <w:b w:val="0"/>
          <w:color w:val="000000"/>
          <w:sz w:val="32"/>
        </w:rPr>
        <w:t>烟店连城智造小镇轴承产业园入驻128家企业，统一环评与污水处理；「云轴联」平台与全国首个轴承行业工业互联网标识解析二级节点（注册量50.4万）支撑成品企业数字化（来源：经济日报、临清2023统计公报）。「行业共性研判」：园区化率仍偏低，大量作坊式企业是质量与品牌提升的短板。</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551"/>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轴承企业总数</w:t>
            </w:r>
          </w:p>
        </w:tc>
        <w:tc>
          <w:tcPr>
            <w:tcW w:type="dxa" w:w="2551"/>
          </w:tcPr>
          <w:p>
            <w:pPr>
              <w:spacing w:lineRule="exact" w:line="600"/>
              <w:jc w:val="center"/>
            </w:pPr>
            <w:r/>
            <w:r>
              <w:rPr>
                <w:rFonts w:ascii="仿宋_GB2312" w:hAnsi="仿宋_GB2312" w:eastAsia="仿宋_GB2312"/>
                <w:b w:val="0"/>
                <w:color w:val="000000"/>
                <w:sz w:val="32"/>
              </w:rPr>
              <w:t>5100余家</w:t>
            </w:r>
          </w:p>
        </w:tc>
        <w:tc>
          <w:tcPr>
            <w:tcW w:type="dxa" w:w="3118"/>
          </w:tcPr>
          <w:p>
            <w:pPr>
              <w:spacing w:lineRule="exact" w:line="600"/>
              <w:jc w:val="center"/>
            </w:pPr>
            <w:r/>
            <w:r>
              <w:rPr>
                <w:rFonts w:ascii="仿宋_GB2312" w:hAnsi="仿宋_GB2312" w:eastAsia="仿宋_GB2312"/>
                <w:b w:val="0"/>
                <w:color w:val="000000"/>
                <w:sz w:val="32"/>
              </w:rPr>
              <w:t>科技日报2026</w:t>
            </w:r>
          </w:p>
        </w:tc>
      </w:tr>
      <w:tr>
        <w:tc>
          <w:tcPr>
            <w:tcW w:type="dxa" w:w="2835"/>
          </w:tcPr>
          <w:p>
            <w:pPr>
              <w:spacing w:lineRule="exact" w:line="600"/>
              <w:jc w:val="center"/>
            </w:pPr>
            <w:r/>
            <w:r>
              <w:rPr>
                <w:rFonts w:ascii="仿宋_GB2312" w:hAnsi="仿宋_GB2312" w:eastAsia="仿宋_GB2312"/>
                <w:b w:val="0"/>
                <w:color w:val="000000"/>
                <w:sz w:val="32"/>
              </w:rPr>
              <w:t>烟店企业</w:t>
            </w:r>
          </w:p>
        </w:tc>
        <w:tc>
          <w:tcPr>
            <w:tcW w:type="dxa" w:w="2551"/>
          </w:tcPr>
          <w:p>
            <w:pPr>
              <w:spacing w:lineRule="exact" w:line="600"/>
              <w:jc w:val="center"/>
            </w:pPr>
            <w:r/>
            <w:r>
              <w:rPr>
                <w:rFonts w:ascii="仿宋_GB2312" w:hAnsi="仿宋_GB2312" w:eastAsia="仿宋_GB2312"/>
                <w:b w:val="0"/>
                <w:color w:val="000000"/>
                <w:sz w:val="32"/>
              </w:rPr>
              <w:t>2899家</w:t>
            </w:r>
          </w:p>
        </w:tc>
        <w:tc>
          <w:tcPr>
            <w:tcW w:type="dxa" w:w="3118"/>
          </w:tcPr>
          <w:p>
            <w:pPr>
              <w:spacing w:lineRule="exact" w:line="600"/>
              <w:jc w:val="center"/>
            </w:pPr>
            <w:r/>
            <w:r>
              <w:rPr>
                <w:rFonts w:ascii="仿宋_GB2312" w:hAnsi="仿宋_GB2312" w:eastAsia="仿宋_GB2312"/>
                <w:b w:val="0"/>
                <w:color w:val="000000"/>
                <w:sz w:val="32"/>
              </w:rPr>
              <w:t>临清规划草案</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551"/>
          </w:tcPr>
          <w:p>
            <w:pPr>
              <w:spacing w:lineRule="exact" w:line="600"/>
              <w:jc w:val="center"/>
            </w:pPr>
            <w:r/>
            <w:r>
              <w:rPr>
                <w:rFonts w:ascii="仿宋_GB2312" w:hAnsi="仿宋_GB2312" w:eastAsia="仿宋_GB2312"/>
                <w:b w:val="0"/>
                <w:color w:val="000000"/>
                <w:sz w:val="32"/>
              </w:rPr>
              <w:t>47家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高新技术企业</w:t>
            </w:r>
          </w:p>
        </w:tc>
        <w:tc>
          <w:tcPr>
            <w:tcW w:type="dxa" w:w="2551"/>
          </w:tcPr>
          <w:p>
            <w:pPr>
              <w:spacing w:lineRule="exact" w:line="600"/>
              <w:jc w:val="center"/>
            </w:pPr>
            <w:r/>
            <w:r>
              <w:rPr>
                <w:rFonts w:ascii="仿宋_GB2312" w:hAnsi="仿宋_GB2312" w:eastAsia="仿宋_GB2312"/>
                <w:b w:val="0"/>
                <w:color w:val="000000"/>
                <w:sz w:val="32"/>
              </w:rPr>
              <w:t>44家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小巨人</w:t>
            </w:r>
          </w:p>
        </w:tc>
        <w:tc>
          <w:tcPr>
            <w:tcW w:type="dxa" w:w="2551"/>
          </w:tcPr>
          <w:p>
            <w:pPr>
              <w:spacing w:lineRule="exact" w:line="600"/>
              <w:jc w:val="center"/>
            </w:pPr>
            <w:r/>
            <w:r>
              <w:rPr>
                <w:rFonts w:ascii="仿宋_GB2312" w:hAnsi="仿宋_GB2312" w:eastAsia="仿宋_GB2312"/>
                <w:b w:val="0"/>
                <w:color w:val="000000"/>
                <w:sz w:val="32"/>
              </w:rPr>
              <w:t>5家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产业园入驻</w:t>
            </w:r>
          </w:p>
        </w:tc>
        <w:tc>
          <w:tcPr>
            <w:tcW w:type="dxa" w:w="2551"/>
          </w:tcPr>
          <w:p>
            <w:pPr>
              <w:spacing w:lineRule="exact" w:line="600"/>
              <w:jc w:val="center"/>
            </w:pPr>
            <w:r/>
            <w:r>
              <w:rPr>
                <w:rFonts w:ascii="仿宋_GB2312" w:hAnsi="仿宋_GB2312" w:eastAsia="仿宋_GB2312"/>
                <w:b w:val="0"/>
                <w:color w:val="000000"/>
                <w:sz w:val="32"/>
              </w:rPr>
              <w:t>128家</w:t>
            </w:r>
          </w:p>
        </w:tc>
        <w:tc>
          <w:tcPr>
            <w:tcW w:type="dxa" w:w="3118"/>
          </w:tcPr>
          <w:p>
            <w:pPr>
              <w:spacing w:lineRule="exact" w:line="600"/>
              <w:jc w:val="center"/>
            </w:pPr>
            <w:r/>
            <w:r>
              <w:rPr>
                <w:rFonts w:ascii="仿宋_GB2312" w:hAnsi="仿宋_GB2312" w:eastAsia="仿宋_GB2312"/>
                <w:b w:val="0"/>
                <w:color w:val="000000"/>
                <w:sz w:val="32"/>
              </w:rPr>
              <w:t>经济日报</w:t>
            </w:r>
          </w:p>
        </w:tc>
      </w:tr>
    </w:tbl>
    <w:p>
      <w:pPr>
        <w:spacing w:lineRule="exact" w:line="600" w:before="120" w:after="120"/>
        <w:ind w:firstLine="420"/>
        <w:jc w:val="left"/>
      </w:pPr>
      <w:r>
        <w:rPr>
          <w:rFonts w:ascii="楷体_GB2312" w:hAnsi="楷体_GB2312" w:eastAsia="楷体_GB2312"/>
          <w:b w:val="0"/>
          <w:color w:val="000000"/>
          <w:sz w:val="32"/>
        </w:rPr>
        <w:t>企业梯队与集群荣誉（本批真实数据补充·来源见正文）</w:t>
      </w:r>
    </w:p>
    <w:p>
      <w:pPr>
        <w:spacing w:lineRule="exact" w:line="600" w:before="0" w:after="0"/>
        <w:ind w:firstLine="420"/>
        <w:jc w:val="both"/>
      </w:pPr>
      <w:r>
        <w:rPr>
          <w:rFonts w:ascii="仿宋_GB2312" w:hAnsi="仿宋_GB2312" w:eastAsia="仿宋_GB2312"/>
          <w:b w:val="0"/>
          <w:color w:val="000000"/>
          <w:sz w:val="32"/>
        </w:rPr>
        <w:t>临清三镇拥有轴承相关企业6811家（烟店2899、潘庄2606、唐园1306），其中规上轴承生产企业逾百家、年产值200亿元。拥有国家级专精特新“小巨人”企业7家、省级专精特新82家、省级瞪羚4家、省制造业单项冠军10家，轴承产业入选国家中小企业特色产业集群、山东省特色产业集群。（来源：临清市政府、聊城市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主体类型</w:t>
            </w:r>
          </w:p>
        </w:tc>
        <w:tc>
          <w:tcPr>
            <w:tcW w:type="dxa" w:w="2835"/>
          </w:tcPr>
          <w:p>
            <w:pPr>
              <w:spacing w:lineRule="exact" w:line="600"/>
              <w:jc w:val="center"/>
            </w:pPr>
            <w:r/>
            <w:r>
              <w:rPr>
                <w:rFonts w:ascii="黑体" w:hAnsi="黑体" w:eastAsia="黑体"/>
                <w:b/>
                <w:color w:val="000000"/>
                <w:sz w:val="32"/>
              </w:rPr>
              <w:t>数量</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轴承相关企业</w:t>
            </w:r>
          </w:p>
        </w:tc>
        <w:tc>
          <w:tcPr>
            <w:tcW w:type="dxa" w:w="2835"/>
          </w:tcPr>
          <w:p>
            <w:pPr>
              <w:spacing w:lineRule="exact" w:line="600"/>
              <w:jc w:val="center"/>
            </w:pPr>
            <w:r/>
            <w:r>
              <w:rPr>
                <w:rFonts w:ascii="仿宋_GB2312" w:hAnsi="仿宋_GB2312" w:eastAsia="仿宋_GB2312"/>
                <w:b w:val="0"/>
                <w:color w:val="000000"/>
                <w:sz w:val="32"/>
              </w:rPr>
              <w:t>6811家</w:t>
            </w:r>
          </w:p>
        </w:tc>
        <w:tc>
          <w:tcPr>
            <w:tcW w:type="dxa" w:w="2551"/>
          </w:tcPr>
          <w:p>
            <w:pPr>
              <w:spacing w:lineRule="exact" w:line="600"/>
              <w:jc w:val="center"/>
            </w:pPr>
            <w:r/>
            <w:r>
              <w:rPr>
                <w:rFonts w:ascii="仿宋_GB2312" w:hAnsi="仿宋_GB2312" w:eastAsia="仿宋_GB2312"/>
                <w:b w:val="0"/>
                <w:color w:val="000000"/>
                <w:sz w:val="32"/>
              </w:rPr>
              <w:t>三镇合计</w:t>
            </w:r>
          </w:p>
        </w:tc>
      </w:tr>
      <w:tr>
        <w:tc>
          <w:tcPr>
            <w:tcW w:type="dxa" w:w="3118"/>
          </w:tcPr>
          <w:p>
            <w:pPr>
              <w:spacing w:lineRule="exact" w:line="600"/>
              <w:jc w:val="center"/>
            </w:pPr>
            <w:r/>
            <w:r>
              <w:rPr>
                <w:rFonts w:ascii="仿宋_GB2312" w:hAnsi="仿宋_GB2312" w:eastAsia="仿宋_GB2312"/>
                <w:b w:val="0"/>
                <w:color w:val="000000"/>
                <w:sz w:val="32"/>
              </w:rPr>
              <w:t>规上生产企业</w:t>
            </w:r>
          </w:p>
        </w:tc>
        <w:tc>
          <w:tcPr>
            <w:tcW w:type="dxa" w:w="2835"/>
          </w:tcPr>
          <w:p>
            <w:pPr>
              <w:spacing w:lineRule="exact" w:line="600"/>
              <w:jc w:val="center"/>
            </w:pPr>
            <w:r/>
            <w:r>
              <w:rPr>
                <w:rFonts w:ascii="仿宋_GB2312" w:hAnsi="仿宋_GB2312" w:eastAsia="仿宋_GB2312"/>
                <w:b w:val="0"/>
                <w:color w:val="000000"/>
                <w:sz w:val="32"/>
              </w:rPr>
              <w:t>逾百家</w:t>
            </w:r>
          </w:p>
        </w:tc>
        <w:tc>
          <w:tcPr>
            <w:tcW w:type="dxa" w:w="2551"/>
          </w:tcPr>
          <w:p>
            <w:pPr>
              <w:spacing w:lineRule="exact" w:line="600"/>
              <w:jc w:val="center"/>
            </w:pPr>
            <w:r/>
            <w:r>
              <w:rPr>
                <w:rFonts w:ascii="仿宋_GB2312" w:hAnsi="仿宋_GB2312" w:eastAsia="仿宋_GB2312"/>
                <w:b w:val="0"/>
                <w:color w:val="000000"/>
                <w:sz w:val="32"/>
              </w:rPr>
              <w:t>年产值200亿元</w:t>
            </w:r>
          </w:p>
        </w:tc>
      </w:tr>
      <w:tr>
        <w:tc>
          <w:tcPr>
            <w:tcW w:type="dxa" w:w="3118"/>
          </w:tcPr>
          <w:p>
            <w:pPr>
              <w:spacing w:lineRule="exact" w:line="600"/>
              <w:jc w:val="center"/>
            </w:pPr>
            <w:r/>
            <w:r>
              <w:rPr>
                <w:rFonts w:ascii="仿宋_GB2312" w:hAnsi="仿宋_GB2312" w:eastAsia="仿宋_GB2312"/>
                <w:b w:val="0"/>
                <w:color w:val="000000"/>
                <w:sz w:val="32"/>
              </w:rPr>
              <w:t>国家级小巨人</w:t>
            </w:r>
          </w:p>
        </w:tc>
        <w:tc>
          <w:tcPr>
            <w:tcW w:type="dxa" w:w="2835"/>
          </w:tcPr>
          <w:p>
            <w:pPr>
              <w:spacing w:lineRule="exact" w:line="600"/>
              <w:jc w:val="center"/>
            </w:pPr>
            <w:r/>
            <w:r>
              <w:rPr>
                <w:rFonts w:ascii="仿宋_GB2312" w:hAnsi="仿宋_GB2312" w:eastAsia="仿宋_GB2312"/>
                <w:b w:val="0"/>
                <w:color w:val="000000"/>
                <w:sz w:val="32"/>
              </w:rPr>
              <w:t>7家</w:t>
            </w:r>
          </w:p>
        </w:tc>
        <w:tc>
          <w:tcPr>
            <w:tcW w:type="dxa" w:w="2551"/>
          </w:tcPr>
          <w:p>
            <w:pPr>
              <w:spacing w:lineRule="exact" w:line="600"/>
              <w:jc w:val="center"/>
            </w:pPr>
            <w:r/>
            <w:r>
              <w:rPr>
                <w:rFonts w:ascii="仿宋_GB2312" w:hAnsi="仿宋_GB2312" w:eastAsia="仿宋_GB2312"/>
                <w:b w:val="0"/>
                <w:color w:val="000000"/>
                <w:sz w:val="32"/>
              </w:rPr>
              <w:t>国家级</w:t>
            </w:r>
          </w:p>
        </w:tc>
      </w:tr>
      <w:tr>
        <w:tc>
          <w:tcPr>
            <w:tcW w:type="dxa" w:w="3118"/>
          </w:tcPr>
          <w:p>
            <w:pPr>
              <w:spacing w:lineRule="exact" w:line="600"/>
              <w:jc w:val="center"/>
            </w:pPr>
            <w:r/>
            <w:r>
              <w:rPr>
                <w:rFonts w:ascii="仿宋_GB2312" w:hAnsi="仿宋_GB2312" w:eastAsia="仿宋_GB2312"/>
                <w:b w:val="0"/>
                <w:color w:val="000000"/>
                <w:sz w:val="32"/>
              </w:rPr>
              <w:t>省级专精特新</w:t>
            </w:r>
          </w:p>
        </w:tc>
        <w:tc>
          <w:tcPr>
            <w:tcW w:type="dxa" w:w="2835"/>
          </w:tcPr>
          <w:p>
            <w:pPr>
              <w:spacing w:lineRule="exact" w:line="600"/>
              <w:jc w:val="center"/>
            </w:pPr>
            <w:r/>
            <w:r>
              <w:rPr>
                <w:rFonts w:ascii="仿宋_GB2312" w:hAnsi="仿宋_GB2312" w:eastAsia="仿宋_GB2312"/>
                <w:b w:val="0"/>
                <w:color w:val="000000"/>
                <w:sz w:val="32"/>
              </w:rPr>
              <w:t>82家</w:t>
            </w:r>
          </w:p>
        </w:tc>
        <w:tc>
          <w:tcPr>
            <w:tcW w:type="dxa" w:w="2551"/>
          </w:tcPr>
          <w:p>
            <w:pPr>
              <w:spacing w:lineRule="exact" w:line="600"/>
              <w:jc w:val="center"/>
            </w:pPr>
            <w:r/>
            <w:r>
              <w:rPr>
                <w:rFonts w:ascii="仿宋_GB2312" w:hAnsi="仿宋_GB2312" w:eastAsia="仿宋_GB2312"/>
                <w:b w:val="0"/>
                <w:color w:val="000000"/>
                <w:sz w:val="32"/>
              </w:rPr>
              <w:t>省级</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（一）精密制造能力</w:t>
      </w:r>
    </w:p>
    <w:p>
      <w:pPr>
        <w:spacing w:lineRule="exact" w:line="600" w:before="0" w:after="0"/>
        <w:ind w:firstLine="420"/>
        <w:jc w:val="both"/>
      </w:pPr>
      <w:r>
        <w:rPr>
          <w:rFonts w:ascii="仿宋_GB2312" w:hAnsi="仿宋_GB2312" w:eastAsia="仿宋_GB2312"/>
          <w:b w:val="0"/>
          <w:color w:val="000000"/>
          <w:sz w:val="32"/>
        </w:rPr>
        <w:t>宇捷轴承精度可达头发丝的1/20，与河南科技大学、山东大学合作开发调心滚子轴承柔性智能生产线，采用数字孪生技术（来源：科技日报）。博特为新松机器人定制高端精密薄壁特种轴承，精度达头发丝直径二十分之一，打破国外垄断（来源：经济日报）。华工热处理设备国内领先，可制造外径1.25—1.5米特大型轴承（来源：经济日报）。</w:t>
      </w:r>
    </w:p>
    <w:p>
      <w:pPr>
        <w:spacing w:lineRule="exact" w:line="600" w:before="120" w:after="120"/>
        <w:ind w:firstLine="420"/>
        <w:jc w:val="left"/>
      </w:pPr>
      <w:r>
        <w:rPr>
          <w:rFonts w:ascii="楷体_GB2312" w:hAnsi="楷体_GB2312" w:eastAsia="楷体_GB2312"/>
          <w:b w:val="0"/>
          <w:color w:val="000000"/>
          <w:sz w:val="32"/>
        </w:rPr>
        <w:t>（二）数字化转型成效</w:t>
      </w:r>
    </w:p>
    <w:p>
      <w:pPr>
        <w:spacing w:lineRule="exact" w:line="600" w:before="0" w:after="0"/>
        <w:ind w:firstLine="420"/>
        <w:jc w:val="both"/>
      </w:pPr>
      <w:r>
        <w:rPr>
          <w:rFonts w:ascii="仿宋_GB2312" w:hAnsi="仿宋_GB2312" w:eastAsia="仿宋_GB2312"/>
          <w:b w:val="0"/>
          <w:color w:val="000000"/>
          <w:sz w:val="32"/>
        </w:rPr>
        <w:t>宇捷智能化改造后，磨削精度提高20%、次品率下降20%、产品一次合格率达99.95%、换型时间由数天压缩至4小时、运营成本降低35%、能耗下降25%（来源：聊城日报）。全镇规上企业数控装备应用率超95%，晨星工厂43家（来源：经济日报）。「行业共性研判」：数字孪生与柔性线是成品制造迈向高端的关键路径。</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技术指标</w:t>
            </w:r>
          </w:p>
        </w:tc>
        <w:tc>
          <w:tcPr>
            <w:tcW w:type="dxa" w:w="2551"/>
          </w:tcPr>
          <w:p>
            <w:pPr>
              <w:spacing w:lineRule="exact" w:line="600"/>
              <w:jc w:val="center"/>
            </w:pPr>
            <w:r/>
            <w:r>
              <w:rPr>
                <w:rFonts w:ascii="黑体" w:hAnsi="黑体" w:eastAsia="黑体"/>
                <w:b/>
                <w:color w:val="000000"/>
                <w:sz w:val="32"/>
              </w:rPr>
              <w:t>成效</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加工精度</w:t>
            </w:r>
          </w:p>
        </w:tc>
        <w:tc>
          <w:tcPr>
            <w:tcW w:type="dxa" w:w="2551"/>
          </w:tcPr>
          <w:p>
            <w:pPr>
              <w:spacing w:lineRule="exact" w:line="600"/>
              <w:jc w:val="center"/>
            </w:pPr>
            <w:r/>
            <w:r>
              <w:rPr>
                <w:rFonts w:ascii="仿宋_GB2312" w:hAnsi="仿宋_GB2312" w:eastAsia="仿宋_GB2312"/>
                <w:b w:val="0"/>
                <w:color w:val="000000"/>
                <w:sz w:val="32"/>
              </w:rPr>
              <w:t>头发丝1/20</w:t>
            </w:r>
          </w:p>
        </w:tc>
        <w:tc>
          <w:tcPr>
            <w:tcW w:type="dxa" w:w="3118"/>
          </w:tcPr>
          <w:p>
            <w:pPr>
              <w:spacing w:lineRule="exact" w:line="600"/>
              <w:jc w:val="center"/>
            </w:pPr>
            <w:r/>
            <w:r>
              <w:rPr>
                <w:rFonts w:ascii="仿宋_GB2312" w:hAnsi="仿宋_GB2312" w:eastAsia="仿宋_GB2312"/>
                <w:b w:val="0"/>
                <w:color w:val="000000"/>
                <w:sz w:val="32"/>
              </w:rPr>
              <w:t>科技日报</w:t>
            </w:r>
          </w:p>
        </w:tc>
      </w:tr>
      <w:tr>
        <w:tc>
          <w:tcPr>
            <w:tcW w:type="dxa" w:w="2835"/>
          </w:tcPr>
          <w:p>
            <w:pPr>
              <w:spacing w:lineRule="exact" w:line="600"/>
              <w:jc w:val="center"/>
            </w:pPr>
            <w:r/>
            <w:r>
              <w:rPr>
                <w:rFonts w:ascii="仿宋_GB2312" w:hAnsi="仿宋_GB2312" w:eastAsia="仿宋_GB2312"/>
                <w:b w:val="0"/>
                <w:color w:val="000000"/>
                <w:sz w:val="32"/>
              </w:rPr>
              <w:t>一次合格率</w:t>
            </w:r>
          </w:p>
        </w:tc>
        <w:tc>
          <w:tcPr>
            <w:tcW w:type="dxa" w:w="2551"/>
          </w:tcPr>
          <w:p>
            <w:pPr>
              <w:spacing w:lineRule="exact" w:line="600"/>
              <w:jc w:val="center"/>
            </w:pPr>
            <w:r/>
            <w:r>
              <w:rPr>
                <w:rFonts w:ascii="仿宋_GB2312" w:hAnsi="仿宋_GB2312" w:eastAsia="仿宋_GB2312"/>
                <w:b w:val="0"/>
                <w:color w:val="000000"/>
                <w:sz w:val="32"/>
              </w:rPr>
              <w:t>99.95%</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835"/>
          </w:tcPr>
          <w:p>
            <w:pPr>
              <w:spacing w:lineRule="exact" w:line="600"/>
              <w:jc w:val="center"/>
            </w:pPr>
            <w:r/>
            <w:r>
              <w:rPr>
                <w:rFonts w:ascii="仿宋_GB2312" w:hAnsi="仿宋_GB2312" w:eastAsia="仿宋_GB2312"/>
                <w:b w:val="0"/>
                <w:color w:val="000000"/>
                <w:sz w:val="32"/>
              </w:rPr>
              <w:t>磨削精度提升</w:t>
            </w:r>
          </w:p>
        </w:tc>
        <w:tc>
          <w:tcPr>
            <w:tcW w:type="dxa" w:w="2551"/>
          </w:tcPr>
          <w:p>
            <w:pPr>
              <w:spacing w:lineRule="exact" w:line="600"/>
              <w:jc w:val="center"/>
            </w:pPr>
            <w:r/>
            <w:r>
              <w:rPr>
                <w:rFonts w:ascii="仿宋_GB2312" w:hAnsi="仿宋_GB2312" w:eastAsia="仿宋_GB2312"/>
                <w:b w:val="0"/>
                <w:color w:val="000000"/>
                <w:sz w:val="32"/>
              </w:rPr>
              <w:t>20%</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835"/>
          </w:tcPr>
          <w:p>
            <w:pPr>
              <w:spacing w:lineRule="exact" w:line="600"/>
              <w:jc w:val="center"/>
            </w:pPr>
            <w:r/>
            <w:r>
              <w:rPr>
                <w:rFonts w:ascii="仿宋_GB2312" w:hAnsi="仿宋_GB2312" w:eastAsia="仿宋_GB2312"/>
                <w:b w:val="0"/>
                <w:color w:val="000000"/>
                <w:sz w:val="32"/>
              </w:rPr>
              <w:t>运营成本降低</w:t>
            </w:r>
          </w:p>
        </w:tc>
        <w:tc>
          <w:tcPr>
            <w:tcW w:type="dxa" w:w="2551"/>
          </w:tcPr>
          <w:p>
            <w:pPr>
              <w:spacing w:lineRule="exact" w:line="600"/>
              <w:jc w:val="center"/>
            </w:pPr>
            <w:r/>
            <w:r>
              <w:rPr>
                <w:rFonts w:ascii="仿宋_GB2312" w:hAnsi="仿宋_GB2312" w:eastAsia="仿宋_GB2312"/>
                <w:b w:val="0"/>
                <w:color w:val="000000"/>
                <w:sz w:val="32"/>
              </w:rPr>
              <w:t>35%</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835"/>
          </w:tcPr>
          <w:p>
            <w:pPr>
              <w:spacing w:lineRule="exact" w:line="600"/>
              <w:jc w:val="center"/>
            </w:pPr>
            <w:r/>
            <w:r>
              <w:rPr>
                <w:rFonts w:ascii="仿宋_GB2312" w:hAnsi="仿宋_GB2312" w:eastAsia="仿宋_GB2312"/>
                <w:b w:val="0"/>
                <w:color w:val="000000"/>
                <w:sz w:val="32"/>
              </w:rPr>
              <w:t>能耗下降</w:t>
            </w:r>
          </w:p>
        </w:tc>
        <w:tc>
          <w:tcPr>
            <w:tcW w:type="dxa" w:w="2551"/>
          </w:tcPr>
          <w:p>
            <w:pPr>
              <w:spacing w:lineRule="exact" w:line="600"/>
              <w:jc w:val="center"/>
            </w:pPr>
            <w:r/>
            <w:r>
              <w:rPr>
                <w:rFonts w:ascii="仿宋_GB2312" w:hAnsi="仿宋_GB2312" w:eastAsia="仿宋_GB2312"/>
                <w:b w:val="0"/>
                <w:color w:val="000000"/>
                <w:sz w:val="32"/>
              </w:rPr>
              <w:t>25%</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835"/>
          </w:tcPr>
          <w:p>
            <w:pPr>
              <w:spacing w:lineRule="exact" w:line="600"/>
              <w:jc w:val="center"/>
            </w:pPr>
            <w:r/>
            <w:r>
              <w:rPr>
                <w:rFonts w:ascii="仿宋_GB2312" w:hAnsi="仿宋_GB2312" w:eastAsia="仿宋_GB2312"/>
                <w:b w:val="0"/>
                <w:color w:val="000000"/>
                <w:sz w:val="32"/>
              </w:rPr>
              <w:t>数控应用率</w:t>
            </w:r>
          </w:p>
        </w:tc>
        <w:tc>
          <w:tcPr>
            <w:tcW w:type="dxa" w:w="2551"/>
          </w:tcPr>
          <w:p>
            <w:pPr>
              <w:spacing w:lineRule="exact" w:line="600"/>
              <w:jc w:val="center"/>
            </w:pPr>
            <w:r/>
            <w:r>
              <w:rPr>
                <w:rFonts w:ascii="仿宋_GB2312" w:hAnsi="仿宋_GB2312" w:eastAsia="仿宋_GB2312"/>
                <w:b w:val="0"/>
                <w:color w:val="000000"/>
                <w:sz w:val="32"/>
              </w:rPr>
              <w:t>规上超95%</w:t>
            </w:r>
          </w:p>
        </w:tc>
        <w:tc>
          <w:tcPr>
            <w:tcW w:type="dxa" w:w="3118"/>
          </w:tcPr>
          <w:p>
            <w:pPr>
              <w:spacing w:lineRule="exact" w:line="600"/>
              <w:jc w:val="center"/>
            </w:pPr>
            <w:r/>
            <w:r>
              <w:rPr>
                <w:rFonts w:ascii="仿宋_GB2312" w:hAnsi="仿宋_GB2312" w:eastAsia="仿宋_GB2312"/>
                <w:b w:val="0"/>
                <w:color w:val="000000"/>
                <w:sz w:val="32"/>
              </w:rPr>
              <w:t>经济日报</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（一）盈利与成本</w:t>
      </w:r>
    </w:p>
    <w:p>
      <w:pPr>
        <w:spacing w:lineRule="exact" w:line="600" w:before="0" w:after="0"/>
        <w:ind w:firstLine="420"/>
        <w:jc w:val="both"/>
      </w:pPr>
      <w:r>
        <w:rPr>
          <w:rFonts w:ascii="仿宋_GB2312" w:hAnsi="仿宋_GB2312" w:eastAsia="仿宋_GB2312"/>
          <w:b w:val="0"/>
          <w:color w:val="000000"/>
          <w:sz w:val="32"/>
        </w:rPr>
        <w:t>宇捷2024年轴承销售收入1.5亿元，外贸与国内销售分别增长20%、15%；2021年销售收入1.44亿元、利润705万元、税收501万元（来源：聊城日报、轴承协会）。成本以特钢原材料与能源为主，价格波动直接影响利润。「行业共性研判」：低端通用件毛利率低，高端专用件（风电、薄壁、机器人配套）毛利率显著更高，是盈利分化主因。</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环保方面，2018年关停314家「小散乱污」，倒逼入园升级（来源：经济日报）；用地上通过连城智造小镇解决；物流上鲁西国际陆港2022年开通降低出口成本（来源：经济日报）；用工上近10万从业者保障人力（来源：经济日报）。「行业共性研判」：高技能磨工、热处理工程师、数字化人才是要素短板。</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118"/>
          </w:tcPr>
          <w:p>
            <w:pPr>
              <w:spacing w:lineRule="exact" w:line="600"/>
              <w:jc w:val="center"/>
            </w:pPr>
            <w:r/>
            <w:r>
              <w:rPr>
                <w:rFonts w:ascii="黑体" w:hAnsi="黑体" w:eastAsia="黑体"/>
                <w:b/>
                <w:color w:val="000000"/>
                <w:sz w:val="32"/>
              </w:rPr>
              <w:t>现状</w:t>
            </w:r>
          </w:p>
        </w:tc>
        <w:tc>
          <w:tcPr>
            <w:tcW w:type="dxa" w:w="3118"/>
          </w:tcPr>
          <w:p>
            <w:pPr>
              <w:spacing w:lineRule="exact" w:line="600"/>
              <w:jc w:val="center"/>
            </w:pPr>
            <w:r/>
            <w:r>
              <w:rPr>
                <w:rFonts w:ascii="黑体" w:hAnsi="黑体" w:eastAsia="黑体"/>
                <w:b/>
                <w:color w:val="000000"/>
                <w:sz w:val="32"/>
              </w:rPr>
              <w:t>来源/研判</w:t>
            </w:r>
          </w:p>
        </w:tc>
      </w:tr>
      <w:tr>
        <w:tc>
          <w:tcPr>
            <w:tcW w:type="dxa" w:w="2268"/>
          </w:tcPr>
          <w:p>
            <w:pPr>
              <w:spacing w:lineRule="exact" w:line="600"/>
              <w:jc w:val="center"/>
            </w:pPr>
            <w:r/>
            <w:r>
              <w:rPr>
                <w:rFonts w:ascii="仿宋_GB2312" w:hAnsi="仿宋_GB2312" w:eastAsia="仿宋_GB2312"/>
                <w:b w:val="0"/>
                <w:color w:val="000000"/>
                <w:sz w:val="32"/>
              </w:rPr>
              <w:t>原材料成本</w:t>
            </w:r>
          </w:p>
        </w:tc>
        <w:tc>
          <w:tcPr>
            <w:tcW w:type="dxa" w:w="3118"/>
          </w:tcPr>
          <w:p>
            <w:pPr>
              <w:spacing w:lineRule="exact" w:line="600"/>
              <w:jc w:val="center"/>
            </w:pPr>
            <w:r/>
            <w:r>
              <w:rPr>
                <w:rFonts w:ascii="仿宋_GB2312" w:hAnsi="仿宋_GB2312" w:eastAsia="仿宋_GB2312"/>
                <w:b w:val="0"/>
                <w:color w:val="000000"/>
                <w:sz w:val="32"/>
              </w:rPr>
              <w:t>特钢为主，波动大</w:t>
            </w:r>
          </w:p>
        </w:tc>
        <w:tc>
          <w:tcPr>
            <w:tcW w:type="dxa" w:w="3118"/>
          </w:tcPr>
          <w:p>
            <w:pPr>
              <w:spacing w:lineRule="exact" w:line="600"/>
              <w:jc w:val="center"/>
            </w:pPr>
            <w:r/>
            <w:r>
              <w:rPr>
                <w:rFonts w:ascii="仿宋_GB2312" w:hAnsi="仿宋_GB2312" w:eastAsia="仿宋_GB2312"/>
                <w:b w:val="0"/>
                <w:color w:val="000000"/>
                <w:sz w:val="32"/>
              </w:rPr>
              <w:t>行业研判</w:t>
            </w:r>
          </w:p>
        </w:tc>
      </w:tr>
      <w:tr>
        <w:tc>
          <w:tcPr>
            <w:tcW w:type="dxa" w:w="2268"/>
          </w:tcPr>
          <w:p>
            <w:pPr>
              <w:spacing w:lineRule="exact" w:line="600"/>
              <w:jc w:val="center"/>
            </w:pPr>
            <w:r/>
            <w:r>
              <w:rPr>
                <w:rFonts w:ascii="仿宋_GB2312" w:hAnsi="仿宋_GB2312" w:eastAsia="仿宋_GB2312"/>
                <w:b w:val="0"/>
                <w:color w:val="000000"/>
                <w:sz w:val="32"/>
              </w:rPr>
              <w:t>环保</w:t>
            </w:r>
          </w:p>
        </w:tc>
        <w:tc>
          <w:tcPr>
            <w:tcW w:type="dxa" w:w="3118"/>
          </w:tcPr>
          <w:p>
            <w:pPr>
              <w:spacing w:lineRule="exact" w:line="600"/>
              <w:jc w:val="center"/>
            </w:pPr>
            <w:r/>
            <w:r>
              <w:rPr>
                <w:rFonts w:ascii="仿宋_GB2312" w:hAnsi="仿宋_GB2312" w:eastAsia="仿宋_GB2312"/>
                <w:b w:val="0"/>
                <w:color w:val="000000"/>
                <w:sz w:val="32"/>
              </w:rPr>
              <w:t>入园改造</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物流</w:t>
            </w:r>
          </w:p>
        </w:tc>
        <w:tc>
          <w:tcPr>
            <w:tcW w:type="dxa" w:w="3118"/>
          </w:tcPr>
          <w:p>
            <w:pPr>
              <w:spacing w:lineRule="exact" w:line="600"/>
              <w:jc w:val="center"/>
            </w:pPr>
            <w:r/>
            <w:r>
              <w:rPr>
                <w:rFonts w:ascii="仿宋_GB2312" w:hAnsi="仿宋_GB2312" w:eastAsia="仿宋_GB2312"/>
                <w:b w:val="0"/>
                <w:color w:val="000000"/>
                <w:sz w:val="32"/>
              </w:rPr>
              <w:t>鲁西国际陆港</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用工</w:t>
            </w:r>
          </w:p>
        </w:tc>
        <w:tc>
          <w:tcPr>
            <w:tcW w:type="dxa" w:w="3118"/>
          </w:tcPr>
          <w:p>
            <w:pPr>
              <w:spacing w:lineRule="exact" w:line="600"/>
              <w:jc w:val="center"/>
            </w:pPr>
            <w:r/>
            <w:r>
              <w:rPr>
                <w:rFonts w:ascii="仿宋_GB2312" w:hAnsi="仿宋_GB2312" w:eastAsia="仿宋_GB2312"/>
                <w:b w:val="0"/>
                <w:color w:val="000000"/>
                <w:sz w:val="32"/>
              </w:rPr>
              <w:t>近10万从业者</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人才</w:t>
            </w:r>
          </w:p>
        </w:tc>
        <w:tc>
          <w:tcPr>
            <w:tcW w:type="dxa" w:w="3118"/>
          </w:tcPr>
          <w:p>
            <w:pPr>
              <w:spacing w:lineRule="exact" w:line="600"/>
              <w:jc w:val="center"/>
            </w:pPr>
            <w:r/>
            <w:r>
              <w:rPr>
                <w:rFonts w:ascii="仿宋_GB2312" w:hAnsi="仿宋_GB2312" w:eastAsia="仿宋_GB2312"/>
                <w:b w:val="0"/>
                <w:color w:val="000000"/>
                <w:sz w:val="32"/>
              </w:rPr>
              <w:t>高技能短缺</w:t>
            </w:r>
          </w:p>
        </w:tc>
        <w:tc>
          <w:tcPr>
            <w:tcW w:type="dxa" w:w="3118"/>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楷体_GB2312" w:hAnsi="楷体_GB2312" w:eastAsia="楷体_GB2312"/>
          <w:b w:val="0"/>
          <w:color w:val="000000"/>
          <w:sz w:val="32"/>
        </w:rPr>
        <w:t>数字化转型降本（本批真实数据补充·来源见正文）</w:t>
      </w:r>
    </w:p>
    <w:p>
      <w:pPr>
        <w:spacing w:lineRule="exact" w:line="600" w:before="0" w:after="0"/>
        <w:ind w:firstLine="420"/>
        <w:jc w:val="both"/>
      </w:pPr>
      <w:r>
        <w:rPr>
          <w:rFonts w:ascii="仿宋_GB2312" w:hAnsi="仿宋_GB2312" w:eastAsia="仿宋_GB2312"/>
          <w:b w:val="0"/>
          <w:color w:val="000000"/>
          <w:sz w:val="32"/>
        </w:rPr>
        <w:t>临清轴承行业上云企业400余家、上云设备5000余台套；建成全国首个轴承行业标识解析二级节点，数字化转型服务平台“云轴联”获授全省第一个“全国一体化大数据中心山东专用设备（轴承）行业云中心”；9家轴承企业获评全省数字经济“晨星工厂”。（来源：聊城市工信局2024轴承产业大会）</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地位</w:t>
            </w:r>
          </w:p>
        </w:tc>
      </w:tr>
      <w:tr>
        <w:tc>
          <w:tcPr>
            <w:tcW w:type="dxa" w:w="3118"/>
          </w:tcPr>
          <w:p>
            <w:pPr>
              <w:spacing w:lineRule="exact" w:line="600"/>
              <w:jc w:val="center"/>
            </w:pPr>
            <w:r/>
            <w:r>
              <w:rPr>
                <w:rFonts w:ascii="仿宋_GB2312" w:hAnsi="仿宋_GB2312" w:eastAsia="仿宋_GB2312"/>
                <w:b w:val="0"/>
                <w:color w:val="000000"/>
                <w:sz w:val="32"/>
              </w:rPr>
              <w:t>上云企业</w:t>
            </w:r>
          </w:p>
        </w:tc>
        <w:tc>
          <w:tcPr>
            <w:tcW w:type="dxa" w:w="2835"/>
          </w:tcPr>
          <w:p>
            <w:pPr>
              <w:spacing w:lineRule="exact" w:line="600"/>
              <w:jc w:val="center"/>
            </w:pPr>
            <w:r/>
            <w:r>
              <w:rPr>
                <w:rFonts w:ascii="仿宋_GB2312" w:hAnsi="仿宋_GB2312" w:eastAsia="仿宋_GB2312"/>
                <w:b w:val="0"/>
                <w:color w:val="000000"/>
                <w:sz w:val="32"/>
              </w:rPr>
              <w:t>400余家</w:t>
            </w:r>
          </w:p>
        </w:tc>
        <w:tc>
          <w:tcPr>
            <w:tcW w:type="dxa" w:w="2551"/>
          </w:tcPr>
          <w:p>
            <w:pPr>
              <w:spacing w:lineRule="exact" w:line="600"/>
              <w:jc w:val="center"/>
            </w:pPr>
            <w:r/>
            <w:r>
              <w:rPr>
                <w:rFonts w:ascii="仿宋_GB2312" w:hAnsi="仿宋_GB2312" w:eastAsia="仿宋_GB2312"/>
                <w:b w:val="0"/>
                <w:color w:val="000000"/>
                <w:sz w:val="32"/>
              </w:rPr>
              <w:t>设备5000余台套</w:t>
            </w:r>
          </w:p>
        </w:tc>
      </w:tr>
      <w:tr>
        <w:tc>
          <w:tcPr>
            <w:tcW w:type="dxa" w:w="3118"/>
          </w:tcPr>
          <w:p>
            <w:pPr>
              <w:spacing w:lineRule="exact" w:line="600"/>
              <w:jc w:val="center"/>
            </w:pPr>
            <w:r/>
            <w:r>
              <w:rPr>
                <w:rFonts w:ascii="仿宋_GB2312" w:hAnsi="仿宋_GB2312" w:eastAsia="仿宋_GB2312"/>
                <w:b w:val="0"/>
                <w:color w:val="000000"/>
                <w:sz w:val="32"/>
              </w:rPr>
              <w:t>标识解析节点</w:t>
            </w:r>
          </w:p>
        </w:tc>
        <w:tc>
          <w:tcPr>
            <w:tcW w:type="dxa" w:w="2835"/>
          </w:tcPr>
          <w:p>
            <w:pPr>
              <w:spacing w:lineRule="exact" w:line="600"/>
              <w:jc w:val="center"/>
            </w:pPr>
            <w:r/>
            <w:r>
              <w:rPr>
                <w:rFonts w:ascii="仿宋_GB2312" w:hAnsi="仿宋_GB2312" w:eastAsia="仿宋_GB2312"/>
                <w:b w:val="0"/>
                <w:color w:val="000000"/>
                <w:sz w:val="32"/>
              </w:rPr>
              <w:t>全国首个（轴承行业）</w:t>
            </w:r>
          </w:p>
        </w:tc>
        <w:tc>
          <w:tcPr>
            <w:tcW w:type="dxa" w:w="2551"/>
          </w:tcPr>
          <w:p>
            <w:pPr>
              <w:spacing w:lineRule="exact" w:line="600"/>
              <w:jc w:val="center"/>
            </w:pPr>
            <w:r/>
            <w:r>
              <w:rPr>
                <w:rFonts w:ascii="仿宋_GB2312" w:hAnsi="仿宋_GB2312" w:eastAsia="仿宋_GB2312"/>
                <w:b w:val="0"/>
                <w:color w:val="000000"/>
                <w:sz w:val="32"/>
              </w:rPr>
              <w:t>二级节点</w:t>
            </w:r>
          </w:p>
        </w:tc>
      </w:tr>
      <w:tr>
        <w:tc>
          <w:tcPr>
            <w:tcW w:type="dxa" w:w="3118"/>
          </w:tcPr>
          <w:p>
            <w:pPr>
              <w:spacing w:lineRule="exact" w:line="600"/>
              <w:jc w:val="center"/>
            </w:pPr>
            <w:r/>
            <w:r>
              <w:rPr>
                <w:rFonts w:ascii="仿宋_GB2312" w:hAnsi="仿宋_GB2312" w:eastAsia="仿宋_GB2312"/>
                <w:b w:val="0"/>
                <w:color w:val="000000"/>
                <w:sz w:val="32"/>
              </w:rPr>
              <w:t>省级行业云中心</w:t>
            </w:r>
          </w:p>
        </w:tc>
        <w:tc>
          <w:tcPr>
            <w:tcW w:type="dxa" w:w="2835"/>
          </w:tcPr>
          <w:p>
            <w:pPr>
              <w:spacing w:lineRule="exact" w:line="600"/>
              <w:jc w:val="center"/>
            </w:pPr>
            <w:r/>
            <w:r>
              <w:rPr>
                <w:rFonts w:ascii="仿宋_GB2312" w:hAnsi="仿宋_GB2312" w:eastAsia="仿宋_GB2312"/>
                <w:b w:val="0"/>
                <w:color w:val="000000"/>
                <w:sz w:val="32"/>
              </w:rPr>
              <w:t>全省第一个</w:t>
            </w:r>
          </w:p>
        </w:tc>
        <w:tc>
          <w:tcPr>
            <w:tcW w:type="dxa" w:w="2551"/>
          </w:tcPr>
          <w:p>
            <w:pPr>
              <w:spacing w:lineRule="exact" w:line="600"/>
              <w:jc w:val="center"/>
            </w:pPr>
            <w:r/>
            <w:r>
              <w:rPr>
                <w:rFonts w:ascii="仿宋_GB2312" w:hAnsi="仿宋_GB2312" w:eastAsia="仿宋_GB2312"/>
                <w:b w:val="0"/>
                <w:color w:val="000000"/>
                <w:sz w:val="32"/>
              </w:rPr>
              <w:t>云轴联平台</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风电大型化、新能源汽车、机器人等下游高增长带来高端轴承增量；国家设备更新与以旧换新扩大替换市场；「一带一路」与海外仓（临清建美国、迪拜等海外仓）打开出口（来源：经济日报）。临清连续9年举办轴承及零配件展览会，组织企业参加汉诺威工业博览会等（来源：经济日报）。</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挑战：规模化不足、缺龙头、园区化薄弱、同质化内卷（来源：临清规划草案）；高端轴承仍部分依赖进口；小微企业融资难。「行业共性研判」：国际贸易壁垒、汇率与海运成本波动，以及国内房地产/基建下行致部分通用轴承需求放缓，均为行业风险。</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类别</w:t>
            </w:r>
          </w:p>
        </w:tc>
        <w:tc>
          <w:tcPr>
            <w:tcW w:type="dxa" w:w="3402"/>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来源</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风电/新能源/机器人需求</w:t>
            </w:r>
          </w:p>
        </w:tc>
        <w:tc>
          <w:tcPr>
            <w:tcW w:type="dxa" w:w="2551"/>
          </w:tcPr>
          <w:p>
            <w:pPr>
              <w:spacing w:lineRule="exact" w:line="600"/>
              <w:jc w:val="center"/>
            </w:pPr>
            <w:r/>
            <w:r>
              <w:rPr>
                <w:rFonts w:ascii="仿宋_GB2312" w:hAnsi="仿宋_GB2312" w:eastAsia="仿宋_GB2312"/>
                <w:b w:val="0"/>
                <w:color w:val="000000"/>
                <w:sz w:val="32"/>
              </w:rPr>
              <w:t>行业研判</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海外仓+展会出海</w:t>
            </w:r>
          </w:p>
        </w:tc>
        <w:tc>
          <w:tcPr>
            <w:tcW w:type="dxa" w:w="2551"/>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402"/>
          </w:tcPr>
          <w:p>
            <w:pPr>
              <w:spacing w:lineRule="exact" w:line="600"/>
              <w:jc w:val="center"/>
            </w:pPr>
            <w:r/>
            <w:r>
              <w:rPr>
                <w:rFonts w:ascii="仿宋_GB2312" w:hAnsi="仿宋_GB2312" w:eastAsia="仿宋_GB2312"/>
                <w:b w:val="0"/>
                <w:color w:val="000000"/>
                <w:sz w:val="32"/>
              </w:rPr>
              <w:t>同质化、缺龙头</w:t>
            </w:r>
          </w:p>
        </w:tc>
        <w:tc>
          <w:tcPr>
            <w:tcW w:type="dxa" w:w="2551"/>
          </w:tcPr>
          <w:p>
            <w:pPr>
              <w:spacing w:lineRule="exact" w:line="600"/>
              <w:jc w:val="center"/>
            </w:pPr>
            <w:r/>
            <w:r>
              <w:rPr>
                <w:rFonts w:ascii="仿宋_GB2312" w:hAnsi="仿宋_GB2312" w:eastAsia="仿宋_GB2312"/>
                <w:b w:val="0"/>
                <w:color w:val="000000"/>
                <w:sz w:val="32"/>
              </w:rPr>
              <w:t>临清规划草案</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402"/>
          </w:tcPr>
          <w:p>
            <w:pPr>
              <w:spacing w:lineRule="exact" w:line="600"/>
              <w:jc w:val="center"/>
            </w:pPr>
            <w:r/>
            <w:r>
              <w:rPr>
                <w:rFonts w:ascii="仿宋_GB2312" w:hAnsi="仿宋_GB2312" w:eastAsia="仿宋_GB2312"/>
                <w:b w:val="0"/>
                <w:color w:val="000000"/>
                <w:sz w:val="32"/>
              </w:rPr>
              <w:t>高端依赖进口</w:t>
            </w:r>
          </w:p>
        </w:tc>
        <w:tc>
          <w:tcPr>
            <w:tcW w:type="dxa" w:w="2551"/>
          </w:tcPr>
          <w:p>
            <w:pPr>
              <w:spacing w:lineRule="exact" w:line="600"/>
              <w:jc w:val="center"/>
            </w:pPr>
            <w:r/>
            <w:r>
              <w:rPr>
                <w:rFonts w:ascii="仿宋_GB2312" w:hAnsi="仿宋_GB2312" w:eastAsia="仿宋_GB2312"/>
                <w:b w:val="0"/>
                <w:color w:val="000000"/>
                <w:sz w:val="32"/>
              </w:rPr>
              <w:t>行业研判</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402"/>
          </w:tcPr>
          <w:p>
            <w:pPr>
              <w:spacing w:lineRule="exact" w:line="600"/>
              <w:jc w:val="center"/>
            </w:pPr>
            <w:r/>
            <w:r>
              <w:rPr>
                <w:rFonts w:ascii="仿宋_GB2312" w:hAnsi="仿宋_GB2312" w:eastAsia="仿宋_GB2312"/>
                <w:b w:val="0"/>
                <w:color w:val="000000"/>
                <w:sz w:val="32"/>
              </w:rPr>
              <w:t>融资难、外贸波动</w:t>
            </w:r>
          </w:p>
        </w:tc>
        <w:tc>
          <w:tcPr>
            <w:tcW w:type="dxa" w:w="2551"/>
          </w:tcPr>
          <w:p>
            <w:pPr>
              <w:spacing w:lineRule="exact" w:line="600"/>
              <w:jc w:val="center"/>
            </w:pPr>
            <w:r/>
            <w:r>
              <w:rPr>
                <w:rFonts w:ascii="仿宋_GB2312" w:hAnsi="仿宋_GB2312" w:eastAsia="仿宋_GB2312"/>
                <w:b w:val="0"/>
                <w:color w:val="000000"/>
                <w:sz w:val="32"/>
              </w:rPr>
              <w:t>齐鲁银行/研判</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（一）专精特新发展</w:t>
      </w:r>
    </w:p>
    <w:p>
      <w:pPr>
        <w:spacing w:lineRule="exact" w:line="600" w:before="0" w:after="0"/>
        <w:ind w:firstLine="420"/>
        <w:jc w:val="both"/>
      </w:pPr>
      <w:r>
        <w:rPr>
          <w:rFonts w:ascii="仿宋_GB2312" w:hAnsi="仿宋_GB2312" w:eastAsia="仿宋_GB2312"/>
          <w:b w:val="0"/>
          <w:color w:val="000000"/>
          <w:sz w:val="32"/>
        </w:rPr>
        <w:t>临清引导企业走「以专破局、以新赋能」道路，宇捷、博特成长为制造业单项冠军，国家级小巨人5家、省级专精特新45家（来源：经济日报、临清工信）。成品制造升级方向是聚焦细分赛道、提升可靠性与寿命，进入比亚迪、三一重工等龙头供应链（来源：经济日报）。</w:t>
      </w:r>
    </w:p>
    <w:p>
      <w:pPr>
        <w:spacing w:lineRule="exact" w:line="600" w:before="120" w:after="120"/>
        <w:ind w:firstLine="420"/>
        <w:jc w:val="left"/>
      </w:pPr>
      <w:r>
        <w:rPr>
          <w:rFonts w:ascii="楷体_GB2312" w:hAnsi="楷体_GB2312" w:eastAsia="楷体_GB2312"/>
          <w:b w:val="0"/>
          <w:color w:val="000000"/>
          <w:sz w:val="32"/>
        </w:rPr>
        <w:t>（二）智造与品牌</w:t>
      </w:r>
    </w:p>
    <w:p>
      <w:pPr>
        <w:spacing w:lineRule="exact" w:line="600" w:before="0" w:after="0"/>
        <w:ind w:firstLine="420"/>
        <w:jc w:val="both"/>
      </w:pPr>
      <w:r>
        <w:rPr>
          <w:rFonts w:ascii="仿宋_GB2312" w:hAnsi="仿宋_GB2312" w:eastAsia="仿宋_GB2312"/>
          <w:b w:val="0"/>
          <w:color w:val="000000"/>
          <w:sz w:val="32"/>
        </w:rPr>
        <w:t>依托数字孪生柔性产线、标识解析二级节点，推动成品制造从「制造」到「智造」；通过参加汉诺威展、建设海外仓、连续举办轴承展提升「临清轴承」区域品牌（来源：经济日报）。「行业共性研判」：需强化标准话语权，宇捷已获「国家级企业标准领跑者」，应推广至更多企业。</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118"/>
          </w:tcPr>
          <w:p>
            <w:pPr>
              <w:spacing w:lineRule="exact" w:line="600"/>
              <w:jc w:val="center"/>
            </w:pPr>
            <w:r/>
            <w:r>
              <w:rPr>
                <w:rFonts w:ascii="黑体" w:hAnsi="黑体" w:eastAsia="黑体"/>
                <w:b/>
                <w:color w:val="000000"/>
                <w:sz w:val="32"/>
              </w:rPr>
              <w:t>举措</w:t>
            </w:r>
          </w:p>
        </w:tc>
        <w:tc>
          <w:tcPr>
            <w:tcW w:type="dxa" w:w="2835"/>
          </w:tcPr>
          <w:p>
            <w:pPr>
              <w:spacing w:lineRule="exact" w:line="600"/>
              <w:jc w:val="center"/>
            </w:pPr>
            <w:r/>
            <w:r>
              <w:rPr>
                <w:rFonts w:ascii="黑体" w:hAnsi="黑体" w:eastAsia="黑体"/>
                <w:b/>
                <w:color w:val="000000"/>
                <w:sz w:val="32"/>
              </w:rPr>
              <w:t>成效</w:t>
            </w:r>
          </w:p>
        </w:tc>
      </w:tr>
      <w:tr>
        <w:tc>
          <w:tcPr>
            <w:tcW w:type="dxa" w:w="2551"/>
          </w:tcPr>
          <w:p>
            <w:pPr>
              <w:spacing w:lineRule="exact" w:line="600"/>
              <w:jc w:val="center"/>
            </w:pPr>
            <w:r/>
            <w:r>
              <w:rPr>
                <w:rFonts w:ascii="仿宋_GB2312" w:hAnsi="仿宋_GB2312" w:eastAsia="仿宋_GB2312"/>
                <w:b w:val="0"/>
                <w:color w:val="000000"/>
                <w:sz w:val="32"/>
              </w:rPr>
              <w:t>专精特新</w:t>
            </w:r>
          </w:p>
        </w:tc>
        <w:tc>
          <w:tcPr>
            <w:tcW w:type="dxa" w:w="3118"/>
          </w:tcPr>
          <w:p>
            <w:pPr>
              <w:spacing w:lineRule="exact" w:line="600"/>
              <w:jc w:val="center"/>
            </w:pPr>
            <w:r/>
            <w:r>
              <w:rPr>
                <w:rFonts w:ascii="仿宋_GB2312" w:hAnsi="仿宋_GB2312" w:eastAsia="仿宋_GB2312"/>
                <w:b w:val="0"/>
                <w:color w:val="000000"/>
                <w:sz w:val="32"/>
              </w:rPr>
              <w:t>单项冠军/小巨人</w:t>
            </w:r>
          </w:p>
        </w:tc>
        <w:tc>
          <w:tcPr>
            <w:tcW w:type="dxa" w:w="2835"/>
          </w:tcPr>
          <w:p>
            <w:pPr>
              <w:spacing w:lineRule="exact" w:line="600"/>
              <w:jc w:val="center"/>
            </w:pPr>
            <w:r/>
            <w:r>
              <w:rPr>
                <w:rFonts w:ascii="仿宋_GB2312" w:hAnsi="仿宋_GB2312" w:eastAsia="仿宋_GB2312"/>
                <w:b w:val="0"/>
                <w:color w:val="000000"/>
                <w:sz w:val="32"/>
              </w:rPr>
              <w:t>小巨人5家</w:t>
            </w:r>
          </w:p>
        </w:tc>
      </w:tr>
      <w:tr>
        <w:tc>
          <w:tcPr>
            <w:tcW w:type="dxa" w:w="2551"/>
          </w:tcPr>
          <w:p>
            <w:pPr>
              <w:spacing w:lineRule="exact" w:line="600"/>
              <w:jc w:val="center"/>
            </w:pPr>
            <w:r/>
            <w:r>
              <w:rPr>
                <w:rFonts w:ascii="仿宋_GB2312" w:hAnsi="仿宋_GB2312" w:eastAsia="仿宋_GB2312"/>
                <w:b w:val="0"/>
                <w:color w:val="000000"/>
                <w:sz w:val="32"/>
              </w:rPr>
              <w:t>数字孪生</w:t>
            </w:r>
          </w:p>
        </w:tc>
        <w:tc>
          <w:tcPr>
            <w:tcW w:type="dxa" w:w="3118"/>
          </w:tcPr>
          <w:p>
            <w:pPr>
              <w:spacing w:lineRule="exact" w:line="600"/>
              <w:jc w:val="center"/>
            </w:pPr>
            <w:r/>
            <w:r>
              <w:rPr>
                <w:rFonts w:ascii="仿宋_GB2312" w:hAnsi="仿宋_GB2312" w:eastAsia="仿宋_GB2312"/>
                <w:b w:val="0"/>
                <w:color w:val="000000"/>
                <w:sz w:val="32"/>
              </w:rPr>
              <w:t>柔性产线</w:t>
            </w:r>
          </w:p>
        </w:tc>
        <w:tc>
          <w:tcPr>
            <w:tcW w:type="dxa" w:w="2835"/>
          </w:tcPr>
          <w:p>
            <w:pPr>
              <w:spacing w:lineRule="exact" w:line="600"/>
              <w:jc w:val="center"/>
            </w:pPr>
            <w:r/>
            <w:r>
              <w:rPr>
                <w:rFonts w:ascii="仿宋_GB2312" w:hAnsi="仿宋_GB2312" w:eastAsia="仿宋_GB2312"/>
                <w:b w:val="0"/>
                <w:color w:val="000000"/>
                <w:sz w:val="32"/>
              </w:rPr>
              <w:t>宇捷合格率+30%</w:t>
            </w:r>
          </w:p>
        </w:tc>
      </w:tr>
      <w:tr>
        <w:tc>
          <w:tcPr>
            <w:tcW w:type="dxa" w:w="2551"/>
          </w:tcPr>
          <w:p>
            <w:pPr>
              <w:spacing w:lineRule="exact" w:line="600"/>
              <w:jc w:val="center"/>
            </w:pPr>
            <w:r/>
            <w:r>
              <w:rPr>
                <w:rFonts w:ascii="仿宋_GB2312" w:hAnsi="仿宋_GB2312" w:eastAsia="仿宋_GB2312"/>
                <w:b w:val="0"/>
                <w:color w:val="000000"/>
                <w:sz w:val="32"/>
              </w:rPr>
              <w:t>品牌出海</w:t>
            </w:r>
          </w:p>
        </w:tc>
        <w:tc>
          <w:tcPr>
            <w:tcW w:type="dxa" w:w="3118"/>
          </w:tcPr>
          <w:p>
            <w:pPr>
              <w:spacing w:lineRule="exact" w:line="600"/>
              <w:jc w:val="center"/>
            </w:pPr>
            <w:r/>
            <w:r>
              <w:rPr>
                <w:rFonts w:ascii="仿宋_GB2312" w:hAnsi="仿宋_GB2312" w:eastAsia="仿宋_GB2312"/>
                <w:b w:val="0"/>
                <w:color w:val="000000"/>
                <w:sz w:val="32"/>
              </w:rPr>
              <w:t>海外仓+展会</w:t>
            </w:r>
          </w:p>
        </w:tc>
        <w:tc>
          <w:tcPr>
            <w:tcW w:type="dxa" w:w="2835"/>
          </w:tcPr>
          <w:p>
            <w:pPr>
              <w:spacing w:lineRule="exact" w:line="600"/>
              <w:jc w:val="center"/>
            </w:pPr>
            <w:r/>
            <w:r>
              <w:rPr>
                <w:rFonts w:ascii="仿宋_GB2312" w:hAnsi="仿宋_GB2312" w:eastAsia="仿宋_GB2312"/>
                <w:b w:val="0"/>
                <w:color w:val="000000"/>
                <w:sz w:val="32"/>
              </w:rPr>
              <w:t>出口50多国</w:t>
            </w:r>
          </w:p>
        </w:tc>
      </w:tr>
      <w:tr>
        <w:tc>
          <w:tcPr>
            <w:tcW w:type="dxa" w:w="2551"/>
          </w:tcPr>
          <w:p>
            <w:pPr>
              <w:spacing w:lineRule="exact" w:line="600"/>
              <w:jc w:val="center"/>
            </w:pPr>
            <w:r/>
            <w:r>
              <w:rPr>
                <w:rFonts w:ascii="仿宋_GB2312" w:hAnsi="仿宋_GB2312" w:eastAsia="仿宋_GB2312"/>
                <w:b w:val="0"/>
                <w:color w:val="000000"/>
                <w:sz w:val="32"/>
              </w:rPr>
              <w:t>标准引领</w:t>
            </w:r>
          </w:p>
        </w:tc>
        <w:tc>
          <w:tcPr>
            <w:tcW w:type="dxa" w:w="3118"/>
          </w:tcPr>
          <w:p>
            <w:pPr>
              <w:spacing w:lineRule="exact" w:line="600"/>
              <w:jc w:val="center"/>
            </w:pPr>
            <w:r/>
            <w:r>
              <w:rPr>
                <w:rFonts w:ascii="仿宋_GB2312" w:hAnsi="仿宋_GB2312" w:eastAsia="仿宋_GB2312"/>
                <w:b w:val="0"/>
                <w:color w:val="000000"/>
                <w:sz w:val="32"/>
              </w:rPr>
              <w:t>企业标准领跑者</w:t>
            </w:r>
          </w:p>
        </w:tc>
        <w:tc>
          <w:tcPr>
            <w:tcW w:type="dxa" w:w="2835"/>
          </w:tcPr>
          <w:p>
            <w:pPr>
              <w:spacing w:lineRule="exact" w:line="600"/>
              <w:jc w:val="center"/>
            </w:pPr>
            <w:r/>
            <w:r>
              <w:rPr>
                <w:rFonts w:ascii="仿宋_GB2312" w:hAnsi="仿宋_GB2312" w:eastAsia="仿宋_GB2312"/>
                <w:b w:val="0"/>
                <w:color w:val="000000"/>
                <w:sz w:val="32"/>
              </w:rPr>
              <w:t>宇捷获国家级</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（一）智能化改造融资</w:t>
      </w:r>
    </w:p>
    <w:p>
      <w:pPr>
        <w:spacing w:lineRule="exact" w:line="600" w:before="0" w:after="0"/>
        <w:ind w:firstLine="420"/>
        <w:jc w:val="both"/>
      </w:pPr>
      <w:r>
        <w:rPr>
          <w:rFonts w:ascii="仿宋_GB2312" w:hAnsi="仿宋_GB2312" w:eastAsia="仿宋_GB2312"/>
          <w:b w:val="0"/>
          <w:color w:val="000000"/>
          <w:sz w:val="32"/>
        </w:rPr>
        <w:t>成品制造企业上马数控磨床、自动连线、数字孪生系统资金缺口大。临清市帮宇捷争取重点「小巨人」、技改奖补1500余万元（来源：聊城日报）；奥富特轴承引进数控磨床曾缺200万元（来源：齐鲁银行）。行业需要设备更新贷款与技改贴息。</w:t>
      </w:r>
    </w:p>
    <w:p>
      <w:pPr>
        <w:spacing w:lineRule="exact" w:line="600" w:before="120" w:after="120"/>
        <w:ind w:firstLine="420"/>
        <w:jc w:val="left"/>
      </w:pPr>
      <w:r>
        <w:rPr>
          <w:rFonts w:ascii="楷体_GB2312" w:hAnsi="楷体_GB2312" w:eastAsia="楷体_GB2312"/>
          <w:b w:val="0"/>
          <w:color w:val="000000"/>
          <w:sz w:val="32"/>
        </w:rPr>
        <w:t>（二）普惠与研发融资</w:t>
      </w:r>
    </w:p>
    <w:p>
      <w:pPr>
        <w:spacing w:lineRule="exact" w:line="600" w:before="0" w:after="0"/>
        <w:ind w:firstLine="420"/>
        <w:jc w:val="both"/>
      </w:pPr>
      <w:r>
        <w:rPr>
          <w:rFonts w:ascii="仿宋_GB2312" w:hAnsi="仿宋_GB2312" w:eastAsia="仿宋_GB2312"/>
          <w:b w:val="0"/>
          <w:color w:val="000000"/>
          <w:sz w:val="32"/>
        </w:rPr>
        <w:t>齐鲁银行「轴承村居贷」单户最高300万元、「三专三快」模式审批压缩超60%，已为40余家初创轴承企业发放首贷（来源：齐鲁银行聊城分行）。2023年临清专利质押融资约2.9亿元（来源：临清统计公报）。「行业共性研判」：龙头宜用IPO/发债，中小微宜用供应链金融、知识产权质押与首贷培植。</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融资类型</w:t>
            </w:r>
          </w:p>
        </w:tc>
        <w:tc>
          <w:tcPr>
            <w:tcW w:type="dxa" w:w="2835"/>
          </w:tcPr>
          <w:p>
            <w:pPr>
              <w:spacing w:lineRule="exact" w:line="600"/>
              <w:jc w:val="center"/>
            </w:pPr>
            <w:r/>
            <w:r>
              <w:rPr>
                <w:rFonts w:ascii="黑体" w:hAnsi="黑体" w:eastAsia="黑体"/>
                <w:b/>
                <w:color w:val="000000"/>
                <w:sz w:val="32"/>
              </w:rPr>
              <w:t>规模/产品</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轴承村居贷</w:t>
            </w:r>
          </w:p>
        </w:tc>
        <w:tc>
          <w:tcPr>
            <w:tcW w:type="dxa" w:w="2835"/>
          </w:tcPr>
          <w:p>
            <w:pPr>
              <w:spacing w:lineRule="exact" w:line="600"/>
              <w:jc w:val="center"/>
            </w:pPr>
            <w:r/>
            <w:r>
              <w:rPr>
                <w:rFonts w:ascii="仿宋_GB2312" w:hAnsi="仿宋_GB2312" w:eastAsia="仿宋_GB2312"/>
                <w:b w:val="0"/>
                <w:color w:val="000000"/>
                <w:sz w:val="32"/>
              </w:rPr>
              <w:t>单户最高300万</w:t>
            </w:r>
          </w:p>
        </w:tc>
        <w:tc>
          <w:tcPr>
            <w:tcW w:type="dxa" w:w="3118"/>
          </w:tcPr>
          <w:p>
            <w:pPr>
              <w:spacing w:lineRule="exact" w:line="600"/>
              <w:jc w:val="center"/>
            </w:pPr>
            <w:r/>
            <w:r>
              <w:rPr>
                <w:rFonts w:ascii="仿宋_GB2312" w:hAnsi="仿宋_GB2312" w:eastAsia="仿宋_GB2312"/>
                <w:b w:val="0"/>
                <w:color w:val="000000"/>
                <w:sz w:val="32"/>
              </w:rPr>
              <w:t>齐鲁银行</w:t>
            </w:r>
          </w:p>
        </w:tc>
      </w:tr>
      <w:tr>
        <w:tc>
          <w:tcPr>
            <w:tcW w:type="dxa" w:w="2835"/>
          </w:tcPr>
          <w:p>
            <w:pPr>
              <w:spacing w:lineRule="exact" w:line="600"/>
              <w:jc w:val="center"/>
            </w:pPr>
            <w:r/>
            <w:r>
              <w:rPr>
                <w:rFonts w:ascii="仿宋_GB2312" w:hAnsi="仿宋_GB2312" w:eastAsia="仿宋_GB2312"/>
                <w:b w:val="0"/>
                <w:color w:val="000000"/>
                <w:sz w:val="32"/>
              </w:rPr>
              <w:t>技改奖补</w:t>
            </w:r>
          </w:p>
        </w:tc>
        <w:tc>
          <w:tcPr>
            <w:tcW w:type="dxa" w:w="2835"/>
          </w:tcPr>
          <w:p>
            <w:pPr>
              <w:spacing w:lineRule="exact" w:line="600"/>
              <w:jc w:val="center"/>
            </w:pPr>
            <w:r/>
            <w:r>
              <w:rPr>
                <w:rFonts w:ascii="仿宋_GB2312" w:hAnsi="仿宋_GB2312" w:eastAsia="仿宋_GB2312"/>
                <w:b w:val="0"/>
                <w:color w:val="000000"/>
                <w:sz w:val="32"/>
              </w:rPr>
              <w:t>宇捷1500余万</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835"/>
          </w:tcPr>
          <w:p>
            <w:pPr>
              <w:spacing w:lineRule="exact" w:line="600"/>
              <w:jc w:val="center"/>
            </w:pPr>
            <w:r/>
            <w:r>
              <w:rPr>
                <w:rFonts w:ascii="仿宋_GB2312" w:hAnsi="仿宋_GB2312" w:eastAsia="仿宋_GB2312"/>
                <w:b w:val="0"/>
                <w:color w:val="000000"/>
                <w:sz w:val="32"/>
              </w:rPr>
              <w:t>科技补助</w:t>
            </w:r>
          </w:p>
        </w:tc>
        <w:tc>
          <w:tcPr>
            <w:tcW w:type="dxa" w:w="2835"/>
          </w:tcPr>
          <w:p>
            <w:pPr>
              <w:spacing w:lineRule="exact" w:line="600"/>
              <w:jc w:val="center"/>
            </w:pPr>
            <w:r/>
            <w:r>
              <w:rPr>
                <w:rFonts w:ascii="仿宋_GB2312" w:hAnsi="仿宋_GB2312" w:eastAsia="仿宋_GB2312"/>
                <w:b w:val="0"/>
                <w:color w:val="000000"/>
                <w:sz w:val="32"/>
              </w:rPr>
              <w:t>1000余万</w:t>
            </w:r>
          </w:p>
        </w:tc>
        <w:tc>
          <w:tcPr>
            <w:tcW w:type="dxa" w:w="3118"/>
          </w:tcPr>
          <w:p>
            <w:pPr>
              <w:spacing w:lineRule="exact" w:line="600"/>
              <w:jc w:val="center"/>
            </w:pPr>
            <w:r/>
            <w:r>
              <w:rPr>
                <w:rFonts w:ascii="仿宋_GB2312" w:hAnsi="仿宋_GB2312" w:eastAsia="仿宋_GB2312"/>
                <w:b w:val="0"/>
                <w:color w:val="000000"/>
                <w:sz w:val="32"/>
              </w:rPr>
              <w:t>闪电新闻</w:t>
            </w:r>
          </w:p>
        </w:tc>
      </w:tr>
      <w:tr>
        <w:tc>
          <w:tcPr>
            <w:tcW w:type="dxa" w:w="2835"/>
          </w:tcPr>
          <w:p>
            <w:pPr>
              <w:spacing w:lineRule="exact" w:line="600"/>
              <w:jc w:val="center"/>
            </w:pPr>
            <w:r/>
            <w:r>
              <w:rPr>
                <w:rFonts w:ascii="仿宋_GB2312" w:hAnsi="仿宋_GB2312" w:eastAsia="仿宋_GB2312"/>
                <w:b w:val="0"/>
                <w:color w:val="000000"/>
                <w:sz w:val="32"/>
              </w:rPr>
              <w:t>专利质押</w:t>
            </w:r>
          </w:p>
        </w:tc>
        <w:tc>
          <w:tcPr>
            <w:tcW w:type="dxa" w:w="2835"/>
          </w:tcPr>
          <w:p>
            <w:pPr>
              <w:spacing w:lineRule="exact" w:line="600"/>
              <w:jc w:val="center"/>
            </w:pPr>
            <w:r/>
            <w:r>
              <w:rPr>
                <w:rFonts w:ascii="仿宋_GB2312" w:hAnsi="仿宋_GB2312" w:eastAsia="仿宋_GB2312"/>
                <w:b w:val="0"/>
                <w:color w:val="000000"/>
                <w:sz w:val="32"/>
              </w:rPr>
              <w:t>全县约2.9亿</w:t>
            </w:r>
          </w:p>
        </w:tc>
        <w:tc>
          <w:tcPr>
            <w:tcW w:type="dxa" w:w="3118"/>
          </w:tcPr>
          <w:p>
            <w:pPr>
              <w:spacing w:lineRule="exact" w:line="600"/>
              <w:jc w:val="center"/>
            </w:pPr>
            <w:r/>
            <w:r>
              <w:rPr>
                <w:rFonts w:ascii="仿宋_GB2312" w:hAnsi="仿宋_GB2312" w:eastAsia="仿宋_GB2312"/>
                <w:b w:val="0"/>
                <w:color w:val="000000"/>
                <w:sz w:val="32"/>
              </w:rPr>
              <w:t>临清2023公报</w:t>
            </w:r>
          </w:p>
        </w:tc>
      </w:tr>
      <w:tr>
        <w:tc>
          <w:tcPr>
            <w:tcW w:type="dxa" w:w="2835"/>
          </w:tcPr>
          <w:p>
            <w:pPr>
              <w:spacing w:lineRule="exact" w:line="600"/>
              <w:jc w:val="center"/>
            </w:pPr>
            <w:r/>
            <w:r>
              <w:rPr>
                <w:rFonts w:ascii="仿宋_GB2312" w:hAnsi="仿宋_GB2312" w:eastAsia="仿宋_GB2312"/>
                <w:b w:val="0"/>
                <w:color w:val="000000"/>
                <w:sz w:val="32"/>
              </w:rPr>
              <w:t>首贷培植</w:t>
            </w:r>
          </w:p>
        </w:tc>
        <w:tc>
          <w:tcPr>
            <w:tcW w:type="dxa" w:w="2835"/>
          </w:tcPr>
          <w:p>
            <w:pPr>
              <w:spacing w:lineRule="exact" w:line="600"/>
              <w:jc w:val="center"/>
            </w:pPr>
            <w:r/>
            <w:r>
              <w:rPr>
                <w:rFonts w:ascii="仿宋_GB2312" w:hAnsi="仿宋_GB2312" w:eastAsia="仿宋_GB2312"/>
                <w:b w:val="0"/>
                <w:color w:val="000000"/>
                <w:sz w:val="32"/>
              </w:rPr>
              <w:t>40余家初创企业</w:t>
            </w:r>
          </w:p>
        </w:tc>
        <w:tc>
          <w:tcPr>
            <w:tcW w:type="dxa" w:w="3118"/>
          </w:tcPr>
          <w:p>
            <w:pPr>
              <w:spacing w:lineRule="exact" w:line="600"/>
              <w:jc w:val="center"/>
            </w:pPr>
            <w:r/>
            <w:r>
              <w:rPr>
                <w:rFonts w:ascii="仿宋_GB2312" w:hAnsi="仿宋_GB2312" w:eastAsia="仿宋_GB2312"/>
                <w:b w:val="0"/>
                <w:color w:val="000000"/>
                <w:sz w:val="32"/>
              </w:rPr>
              <w:t>齐鲁银行</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省宇捷轴承制造有限公司：中小调心滚子轴承龙头，国内产销量连续3年第一；年产150万套，2024年销售收入1.5亿元（外贸+国内增20%/15%），2021年销售收入1.44亿元、利润705万元、国内市场占有率11.26%；国家级专精特新「小巨人」、国家重点「小巨人」、省制造业单项冠军、国家级企业标准领跑者；位于烟店镇。来源：聊城日报、轴承协会、天眼查。</w:t>
      </w:r>
    </w:p>
    <w:p>
      <w:pPr>
        <w:spacing w:lineRule="exact" w:line="600" w:before="0" w:after="0"/>
        <w:ind w:firstLine="420"/>
        <w:jc w:val="both"/>
      </w:pPr>
      <w:r>
        <w:rPr>
          <w:rFonts w:ascii="仿宋_GB2312" w:hAnsi="仿宋_GB2312" w:eastAsia="仿宋_GB2312"/>
          <w:b w:val="0"/>
          <w:color w:val="000000"/>
          <w:sz w:val="32"/>
        </w:rPr>
        <w:t>山东博特轴承有限公司：薄壁轴承系列国内市场占有率连续多年第一，为新松机器人定制高端精密薄壁特种轴承（精度达头发丝直径1/20），打破国外垄断；产品出口40多国；新投建1000万套高端精密薄壁特种轴承项目列入省绿色低碳高质量发展重点项目；位于烟店工业园。来源：经济日报、大众日报。</w:t>
      </w:r>
    </w:p>
    <w:p>
      <w:pPr>
        <w:spacing w:lineRule="exact" w:line="600" w:before="0" w:after="0"/>
        <w:ind w:firstLine="420"/>
        <w:jc w:val="both"/>
      </w:pPr>
      <w:r>
        <w:rPr>
          <w:rFonts w:ascii="仿宋_GB2312" w:hAnsi="仿宋_GB2312" w:eastAsia="仿宋_GB2312"/>
          <w:b w:val="0"/>
          <w:color w:val="000000"/>
          <w:sz w:val="32"/>
        </w:rPr>
        <w:t>山东华工轴承有限公司：风电等高端轴承代表，临清最大轴承企业之一；投资3.5亿元新上大型高端精密风电轴承项目（年产2万套、新增产值7亿元），外径最大1.25—1.5米，山东省唯一具备特大型轴承生产能力的企业；位于烟店工业园。来源：经济日报、齐鲁晚报。</w:t>
      </w:r>
    </w:p>
    <w:p>
      <w:pPr>
        <w:spacing w:lineRule="exact" w:line="600" w:before="0" w:after="0"/>
        <w:jc w:val="left"/>
      </w:pPr>
      <w:r>
        <w:rPr>
          <w:rFonts w:ascii="仿宋_GB2312" w:hAnsi="仿宋_GB2312" w:eastAsia="仿宋_GB2312"/>
          <w:b w:val="0"/>
          <w:color w:val="000000"/>
          <w:sz w:val="28"/>
        </w:rPr>
        <w:t>主要数据来源：临清市2023年国民经济和社会发展统计公报；临清市政府《烟潘唐一体化发展战略规划（征求意见稿）》（2026-01）；科技日报《山东临清有个「轴承宇宙」》（2026-03-23）；经济日报《小轴承转动大世界——探寻临清市轴承产业崛起密码》；聊城日报《“智”引未来绘新景》（2025-02-12）；闪电新闻《从「卷价格」到「拼技术」 临清轴承产业突围》（2025-12-11）；齐鲁银行聊城分行轴承产业融资报道；天眼查企业信息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