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山东博兴（商用智能厨房设备）特色产业集群</w:t>
      </w:r>
    </w:p>
    <w:p>
      <w:pPr>
        <w:spacing w:lineRule="exact" w:line="600" w:before="240" w:after="240"/>
        <w:ind w:firstLine="0"/>
        <w:jc w:val="center"/>
      </w:pPr>
      <w:r>
        <w:rPr>
          <w:rFonts w:ascii="方正小标宋简体" w:hAnsi="方正小标宋简体" w:eastAsia="方正小标宋简体"/>
          <w:b w:val="0"/>
          <w:color w:val="000000"/>
          <w:sz w:val="44"/>
        </w:rPr>
        <w:t>商用厨房设备制造行业深度分析报告</w:t>
      </w:r>
    </w:p>
    <w:p>
      <w:pPr>
        <w:spacing w:lineRule="exact" w:line="600" w:before="0" w:after="0"/>
        <w:jc w:val="left"/>
      </w:pPr>
      <w:r>
        <w:rPr>
          <w:rFonts w:ascii="仿宋_GB2312" w:hAnsi="仿宋_GB2312" w:eastAsia="仿宋_GB2312"/>
          <w:b w:val="0"/>
          <w:color w:val="000000"/>
          <w:sz w:val="28"/>
        </w:rPr>
        <w:t>本报告数据来源于博兴县政府官网、滨州市政府《博兴县商用厨具行业质量提升与规范治理专项行动工作方案》（博政办发〔2026〕1号）、新华社/大众日报/齐鲁晚报/中国税务报等权威媒体报道，以及企业公开信息。数据截至2024—2026年；部分企业内部经营数据为公开报道口径，已标注来源。</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商用厨房设备制造是博兴县「中国厨都」的核心产业，以兴福镇为中心集聚2800余家商用厨具生产及配套企业，年产设备2000万台（套），年产值300多亿元、占全国市场份额40%以上、全省90%，产品涵盖商用燃气灶、电磁灶、冷冻冷藏柜、蒸饭柜、洗碗机、油烟净化器、西餐设备等十二大系列上千品种。博兴县整体商用厨具生产及配套商户达3500余家、年营收超350亿元、带动就业6.2万人，入选全国首批国家级中小企业特色产业集群。龙头金佰特年产厨具30万台套、年销售额突破10亿元，产品服务人民大会堂、北京冬奥会、卡塔尔世界杯。产业正从「铺天盖地」向「顶天立地」的智慧化、绿色化升级。</w:t>
      </w:r>
    </w:p>
    <w:p>
      <w:pPr>
        <w:spacing w:lineRule="exact" w:line="600" w:before="120" w:after="120"/>
        <w:ind w:firstLine="420"/>
        <w:jc w:val="left"/>
      </w:pPr>
      <w:r>
        <w:rPr>
          <w:rFonts w:ascii="楷体_GB2312" w:hAnsi="楷体_GB2312" w:eastAsia="楷体_GB2312"/>
          <w:b w:val="0"/>
          <w:color w:val="000000"/>
          <w:sz w:val="32"/>
        </w:rPr>
        <w:t>（行业主要指标）</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指标</w:t>
            </w:r>
          </w:p>
        </w:tc>
        <w:tc>
          <w:tcPr>
            <w:tcW w:type="dxa" w:w="2835"/>
          </w:tcPr>
          <w:p>
            <w:pPr>
              <w:spacing w:lineRule="exact" w:line="600"/>
              <w:jc w:val="center"/>
            </w:pPr>
            <w:r/>
            <w:r>
              <w:rPr>
                <w:rFonts w:ascii="仿宋_GB2312" w:hAnsi="仿宋_GB2312" w:eastAsia="仿宋_GB2312"/>
                <w:b w:val="0"/>
                <w:color w:val="000000"/>
                <w:sz w:val="32"/>
              </w:rPr>
              <w:t>数值</w:t>
            </w:r>
          </w:p>
        </w:tc>
        <w:tc>
          <w:tcPr>
            <w:tcW w:type="dxa" w:w="3118"/>
          </w:tcPr>
          <w:p>
            <w:pPr>
              <w:spacing w:lineRule="exact" w:line="600"/>
              <w:jc w:val="center"/>
            </w:pPr>
            <w:r/>
            <w:r>
              <w:rPr>
                <w:rFonts w:ascii="仿宋_GB2312" w:hAnsi="仿宋_GB2312" w:eastAsia="仿宋_GB2312"/>
                <w:b w:val="0"/>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兴福镇厨具企业</w:t>
            </w:r>
          </w:p>
        </w:tc>
        <w:tc>
          <w:tcPr>
            <w:tcW w:type="dxa" w:w="2835"/>
          </w:tcPr>
          <w:p>
            <w:pPr>
              <w:spacing w:lineRule="exact" w:line="600"/>
              <w:jc w:val="center"/>
            </w:pPr>
            <w:r/>
            <w:r>
              <w:rPr>
                <w:rFonts w:ascii="仿宋_GB2312" w:hAnsi="仿宋_GB2312" w:eastAsia="仿宋_GB2312"/>
                <w:b w:val="0"/>
                <w:color w:val="000000"/>
                <w:sz w:val="32"/>
              </w:rPr>
              <w:t>2800余家</w:t>
            </w:r>
          </w:p>
        </w:tc>
        <w:tc>
          <w:tcPr>
            <w:tcW w:type="dxa" w:w="3118"/>
          </w:tcPr>
          <w:p>
            <w:pPr>
              <w:spacing w:lineRule="exact" w:line="600"/>
              <w:jc w:val="center"/>
            </w:pPr>
            <w:r/>
            <w:r>
              <w:rPr>
                <w:rFonts w:ascii="仿宋_GB2312" w:hAnsi="仿宋_GB2312" w:eastAsia="仿宋_GB2312"/>
                <w:b w:val="0"/>
                <w:color w:val="000000"/>
                <w:sz w:val="32"/>
              </w:rPr>
              <w:t>新华社/人民网</w:t>
            </w:r>
          </w:p>
        </w:tc>
      </w:tr>
      <w:tr>
        <w:tc>
          <w:tcPr>
            <w:tcW w:type="dxa" w:w="2835"/>
          </w:tcPr>
          <w:p>
            <w:pPr>
              <w:spacing w:lineRule="exact" w:line="600"/>
              <w:jc w:val="center"/>
            </w:pPr>
            <w:r/>
            <w:r>
              <w:rPr>
                <w:rFonts w:ascii="仿宋_GB2312" w:hAnsi="仿宋_GB2312" w:eastAsia="仿宋_GB2312"/>
                <w:b w:val="0"/>
                <w:color w:val="000000"/>
                <w:sz w:val="32"/>
              </w:rPr>
              <w:t>年产值</w:t>
            </w:r>
          </w:p>
        </w:tc>
        <w:tc>
          <w:tcPr>
            <w:tcW w:type="dxa" w:w="2835"/>
          </w:tcPr>
          <w:p>
            <w:pPr>
              <w:spacing w:lineRule="exact" w:line="600"/>
              <w:jc w:val="center"/>
            </w:pPr>
            <w:r/>
            <w:r>
              <w:rPr>
                <w:rFonts w:ascii="仿宋_GB2312" w:hAnsi="仿宋_GB2312" w:eastAsia="仿宋_GB2312"/>
                <w:b w:val="0"/>
                <w:color w:val="000000"/>
                <w:sz w:val="32"/>
              </w:rPr>
              <w:t>300多亿元</w:t>
            </w:r>
          </w:p>
        </w:tc>
        <w:tc>
          <w:tcPr>
            <w:tcW w:type="dxa" w:w="3118"/>
          </w:tcPr>
          <w:p>
            <w:pPr>
              <w:spacing w:lineRule="exact" w:line="600"/>
              <w:jc w:val="center"/>
            </w:pPr>
            <w:r/>
            <w:r>
              <w:rPr>
                <w:rFonts w:ascii="仿宋_GB2312" w:hAnsi="仿宋_GB2312" w:eastAsia="仿宋_GB2312"/>
                <w:b w:val="0"/>
                <w:color w:val="000000"/>
                <w:sz w:val="32"/>
              </w:rPr>
              <w:t>同上</w:t>
            </w:r>
          </w:p>
        </w:tc>
      </w:tr>
      <w:tr>
        <w:tc>
          <w:tcPr>
            <w:tcW w:type="dxa" w:w="2835"/>
          </w:tcPr>
          <w:p>
            <w:pPr>
              <w:spacing w:lineRule="exact" w:line="600"/>
              <w:jc w:val="center"/>
            </w:pPr>
            <w:r/>
            <w:r>
              <w:rPr>
                <w:rFonts w:ascii="仿宋_GB2312" w:hAnsi="仿宋_GB2312" w:eastAsia="仿宋_GB2312"/>
                <w:b w:val="0"/>
                <w:color w:val="000000"/>
                <w:sz w:val="32"/>
              </w:rPr>
              <w:t>全国市场份额</w:t>
            </w:r>
          </w:p>
        </w:tc>
        <w:tc>
          <w:tcPr>
            <w:tcW w:type="dxa" w:w="2835"/>
          </w:tcPr>
          <w:p>
            <w:pPr>
              <w:spacing w:lineRule="exact" w:line="600"/>
              <w:jc w:val="center"/>
            </w:pPr>
            <w:r/>
            <w:r>
              <w:rPr>
                <w:rFonts w:ascii="仿宋_GB2312" w:hAnsi="仿宋_GB2312" w:eastAsia="仿宋_GB2312"/>
                <w:b w:val="0"/>
                <w:color w:val="000000"/>
                <w:sz w:val="32"/>
              </w:rPr>
              <w:t>40%以上</w:t>
            </w:r>
          </w:p>
        </w:tc>
        <w:tc>
          <w:tcPr>
            <w:tcW w:type="dxa" w:w="3118"/>
          </w:tcPr>
          <w:p>
            <w:pPr>
              <w:spacing w:lineRule="exact" w:line="600"/>
              <w:jc w:val="center"/>
            </w:pPr>
            <w:r/>
            <w:r>
              <w:rPr>
                <w:rFonts w:ascii="仿宋_GB2312" w:hAnsi="仿宋_GB2312" w:eastAsia="仿宋_GB2312"/>
                <w:b w:val="0"/>
                <w:color w:val="000000"/>
                <w:sz w:val="32"/>
              </w:rPr>
              <w:t>人民网</w:t>
            </w:r>
          </w:p>
        </w:tc>
      </w:tr>
      <w:tr>
        <w:tc>
          <w:tcPr>
            <w:tcW w:type="dxa" w:w="2835"/>
          </w:tcPr>
          <w:p>
            <w:pPr>
              <w:spacing w:lineRule="exact" w:line="600"/>
              <w:jc w:val="center"/>
            </w:pPr>
            <w:r/>
            <w:r>
              <w:rPr>
                <w:rFonts w:ascii="仿宋_GB2312" w:hAnsi="仿宋_GB2312" w:eastAsia="仿宋_GB2312"/>
                <w:b w:val="0"/>
                <w:color w:val="000000"/>
                <w:sz w:val="32"/>
              </w:rPr>
              <w:t>全省份额</w:t>
            </w:r>
          </w:p>
        </w:tc>
        <w:tc>
          <w:tcPr>
            <w:tcW w:type="dxa" w:w="2835"/>
          </w:tcPr>
          <w:p>
            <w:pPr>
              <w:spacing w:lineRule="exact" w:line="600"/>
              <w:jc w:val="center"/>
            </w:pPr>
            <w:r/>
            <w:r>
              <w:rPr>
                <w:rFonts w:ascii="仿宋_GB2312" w:hAnsi="仿宋_GB2312" w:eastAsia="仿宋_GB2312"/>
                <w:b w:val="0"/>
                <w:color w:val="000000"/>
                <w:sz w:val="32"/>
              </w:rPr>
              <w:t>90%</w:t>
            </w:r>
          </w:p>
        </w:tc>
        <w:tc>
          <w:tcPr>
            <w:tcW w:type="dxa" w:w="3118"/>
          </w:tcPr>
          <w:p>
            <w:pPr>
              <w:spacing w:lineRule="exact" w:line="600"/>
              <w:jc w:val="center"/>
            </w:pPr>
            <w:r/>
            <w:r>
              <w:rPr>
                <w:rFonts w:ascii="仿宋_GB2312" w:hAnsi="仿宋_GB2312" w:eastAsia="仿宋_GB2312"/>
                <w:b w:val="0"/>
                <w:color w:val="000000"/>
                <w:sz w:val="32"/>
              </w:rPr>
              <w:t>中国税务报</w:t>
            </w:r>
          </w:p>
        </w:tc>
      </w:tr>
      <w:tr>
        <w:tc>
          <w:tcPr>
            <w:tcW w:type="dxa" w:w="2835"/>
          </w:tcPr>
          <w:p>
            <w:pPr>
              <w:spacing w:lineRule="exact" w:line="600"/>
              <w:jc w:val="center"/>
            </w:pPr>
            <w:r/>
            <w:r>
              <w:rPr>
                <w:rFonts w:ascii="仿宋_GB2312" w:hAnsi="仿宋_GB2312" w:eastAsia="仿宋_GB2312"/>
                <w:b w:val="0"/>
                <w:color w:val="000000"/>
                <w:sz w:val="32"/>
              </w:rPr>
              <w:t>年产设备</w:t>
            </w:r>
          </w:p>
        </w:tc>
        <w:tc>
          <w:tcPr>
            <w:tcW w:type="dxa" w:w="2835"/>
          </w:tcPr>
          <w:p>
            <w:pPr>
              <w:spacing w:lineRule="exact" w:line="600"/>
              <w:jc w:val="center"/>
            </w:pPr>
            <w:r/>
            <w:r>
              <w:rPr>
                <w:rFonts w:ascii="仿宋_GB2312" w:hAnsi="仿宋_GB2312" w:eastAsia="仿宋_GB2312"/>
                <w:b w:val="0"/>
                <w:color w:val="000000"/>
                <w:sz w:val="32"/>
              </w:rPr>
              <w:t>2000万台（套）</w:t>
            </w:r>
          </w:p>
        </w:tc>
        <w:tc>
          <w:tcPr>
            <w:tcW w:type="dxa" w:w="3118"/>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全县营收</w:t>
            </w:r>
          </w:p>
        </w:tc>
        <w:tc>
          <w:tcPr>
            <w:tcW w:type="dxa" w:w="2835"/>
          </w:tcPr>
          <w:p>
            <w:pPr>
              <w:spacing w:lineRule="exact" w:line="600"/>
              <w:jc w:val="center"/>
            </w:pPr>
            <w:r/>
            <w:r>
              <w:rPr>
                <w:rFonts w:ascii="仿宋_GB2312" w:hAnsi="仿宋_GB2312" w:eastAsia="仿宋_GB2312"/>
                <w:b w:val="0"/>
                <w:color w:val="000000"/>
                <w:sz w:val="32"/>
              </w:rPr>
              <w:t>超350亿元</w:t>
            </w:r>
          </w:p>
        </w:tc>
        <w:tc>
          <w:tcPr>
            <w:tcW w:type="dxa" w:w="3118"/>
          </w:tcPr>
          <w:p>
            <w:pPr>
              <w:spacing w:lineRule="exact" w:line="600"/>
              <w:jc w:val="center"/>
            </w:pPr>
            <w:r/>
            <w:r>
              <w:rPr>
                <w:rFonts w:ascii="仿宋_GB2312" w:hAnsi="仿宋_GB2312" w:eastAsia="仿宋_GB2312"/>
                <w:b w:val="0"/>
                <w:color w:val="000000"/>
                <w:sz w:val="32"/>
              </w:rPr>
              <w:t>博政办发2026</w:t>
            </w:r>
          </w:p>
        </w:tc>
      </w:tr>
      <w:tr>
        <w:tc>
          <w:tcPr>
            <w:tcW w:type="dxa" w:w="2835"/>
          </w:tcPr>
          <w:p>
            <w:pPr>
              <w:spacing w:lineRule="exact" w:line="600"/>
              <w:jc w:val="center"/>
            </w:pPr>
            <w:r/>
            <w:r>
              <w:rPr>
                <w:rFonts w:ascii="仿宋_GB2312" w:hAnsi="仿宋_GB2312" w:eastAsia="仿宋_GB2312"/>
                <w:b w:val="0"/>
                <w:color w:val="000000"/>
                <w:sz w:val="32"/>
              </w:rPr>
              <w:t>出口国</w:t>
            </w:r>
          </w:p>
        </w:tc>
        <w:tc>
          <w:tcPr>
            <w:tcW w:type="dxa" w:w="2835"/>
          </w:tcPr>
          <w:p>
            <w:pPr>
              <w:spacing w:lineRule="exact" w:line="600"/>
              <w:jc w:val="center"/>
            </w:pPr>
            <w:r/>
            <w:r>
              <w:rPr>
                <w:rFonts w:ascii="仿宋_GB2312" w:hAnsi="仿宋_GB2312" w:eastAsia="仿宋_GB2312"/>
                <w:b w:val="0"/>
                <w:color w:val="000000"/>
                <w:sz w:val="32"/>
              </w:rPr>
              <w:t>60多个（目标）</w:t>
            </w:r>
          </w:p>
        </w:tc>
        <w:tc>
          <w:tcPr>
            <w:tcW w:type="dxa" w:w="3118"/>
          </w:tcPr>
          <w:p>
            <w:pPr>
              <w:spacing w:lineRule="exact" w:line="600"/>
              <w:jc w:val="center"/>
            </w:pPr>
            <w:r/>
            <w:r>
              <w:rPr>
                <w:rFonts w:ascii="仿宋_GB2312" w:hAnsi="仿宋_GB2312" w:eastAsia="仿宋_GB2312"/>
                <w:b w:val="0"/>
                <w:color w:val="000000"/>
                <w:sz w:val="32"/>
              </w:rPr>
              <w:t>中国税务报</w:t>
            </w:r>
          </w:p>
        </w:tc>
      </w:tr>
      <w:tr>
        <w:tc>
          <w:tcPr>
            <w:tcW w:type="dxa" w:w="2835"/>
          </w:tcPr>
          <w:p>
            <w:pPr>
              <w:spacing w:lineRule="exact" w:line="600"/>
              <w:jc w:val="center"/>
            </w:pPr>
            <w:r/>
            <w:r>
              <w:rPr>
                <w:rFonts w:ascii="仿宋_GB2312" w:hAnsi="仿宋_GB2312" w:eastAsia="仿宋_GB2312"/>
                <w:b w:val="0"/>
                <w:color w:val="000000"/>
                <w:sz w:val="32"/>
              </w:rPr>
              <w:t>金佰特销售额</w:t>
            </w:r>
          </w:p>
        </w:tc>
        <w:tc>
          <w:tcPr>
            <w:tcW w:type="dxa" w:w="2835"/>
          </w:tcPr>
          <w:p>
            <w:pPr>
              <w:spacing w:lineRule="exact" w:line="600"/>
              <w:jc w:val="center"/>
            </w:pPr>
            <w:r/>
            <w:r>
              <w:rPr>
                <w:rFonts w:ascii="仿宋_GB2312" w:hAnsi="仿宋_GB2312" w:eastAsia="仿宋_GB2312"/>
                <w:b w:val="0"/>
                <w:color w:val="000000"/>
                <w:sz w:val="32"/>
              </w:rPr>
              <w:t>突破10亿元</w:t>
            </w:r>
          </w:p>
        </w:tc>
        <w:tc>
          <w:tcPr>
            <w:tcW w:type="dxa" w:w="3118"/>
          </w:tcPr>
          <w:p>
            <w:pPr>
              <w:spacing w:lineRule="exact" w:line="600"/>
              <w:jc w:val="center"/>
            </w:pPr>
            <w:r/>
            <w:r>
              <w:rPr>
                <w:rFonts w:ascii="仿宋_GB2312" w:hAnsi="仿宋_GB2312" w:eastAsia="仿宋_GB2312"/>
                <w:b w:val="0"/>
                <w:color w:val="000000"/>
                <w:sz w:val="32"/>
              </w:rPr>
              <w:t>金佰特官网</w:t>
            </w:r>
          </w:p>
        </w:tc>
      </w:tr>
    </w:tbl>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120" w:after="120"/>
        <w:ind w:firstLine="420"/>
        <w:jc w:val="left"/>
      </w:pPr>
      <w:r>
        <w:rPr>
          <w:rFonts w:ascii="楷体_GB2312" w:hAnsi="楷体_GB2312" w:eastAsia="楷体_GB2312"/>
          <w:b w:val="0"/>
          <w:color w:val="000000"/>
          <w:sz w:val="32"/>
        </w:rPr>
        <w:t>（一）国家战略与政策导向</w:t>
      </w:r>
    </w:p>
    <w:p>
      <w:pPr>
        <w:spacing w:lineRule="exact" w:line="600" w:before="0" w:after="0"/>
        <w:ind w:firstLine="420"/>
        <w:jc w:val="both"/>
      </w:pPr>
      <w:r>
        <w:rPr>
          <w:rFonts w:ascii="仿宋_GB2312" w:hAnsi="仿宋_GB2312" w:eastAsia="仿宋_GB2312"/>
          <w:b w:val="0"/>
          <w:color w:val="000000"/>
          <w:sz w:val="32"/>
        </w:rPr>
        <w:t>商用厨具属于餐饮供应链与绿色制造交叉领域，契合国家促消费、设备更新与绿色低碳政策。博兴县将商用厨具列为七大重点产业链之一，在全省县级层面率先实施产业链「链长制」（来源：人民网/大众日报）。2026年1月博兴县政府办公厅印发《商用厨具行业质量提升与规范治理专项行动工作方案》（博政办发〔2026〕1号），推动产业从「规模扩张」向「质量效益」转型（来源：滨州市政府官网）。</w:t>
      </w:r>
    </w:p>
    <w:p>
      <w:pPr>
        <w:spacing w:lineRule="exact" w:line="600" w:before="120" w:after="120"/>
        <w:ind w:firstLine="420"/>
        <w:jc w:val="left"/>
      </w:pPr>
      <w:r>
        <w:rPr>
          <w:rFonts w:ascii="楷体_GB2312" w:hAnsi="楷体_GB2312" w:eastAsia="楷体_GB2312"/>
          <w:b w:val="0"/>
          <w:color w:val="000000"/>
          <w:sz w:val="32"/>
        </w:rPr>
        <w:t>（二）区域产业定位</w:t>
      </w:r>
    </w:p>
    <w:p>
      <w:pPr>
        <w:spacing w:lineRule="exact" w:line="600" w:before="0" w:after="0"/>
        <w:ind w:firstLine="420"/>
        <w:jc w:val="both"/>
      </w:pPr>
      <w:r>
        <w:rPr>
          <w:rFonts w:ascii="仿宋_GB2312" w:hAnsi="仿宋_GB2312" w:eastAsia="仿宋_GB2312"/>
          <w:b w:val="0"/>
          <w:color w:val="000000"/>
          <w:sz w:val="32"/>
        </w:rPr>
        <w:t>兴福镇户籍人口仅4万、面积52平方公里，却聚集超2800家商用厨具企业，被誉为「中国厨都」「全国最大的不锈钢商用厨具生产基地」，2023、2024连续两年上榜全国综合实力千强镇（来源：中国税务报、人民网）。博兴县商用厨具现代服务业创业创新示范基地被工信部确定为国家级「双创示范基地」（来源：中研产业研究院）。</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835"/>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来源/年份</w:t>
            </w:r>
          </w:p>
        </w:tc>
      </w:tr>
      <w:tr>
        <w:tc>
          <w:tcPr>
            <w:tcW w:type="dxa" w:w="2835"/>
          </w:tcPr>
          <w:p>
            <w:pPr>
              <w:spacing w:lineRule="exact" w:line="600"/>
              <w:jc w:val="center"/>
            </w:pPr>
            <w:r/>
            <w:r>
              <w:rPr>
                <w:rFonts w:ascii="仿宋_GB2312" w:hAnsi="仿宋_GB2312" w:eastAsia="仿宋_GB2312"/>
                <w:b w:val="0"/>
                <w:color w:val="000000"/>
                <w:sz w:val="32"/>
              </w:rPr>
              <w:t>兴福镇厨具企业</w:t>
            </w:r>
          </w:p>
        </w:tc>
        <w:tc>
          <w:tcPr>
            <w:tcW w:type="dxa" w:w="2835"/>
          </w:tcPr>
          <w:p>
            <w:pPr>
              <w:spacing w:lineRule="exact" w:line="600"/>
              <w:jc w:val="center"/>
            </w:pPr>
            <w:r/>
            <w:r>
              <w:rPr>
                <w:rFonts w:ascii="仿宋_GB2312" w:hAnsi="仿宋_GB2312" w:eastAsia="仿宋_GB2312"/>
                <w:b w:val="0"/>
                <w:color w:val="000000"/>
                <w:sz w:val="32"/>
              </w:rPr>
              <w:t>2800余家</w:t>
            </w:r>
          </w:p>
        </w:tc>
        <w:tc>
          <w:tcPr>
            <w:tcW w:type="dxa" w:w="3118"/>
          </w:tcPr>
          <w:p>
            <w:pPr>
              <w:spacing w:lineRule="exact" w:line="600"/>
              <w:jc w:val="center"/>
            </w:pPr>
            <w:r/>
            <w:r>
              <w:rPr>
                <w:rFonts w:ascii="仿宋_GB2312" w:hAnsi="仿宋_GB2312" w:eastAsia="仿宋_GB2312"/>
                <w:b w:val="0"/>
                <w:color w:val="000000"/>
                <w:sz w:val="32"/>
              </w:rPr>
              <w:t>新华社/人民网</w:t>
            </w:r>
          </w:p>
        </w:tc>
      </w:tr>
      <w:tr>
        <w:tc>
          <w:tcPr>
            <w:tcW w:type="dxa" w:w="2835"/>
          </w:tcPr>
          <w:p>
            <w:pPr>
              <w:spacing w:lineRule="exact" w:line="600"/>
              <w:jc w:val="center"/>
            </w:pPr>
            <w:r/>
            <w:r>
              <w:rPr>
                <w:rFonts w:ascii="仿宋_GB2312" w:hAnsi="仿宋_GB2312" w:eastAsia="仿宋_GB2312"/>
                <w:b w:val="0"/>
                <w:color w:val="000000"/>
                <w:sz w:val="32"/>
              </w:rPr>
              <w:t>年产值</w:t>
            </w:r>
          </w:p>
        </w:tc>
        <w:tc>
          <w:tcPr>
            <w:tcW w:type="dxa" w:w="2835"/>
          </w:tcPr>
          <w:p>
            <w:pPr>
              <w:spacing w:lineRule="exact" w:line="600"/>
              <w:jc w:val="center"/>
            </w:pPr>
            <w:r/>
            <w:r>
              <w:rPr>
                <w:rFonts w:ascii="仿宋_GB2312" w:hAnsi="仿宋_GB2312" w:eastAsia="仿宋_GB2312"/>
                <w:b w:val="0"/>
                <w:color w:val="000000"/>
                <w:sz w:val="32"/>
              </w:rPr>
              <w:t>300多亿元</w:t>
            </w:r>
          </w:p>
        </w:tc>
        <w:tc>
          <w:tcPr>
            <w:tcW w:type="dxa" w:w="3118"/>
          </w:tcPr>
          <w:p>
            <w:pPr>
              <w:spacing w:lineRule="exact" w:line="600"/>
              <w:jc w:val="center"/>
            </w:pPr>
            <w:r/>
            <w:r>
              <w:rPr>
                <w:rFonts w:ascii="仿宋_GB2312" w:hAnsi="仿宋_GB2312" w:eastAsia="仿宋_GB2312"/>
                <w:b w:val="0"/>
                <w:color w:val="000000"/>
                <w:sz w:val="32"/>
              </w:rPr>
              <w:t>同上</w:t>
            </w:r>
          </w:p>
        </w:tc>
      </w:tr>
      <w:tr>
        <w:tc>
          <w:tcPr>
            <w:tcW w:type="dxa" w:w="2835"/>
          </w:tcPr>
          <w:p>
            <w:pPr>
              <w:spacing w:lineRule="exact" w:line="600"/>
              <w:jc w:val="center"/>
            </w:pPr>
            <w:r/>
            <w:r>
              <w:rPr>
                <w:rFonts w:ascii="仿宋_GB2312" w:hAnsi="仿宋_GB2312" w:eastAsia="仿宋_GB2312"/>
                <w:b w:val="0"/>
                <w:color w:val="000000"/>
                <w:sz w:val="32"/>
              </w:rPr>
              <w:t>全国市场份额</w:t>
            </w:r>
          </w:p>
        </w:tc>
        <w:tc>
          <w:tcPr>
            <w:tcW w:type="dxa" w:w="2835"/>
          </w:tcPr>
          <w:p>
            <w:pPr>
              <w:spacing w:lineRule="exact" w:line="600"/>
              <w:jc w:val="center"/>
            </w:pPr>
            <w:r/>
            <w:r>
              <w:rPr>
                <w:rFonts w:ascii="仿宋_GB2312" w:hAnsi="仿宋_GB2312" w:eastAsia="仿宋_GB2312"/>
                <w:b w:val="0"/>
                <w:color w:val="000000"/>
                <w:sz w:val="32"/>
              </w:rPr>
              <w:t>40%以上</w:t>
            </w:r>
          </w:p>
        </w:tc>
        <w:tc>
          <w:tcPr>
            <w:tcW w:type="dxa" w:w="3118"/>
          </w:tcPr>
          <w:p>
            <w:pPr>
              <w:spacing w:lineRule="exact" w:line="600"/>
              <w:jc w:val="center"/>
            </w:pPr>
            <w:r/>
            <w:r>
              <w:rPr>
                <w:rFonts w:ascii="仿宋_GB2312" w:hAnsi="仿宋_GB2312" w:eastAsia="仿宋_GB2312"/>
                <w:b w:val="0"/>
                <w:color w:val="000000"/>
                <w:sz w:val="32"/>
              </w:rPr>
              <w:t>同上</w:t>
            </w:r>
          </w:p>
        </w:tc>
      </w:tr>
      <w:tr>
        <w:tc>
          <w:tcPr>
            <w:tcW w:type="dxa" w:w="2835"/>
          </w:tcPr>
          <w:p>
            <w:pPr>
              <w:spacing w:lineRule="exact" w:line="600"/>
              <w:jc w:val="center"/>
            </w:pPr>
            <w:r/>
            <w:r>
              <w:rPr>
                <w:rFonts w:ascii="仿宋_GB2312" w:hAnsi="仿宋_GB2312" w:eastAsia="仿宋_GB2312"/>
                <w:b w:val="0"/>
                <w:color w:val="000000"/>
                <w:sz w:val="32"/>
              </w:rPr>
              <w:t>全省份额</w:t>
            </w:r>
          </w:p>
        </w:tc>
        <w:tc>
          <w:tcPr>
            <w:tcW w:type="dxa" w:w="2835"/>
          </w:tcPr>
          <w:p>
            <w:pPr>
              <w:spacing w:lineRule="exact" w:line="600"/>
              <w:jc w:val="center"/>
            </w:pPr>
            <w:r/>
            <w:r>
              <w:rPr>
                <w:rFonts w:ascii="仿宋_GB2312" w:hAnsi="仿宋_GB2312" w:eastAsia="仿宋_GB2312"/>
                <w:b w:val="0"/>
                <w:color w:val="000000"/>
                <w:sz w:val="32"/>
              </w:rPr>
              <w:t>90%</w:t>
            </w:r>
          </w:p>
        </w:tc>
        <w:tc>
          <w:tcPr>
            <w:tcW w:type="dxa" w:w="3118"/>
          </w:tcPr>
          <w:p>
            <w:pPr>
              <w:spacing w:lineRule="exact" w:line="600"/>
              <w:jc w:val="center"/>
            </w:pPr>
            <w:r/>
            <w:r>
              <w:rPr>
                <w:rFonts w:ascii="仿宋_GB2312" w:hAnsi="仿宋_GB2312" w:eastAsia="仿宋_GB2312"/>
                <w:b w:val="0"/>
                <w:color w:val="000000"/>
                <w:sz w:val="32"/>
              </w:rPr>
              <w:t>中国税务报</w:t>
            </w:r>
          </w:p>
        </w:tc>
      </w:tr>
      <w:tr>
        <w:tc>
          <w:tcPr>
            <w:tcW w:type="dxa" w:w="2835"/>
          </w:tcPr>
          <w:p>
            <w:pPr>
              <w:spacing w:lineRule="exact" w:line="600"/>
              <w:jc w:val="center"/>
            </w:pPr>
            <w:r/>
            <w:r>
              <w:rPr>
                <w:rFonts w:ascii="仿宋_GB2312" w:hAnsi="仿宋_GB2312" w:eastAsia="仿宋_GB2312"/>
                <w:b w:val="0"/>
                <w:color w:val="000000"/>
                <w:sz w:val="32"/>
              </w:rPr>
              <w:t>年产设备</w:t>
            </w:r>
          </w:p>
        </w:tc>
        <w:tc>
          <w:tcPr>
            <w:tcW w:type="dxa" w:w="2835"/>
          </w:tcPr>
          <w:p>
            <w:pPr>
              <w:spacing w:lineRule="exact" w:line="600"/>
              <w:jc w:val="center"/>
            </w:pPr>
            <w:r/>
            <w:r>
              <w:rPr>
                <w:rFonts w:ascii="仿宋_GB2312" w:hAnsi="仿宋_GB2312" w:eastAsia="仿宋_GB2312"/>
                <w:b w:val="0"/>
                <w:color w:val="000000"/>
                <w:sz w:val="32"/>
              </w:rPr>
              <w:t>2000万台（套）</w:t>
            </w:r>
          </w:p>
        </w:tc>
        <w:tc>
          <w:tcPr>
            <w:tcW w:type="dxa" w:w="3118"/>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集群级别</w:t>
            </w:r>
          </w:p>
        </w:tc>
        <w:tc>
          <w:tcPr>
            <w:tcW w:type="dxa" w:w="2835"/>
          </w:tcPr>
          <w:p>
            <w:pPr>
              <w:spacing w:lineRule="exact" w:line="600"/>
              <w:jc w:val="center"/>
            </w:pPr>
            <w:r/>
            <w:r>
              <w:rPr>
                <w:rFonts w:ascii="仿宋_GB2312" w:hAnsi="仿宋_GB2312" w:eastAsia="仿宋_GB2312"/>
                <w:b w:val="0"/>
                <w:color w:val="000000"/>
                <w:sz w:val="32"/>
              </w:rPr>
              <w:t>首批国家级特色产业集群</w:t>
            </w:r>
          </w:p>
        </w:tc>
        <w:tc>
          <w:tcPr>
            <w:tcW w:type="dxa" w:w="3118"/>
          </w:tcPr>
          <w:p>
            <w:pPr>
              <w:spacing w:lineRule="exact" w:line="600"/>
              <w:jc w:val="center"/>
            </w:pPr>
            <w:r/>
            <w:r>
              <w:rPr>
                <w:rFonts w:ascii="仿宋_GB2312" w:hAnsi="仿宋_GB2312" w:eastAsia="仿宋_GB2312"/>
                <w:b w:val="0"/>
                <w:color w:val="000000"/>
                <w:sz w:val="32"/>
              </w:rPr>
              <w:t>人民网</w:t>
            </w:r>
          </w:p>
        </w:tc>
      </w:tr>
    </w:tbl>
    <w:p>
      <w:pPr>
        <w:spacing w:lineRule="exact" w:line="600" w:before="120" w:after="120"/>
        <w:ind w:firstLine="420"/>
        <w:jc w:val="left"/>
      </w:pPr>
      <w:r>
        <w:rPr>
          <w:rFonts w:ascii="楷体_GB2312" w:hAnsi="楷体_GB2312" w:eastAsia="楷体_GB2312"/>
          <w:b w:val="0"/>
          <w:color w:val="000000"/>
          <w:sz w:val="32"/>
        </w:rPr>
        <w:t>支柱产业与区位（本批真实数据补充·来源见正文）</w:t>
      </w:r>
    </w:p>
    <w:p>
      <w:pPr>
        <w:spacing w:lineRule="exact" w:line="600" w:before="0" w:after="0"/>
        <w:ind w:firstLine="420"/>
        <w:jc w:val="both"/>
      </w:pPr>
      <w:r>
        <w:rPr>
          <w:rFonts w:ascii="仿宋_GB2312" w:hAnsi="仿宋_GB2312" w:eastAsia="仿宋_GB2312"/>
          <w:b w:val="0"/>
          <w:color w:val="000000"/>
          <w:sz w:val="32"/>
        </w:rPr>
        <w:t>商用厨具制造是博兴县支柱产业之一，历经40余年发展，博兴已成为全国最大的不锈钢商用厨具生产基地之一。2024年博兴县实施产业链“链长制”，商用厨具产业“量质齐升”。（来源：博兴县优化营商环境报道、人民网2024博兴厨具节）</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3118"/>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2835"/>
          </w:tcPr>
          <w:p>
            <w:pPr>
              <w:spacing w:lineRule="exact" w:line="600"/>
              <w:jc w:val="center"/>
            </w:pPr>
            <w:r/>
            <w:r>
              <w:rPr>
                <w:rFonts w:ascii="仿宋_GB2312" w:hAnsi="仿宋_GB2312" w:eastAsia="仿宋_GB2312"/>
                <w:b w:val="0"/>
                <w:color w:val="000000"/>
                <w:sz w:val="32"/>
              </w:rPr>
              <w:t>产业定位</w:t>
            </w:r>
          </w:p>
        </w:tc>
        <w:tc>
          <w:tcPr>
            <w:tcW w:type="dxa" w:w="3118"/>
          </w:tcPr>
          <w:p>
            <w:pPr>
              <w:spacing w:lineRule="exact" w:line="600"/>
              <w:jc w:val="center"/>
            </w:pPr>
            <w:r/>
            <w:r>
              <w:rPr>
                <w:rFonts w:ascii="仿宋_GB2312" w:hAnsi="仿宋_GB2312" w:eastAsia="仿宋_GB2312"/>
                <w:b w:val="0"/>
                <w:color w:val="000000"/>
                <w:sz w:val="32"/>
              </w:rPr>
              <w:t>全国最大不锈钢厨具基地之一</w:t>
            </w:r>
          </w:p>
        </w:tc>
        <w:tc>
          <w:tcPr>
            <w:tcW w:type="dxa" w:w="2551"/>
          </w:tcPr>
          <w:p>
            <w:pPr>
              <w:spacing w:lineRule="exact" w:line="600"/>
              <w:jc w:val="center"/>
            </w:pPr>
            <w:r/>
            <w:r>
              <w:rPr>
                <w:rFonts w:ascii="仿宋_GB2312" w:hAnsi="仿宋_GB2312" w:eastAsia="仿宋_GB2312"/>
                <w:b w:val="0"/>
                <w:color w:val="000000"/>
                <w:sz w:val="32"/>
              </w:rPr>
              <w:t>博兴县</w:t>
            </w:r>
          </w:p>
        </w:tc>
      </w:tr>
      <w:tr>
        <w:tc>
          <w:tcPr>
            <w:tcW w:type="dxa" w:w="2835"/>
          </w:tcPr>
          <w:p>
            <w:pPr>
              <w:spacing w:lineRule="exact" w:line="600"/>
              <w:jc w:val="center"/>
            </w:pPr>
            <w:r/>
            <w:r>
              <w:rPr>
                <w:rFonts w:ascii="仿宋_GB2312" w:hAnsi="仿宋_GB2312" w:eastAsia="仿宋_GB2312"/>
                <w:b w:val="0"/>
                <w:color w:val="000000"/>
                <w:sz w:val="32"/>
              </w:rPr>
              <w:t>发展模式</w:t>
            </w:r>
          </w:p>
        </w:tc>
        <w:tc>
          <w:tcPr>
            <w:tcW w:type="dxa" w:w="3118"/>
          </w:tcPr>
          <w:p>
            <w:pPr>
              <w:spacing w:lineRule="exact" w:line="600"/>
              <w:jc w:val="center"/>
            </w:pPr>
            <w:r/>
            <w:r>
              <w:rPr>
                <w:rFonts w:ascii="仿宋_GB2312" w:hAnsi="仿宋_GB2312" w:eastAsia="仿宋_GB2312"/>
                <w:b w:val="0"/>
                <w:color w:val="000000"/>
                <w:sz w:val="32"/>
              </w:rPr>
              <w:t>产业链链长制（7条重点链）</w:t>
            </w:r>
          </w:p>
        </w:tc>
        <w:tc>
          <w:tcPr>
            <w:tcW w:type="dxa" w:w="2551"/>
          </w:tcPr>
          <w:p>
            <w:pPr>
              <w:spacing w:lineRule="exact" w:line="600"/>
              <w:jc w:val="center"/>
            </w:pPr>
            <w:r/>
            <w:r>
              <w:rPr>
                <w:rFonts w:ascii="仿宋_GB2312" w:hAnsi="仿宋_GB2312" w:eastAsia="仿宋_GB2312"/>
                <w:b w:val="0"/>
                <w:color w:val="000000"/>
                <w:sz w:val="32"/>
              </w:rPr>
              <w:t>2022年起</w:t>
            </w:r>
          </w:p>
        </w:tc>
      </w:tr>
      <w:tr>
        <w:tc>
          <w:tcPr>
            <w:tcW w:type="dxa" w:w="2835"/>
          </w:tcPr>
          <w:p>
            <w:pPr>
              <w:spacing w:lineRule="exact" w:line="600"/>
              <w:jc w:val="center"/>
            </w:pPr>
            <w:r/>
            <w:r>
              <w:rPr>
                <w:rFonts w:ascii="仿宋_GB2312" w:hAnsi="仿宋_GB2312" w:eastAsia="仿宋_GB2312"/>
                <w:b w:val="0"/>
                <w:color w:val="000000"/>
                <w:sz w:val="32"/>
              </w:rPr>
              <w:t>区域品牌</w:t>
            </w:r>
          </w:p>
        </w:tc>
        <w:tc>
          <w:tcPr>
            <w:tcW w:type="dxa" w:w="3118"/>
          </w:tcPr>
          <w:p>
            <w:pPr>
              <w:spacing w:lineRule="exact" w:line="600"/>
              <w:jc w:val="center"/>
            </w:pPr>
            <w:r/>
            <w:r>
              <w:rPr>
                <w:rFonts w:ascii="仿宋_GB2312" w:hAnsi="仿宋_GB2312" w:eastAsia="仿宋_GB2312"/>
                <w:b w:val="0"/>
                <w:color w:val="000000"/>
                <w:sz w:val="32"/>
              </w:rPr>
              <w:t>“中国智慧厨都”</w:t>
            </w:r>
          </w:p>
        </w:tc>
        <w:tc>
          <w:tcPr>
            <w:tcW w:type="dxa" w:w="2551"/>
          </w:tcPr>
          <w:p>
            <w:pPr>
              <w:spacing w:lineRule="exact" w:line="600"/>
              <w:jc w:val="center"/>
            </w:pPr>
            <w:r/>
            <w:r>
              <w:rPr>
                <w:rFonts w:ascii="仿宋_GB2312" w:hAnsi="仿宋_GB2312" w:eastAsia="仿宋_GB2312"/>
                <w:b w:val="0"/>
                <w:color w:val="000000"/>
                <w:sz w:val="32"/>
              </w:rPr>
              <w:t>兴福镇</w:t>
            </w:r>
          </w:p>
        </w:tc>
      </w:tr>
    </w:tbl>
    <w:p>
      <w:pPr>
        <w:spacing w:lineRule="exact" w:line="600" w:before="120" w:after="120"/>
        <w:ind w:firstLine="420"/>
        <w:jc w:val="left"/>
      </w:pPr>
      <w:r>
        <w:rPr>
          <w:rFonts w:ascii="黑体" w:hAnsi="黑体" w:eastAsia="黑体"/>
          <w:b w:val="0"/>
          <w:color w:val="000000"/>
          <w:sz w:val="32"/>
        </w:rPr>
        <w:t>二、产业链结构</w:t>
      </w:r>
    </w:p>
    <w:p>
      <w:pPr>
        <w:spacing w:lineRule="exact" w:line="600" w:before="120" w:after="120"/>
        <w:ind w:firstLine="420"/>
        <w:jc w:val="left"/>
      </w:pPr>
      <w:r>
        <w:rPr>
          <w:rFonts w:ascii="楷体_GB2312" w:hAnsi="楷体_GB2312" w:eastAsia="楷体_GB2312"/>
          <w:b w:val="0"/>
          <w:color w:val="000000"/>
          <w:sz w:val="32"/>
        </w:rPr>
        <w:t>（一）产业链构成</w:t>
      </w:r>
    </w:p>
    <w:p>
      <w:pPr>
        <w:spacing w:lineRule="exact" w:line="600" w:before="0" w:after="0"/>
        <w:ind w:firstLine="420"/>
        <w:jc w:val="both"/>
      </w:pPr>
      <w:r>
        <w:rPr>
          <w:rFonts w:ascii="仿宋_GB2312" w:hAnsi="仿宋_GB2312" w:eastAsia="仿宋_GB2312"/>
          <w:b w:val="0"/>
          <w:color w:val="000000"/>
          <w:sz w:val="32"/>
        </w:rPr>
        <w:t>博兴商用厨具已形成从原材料供应、模具加工、零部件生产到成品组装、产品销售的完整链条（来源：新华社）。上游为不锈钢板材、燃气阀件、电控元件等，中游为灶具、制冷、蒸烤、清洗等成品制造，下游为工程配套与商贸物流。产品涵盖十二大系列上千品种（来源：中国税务报、中研普华）。</w:t>
      </w:r>
    </w:p>
    <w:p>
      <w:pPr>
        <w:spacing w:lineRule="exact" w:line="600" w:before="120" w:after="120"/>
        <w:ind w:firstLine="420"/>
        <w:jc w:val="left"/>
      </w:pPr>
      <w:r>
        <w:rPr>
          <w:rFonts w:ascii="楷体_GB2312" w:hAnsi="楷体_GB2312" w:eastAsia="楷体_GB2312"/>
          <w:b w:val="0"/>
          <w:color w:val="000000"/>
          <w:sz w:val="32"/>
        </w:rPr>
        <w:t>（二）配套与集群生态</w:t>
      </w:r>
    </w:p>
    <w:p>
      <w:pPr>
        <w:spacing w:lineRule="exact" w:line="600" w:before="0" w:after="0"/>
        <w:ind w:firstLine="420"/>
        <w:jc w:val="both"/>
      </w:pPr>
      <w:r>
        <w:rPr>
          <w:rFonts w:ascii="仿宋_GB2312" w:hAnsi="仿宋_GB2312" w:eastAsia="仿宋_GB2312"/>
          <w:b w:val="0"/>
          <w:color w:val="000000"/>
          <w:sz w:val="32"/>
        </w:rPr>
        <w:t>博兴县商用厨具生产及配套商户3500余家，年营收超350亿元、国内市场份额占1/3以上、带动就业6.2万人（来源：博政办发〔2026〕1号）。2020年起博兴每年制定发展规划，将2800多家企业分为产业链上中下游并建立链主制度，确定6家企业为链主带动中小微融通发展（来源：中研普华、齐鲁晚报）。</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环节</w:t>
            </w:r>
          </w:p>
        </w:tc>
        <w:tc>
          <w:tcPr>
            <w:tcW w:type="dxa" w:w="2835"/>
          </w:tcPr>
          <w:p>
            <w:pPr>
              <w:spacing w:lineRule="exact" w:line="600"/>
              <w:jc w:val="center"/>
            </w:pPr>
            <w:r/>
            <w:r>
              <w:rPr>
                <w:rFonts w:ascii="黑体" w:hAnsi="黑体" w:eastAsia="黑体"/>
                <w:b/>
                <w:color w:val="000000"/>
                <w:sz w:val="32"/>
              </w:rPr>
              <w:t>内容</w:t>
            </w:r>
          </w:p>
        </w:tc>
        <w:tc>
          <w:tcPr>
            <w:tcW w:type="dxa" w:w="3118"/>
          </w:tcPr>
          <w:p>
            <w:pPr>
              <w:spacing w:lineRule="exact" w:line="600"/>
              <w:jc w:val="center"/>
            </w:pPr>
            <w:r/>
            <w:r>
              <w:rPr>
                <w:rFonts w:ascii="黑体" w:hAnsi="黑体" w:eastAsia="黑体"/>
                <w:b/>
                <w:color w:val="000000"/>
                <w:sz w:val="32"/>
              </w:rPr>
              <w:t>临清/博兴情况</w:t>
            </w:r>
          </w:p>
        </w:tc>
      </w:tr>
      <w:tr>
        <w:tc>
          <w:tcPr>
            <w:tcW w:type="dxa" w:w="2551"/>
          </w:tcPr>
          <w:p>
            <w:pPr>
              <w:spacing w:lineRule="exact" w:line="600"/>
              <w:jc w:val="center"/>
            </w:pPr>
            <w:r/>
            <w:r>
              <w:rPr>
                <w:rFonts w:ascii="仿宋_GB2312" w:hAnsi="仿宋_GB2312" w:eastAsia="仿宋_GB2312"/>
                <w:b w:val="0"/>
                <w:color w:val="000000"/>
                <w:sz w:val="32"/>
              </w:rPr>
              <w:t>上游</w:t>
            </w:r>
          </w:p>
        </w:tc>
        <w:tc>
          <w:tcPr>
            <w:tcW w:type="dxa" w:w="2835"/>
          </w:tcPr>
          <w:p>
            <w:pPr>
              <w:spacing w:lineRule="exact" w:line="600"/>
              <w:jc w:val="center"/>
            </w:pPr>
            <w:r/>
            <w:r>
              <w:rPr>
                <w:rFonts w:ascii="仿宋_GB2312" w:hAnsi="仿宋_GB2312" w:eastAsia="仿宋_GB2312"/>
                <w:b w:val="0"/>
                <w:color w:val="000000"/>
                <w:sz w:val="32"/>
              </w:rPr>
              <w:t>不锈钢板、阀件、电控</w:t>
            </w:r>
          </w:p>
        </w:tc>
        <w:tc>
          <w:tcPr>
            <w:tcW w:type="dxa" w:w="3118"/>
          </w:tcPr>
          <w:p>
            <w:pPr>
              <w:spacing w:lineRule="exact" w:line="600"/>
              <w:jc w:val="center"/>
            </w:pPr>
            <w:r/>
            <w:r>
              <w:rPr>
                <w:rFonts w:ascii="仿宋_GB2312" w:hAnsi="仿宋_GB2312" w:eastAsia="仿宋_GB2312"/>
                <w:b w:val="0"/>
                <w:color w:val="000000"/>
                <w:sz w:val="32"/>
              </w:rPr>
              <w:t>本地配套+外购</w:t>
            </w:r>
          </w:p>
        </w:tc>
      </w:tr>
      <w:tr>
        <w:tc>
          <w:tcPr>
            <w:tcW w:type="dxa" w:w="2551"/>
          </w:tcPr>
          <w:p>
            <w:pPr>
              <w:spacing w:lineRule="exact" w:line="600"/>
              <w:jc w:val="center"/>
            </w:pPr>
            <w:r/>
            <w:r>
              <w:rPr>
                <w:rFonts w:ascii="仿宋_GB2312" w:hAnsi="仿宋_GB2312" w:eastAsia="仿宋_GB2312"/>
                <w:b w:val="0"/>
                <w:color w:val="000000"/>
                <w:sz w:val="32"/>
              </w:rPr>
              <w:t>中游</w:t>
            </w:r>
          </w:p>
        </w:tc>
        <w:tc>
          <w:tcPr>
            <w:tcW w:type="dxa" w:w="2835"/>
          </w:tcPr>
          <w:p>
            <w:pPr>
              <w:spacing w:lineRule="exact" w:line="600"/>
              <w:jc w:val="center"/>
            </w:pPr>
            <w:r/>
            <w:r>
              <w:rPr>
                <w:rFonts w:ascii="仿宋_GB2312" w:hAnsi="仿宋_GB2312" w:eastAsia="仿宋_GB2312"/>
                <w:b w:val="0"/>
                <w:color w:val="000000"/>
                <w:sz w:val="32"/>
              </w:rPr>
              <w:t>灶具/制冷/蒸烤/清洗</w:t>
            </w:r>
          </w:p>
        </w:tc>
        <w:tc>
          <w:tcPr>
            <w:tcW w:type="dxa" w:w="3118"/>
          </w:tcPr>
          <w:p>
            <w:pPr>
              <w:spacing w:lineRule="exact" w:line="600"/>
              <w:jc w:val="center"/>
            </w:pPr>
            <w:r/>
            <w:r>
              <w:rPr>
                <w:rFonts w:ascii="仿宋_GB2312" w:hAnsi="仿宋_GB2312" w:eastAsia="仿宋_GB2312"/>
                <w:b w:val="0"/>
                <w:color w:val="000000"/>
                <w:sz w:val="32"/>
              </w:rPr>
              <w:t>十二大系列千品种</w:t>
            </w:r>
          </w:p>
        </w:tc>
      </w:tr>
      <w:tr>
        <w:tc>
          <w:tcPr>
            <w:tcW w:type="dxa" w:w="2551"/>
          </w:tcPr>
          <w:p>
            <w:pPr>
              <w:spacing w:lineRule="exact" w:line="600"/>
              <w:jc w:val="center"/>
            </w:pPr>
            <w:r/>
            <w:r>
              <w:rPr>
                <w:rFonts w:ascii="仿宋_GB2312" w:hAnsi="仿宋_GB2312" w:eastAsia="仿宋_GB2312"/>
                <w:b w:val="0"/>
                <w:color w:val="000000"/>
                <w:sz w:val="32"/>
              </w:rPr>
              <w:t>下游</w:t>
            </w:r>
          </w:p>
        </w:tc>
        <w:tc>
          <w:tcPr>
            <w:tcW w:type="dxa" w:w="2835"/>
          </w:tcPr>
          <w:p>
            <w:pPr>
              <w:spacing w:lineRule="exact" w:line="600"/>
              <w:jc w:val="center"/>
            </w:pPr>
            <w:r/>
            <w:r>
              <w:rPr>
                <w:rFonts w:ascii="仿宋_GB2312" w:hAnsi="仿宋_GB2312" w:eastAsia="仿宋_GB2312"/>
                <w:b w:val="0"/>
                <w:color w:val="000000"/>
                <w:sz w:val="32"/>
              </w:rPr>
              <w:t>工程配套+商贸物流</w:t>
            </w:r>
          </w:p>
        </w:tc>
        <w:tc>
          <w:tcPr>
            <w:tcW w:type="dxa" w:w="3118"/>
          </w:tcPr>
          <w:p>
            <w:pPr>
              <w:spacing w:lineRule="exact" w:line="600"/>
              <w:jc w:val="center"/>
            </w:pPr>
            <w:r/>
            <w:r>
              <w:rPr>
                <w:rFonts w:ascii="仿宋_GB2312" w:hAnsi="仿宋_GB2312" w:eastAsia="仿宋_GB2312"/>
                <w:b w:val="0"/>
                <w:color w:val="000000"/>
                <w:sz w:val="32"/>
              </w:rPr>
              <w:t>链主6家带动</w:t>
            </w:r>
          </w:p>
        </w:tc>
      </w:tr>
      <w:tr>
        <w:tc>
          <w:tcPr>
            <w:tcW w:type="dxa" w:w="2551"/>
          </w:tcPr>
          <w:p>
            <w:pPr>
              <w:spacing w:lineRule="exact" w:line="600"/>
              <w:jc w:val="center"/>
            </w:pPr>
            <w:r/>
            <w:r>
              <w:rPr>
                <w:rFonts w:ascii="仿宋_GB2312" w:hAnsi="仿宋_GB2312" w:eastAsia="仿宋_GB2312"/>
                <w:b w:val="0"/>
                <w:color w:val="000000"/>
                <w:sz w:val="32"/>
              </w:rPr>
              <w:t>配套商户</w:t>
            </w:r>
          </w:p>
        </w:tc>
        <w:tc>
          <w:tcPr>
            <w:tcW w:type="dxa" w:w="2835"/>
          </w:tcPr>
          <w:p>
            <w:pPr>
              <w:spacing w:lineRule="exact" w:line="600"/>
              <w:jc w:val="center"/>
            </w:pPr>
            <w:r/>
            <w:r>
              <w:rPr>
                <w:rFonts w:ascii="仿宋_GB2312" w:hAnsi="仿宋_GB2312" w:eastAsia="仿宋_GB2312"/>
                <w:b w:val="0"/>
                <w:color w:val="000000"/>
                <w:sz w:val="32"/>
              </w:rPr>
              <w:t>全县3500余家</w:t>
            </w:r>
          </w:p>
        </w:tc>
        <w:tc>
          <w:tcPr>
            <w:tcW w:type="dxa" w:w="3118"/>
          </w:tcPr>
          <w:p>
            <w:pPr>
              <w:spacing w:lineRule="exact" w:line="600"/>
              <w:jc w:val="center"/>
            </w:pPr>
            <w:r/>
            <w:r>
              <w:rPr>
                <w:rFonts w:ascii="仿宋_GB2312" w:hAnsi="仿宋_GB2312" w:eastAsia="仿宋_GB2312"/>
                <w:b w:val="0"/>
                <w:color w:val="000000"/>
                <w:sz w:val="32"/>
              </w:rPr>
              <w:t>年营收350亿+</w:t>
            </w:r>
          </w:p>
        </w:tc>
      </w:tr>
      <w:tr>
        <w:tc>
          <w:tcPr>
            <w:tcW w:type="dxa" w:w="2551"/>
          </w:tcPr>
          <w:p>
            <w:pPr>
              <w:spacing w:lineRule="exact" w:line="600"/>
              <w:jc w:val="center"/>
            </w:pPr>
            <w:r/>
            <w:r>
              <w:rPr>
                <w:rFonts w:ascii="仿宋_GB2312" w:hAnsi="仿宋_GB2312" w:eastAsia="仿宋_GB2312"/>
                <w:b w:val="0"/>
                <w:color w:val="000000"/>
                <w:sz w:val="32"/>
              </w:rPr>
              <w:t>就业</w:t>
            </w:r>
          </w:p>
        </w:tc>
        <w:tc>
          <w:tcPr>
            <w:tcW w:type="dxa" w:w="2835"/>
          </w:tcPr>
          <w:p>
            <w:pPr>
              <w:spacing w:lineRule="exact" w:line="600"/>
              <w:jc w:val="center"/>
            </w:pPr>
            <w:r/>
            <w:r>
              <w:rPr>
                <w:rFonts w:ascii="仿宋_GB2312" w:hAnsi="仿宋_GB2312" w:eastAsia="仿宋_GB2312"/>
                <w:b w:val="0"/>
                <w:color w:val="000000"/>
                <w:sz w:val="32"/>
              </w:rPr>
              <w:t>带动6.2万人</w:t>
            </w:r>
          </w:p>
        </w:tc>
        <w:tc>
          <w:tcPr>
            <w:tcW w:type="dxa" w:w="3118"/>
          </w:tcPr>
          <w:p>
            <w:pPr>
              <w:spacing w:lineRule="exact" w:line="600"/>
              <w:jc w:val="center"/>
            </w:pPr>
            <w:r/>
            <w:r>
              <w:rPr>
                <w:rFonts w:ascii="仿宋_GB2312" w:hAnsi="仿宋_GB2312" w:eastAsia="仿宋_GB2312"/>
                <w:b w:val="0"/>
                <w:color w:val="000000"/>
                <w:sz w:val="32"/>
              </w:rPr>
              <w:t>博政办发2026</w:t>
            </w:r>
          </w:p>
        </w:tc>
      </w:tr>
    </w:tbl>
    <w:p>
      <w:pPr>
        <w:spacing w:lineRule="exact" w:line="600" w:before="120" w:after="120"/>
        <w:ind w:firstLine="420"/>
        <w:jc w:val="left"/>
      </w:pPr>
      <w:r>
        <w:rPr>
          <w:rFonts w:ascii="楷体_GB2312" w:hAnsi="楷体_GB2312" w:eastAsia="楷体_GB2312"/>
          <w:b w:val="0"/>
          <w:color w:val="000000"/>
          <w:sz w:val="32"/>
        </w:rPr>
        <w:t>从制造到数字化服务（本批真实数据补充·来源见正文）</w:t>
      </w:r>
    </w:p>
    <w:p>
      <w:pPr>
        <w:spacing w:lineRule="exact" w:line="600" w:before="0" w:after="0"/>
        <w:ind w:firstLine="420"/>
        <w:jc w:val="both"/>
      </w:pPr>
      <w:r>
        <w:rPr>
          <w:rFonts w:ascii="仿宋_GB2312" w:hAnsi="仿宋_GB2312" w:eastAsia="仿宋_GB2312"/>
          <w:b w:val="0"/>
          <w:color w:val="000000"/>
          <w:sz w:val="32"/>
        </w:rPr>
        <w:t>兴福镇商用厨具生产及配套企业超2800家，年可实现产值300亿元以上，占国内市场份额40%、全省90%。博兴与山东大学共建智能厨具研究院，与海尔·卡奥斯联合打造全国首个商厨行业数字化服务平台，形成“研发—制造—会展—服务”全产业链。（来源：人民网2024第19届博兴厨具节、博兴县报道）</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环节/指标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厨具及配套企业</w:t>
            </w:r>
          </w:p>
        </w:tc>
        <w:tc>
          <w:tcPr>
            <w:tcW w:type="dxa" w:w="2835"/>
          </w:tcPr>
          <w:p>
            <w:pPr>
              <w:spacing w:lineRule="exact" w:line="600"/>
              <w:jc w:val="center"/>
            </w:pPr>
            <w:r/>
            <w:r>
              <w:rPr>
                <w:rFonts w:ascii="仿宋_GB2312" w:hAnsi="仿宋_GB2312" w:eastAsia="仿宋_GB2312"/>
                <w:b w:val="0"/>
                <w:color w:val="000000"/>
                <w:sz w:val="32"/>
              </w:rPr>
              <w:t>超2800家</w:t>
            </w:r>
          </w:p>
        </w:tc>
        <w:tc>
          <w:tcPr>
            <w:tcW w:type="dxa" w:w="2551"/>
          </w:tcPr>
          <w:p>
            <w:pPr>
              <w:spacing w:lineRule="exact" w:line="600"/>
              <w:jc w:val="center"/>
            </w:pPr>
            <w:r/>
            <w:r>
              <w:rPr>
                <w:rFonts w:ascii="仿宋_GB2312" w:hAnsi="仿宋_GB2312" w:eastAsia="仿宋_GB2312"/>
                <w:b w:val="0"/>
                <w:color w:val="000000"/>
                <w:sz w:val="32"/>
              </w:rPr>
              <w:t>兴福镇</w:t>
            </w:r>
          </w:p>
        </w:tc>
      </w:tr>
      <w:tr>
        <w:tc>
          <w:tcPr>
            <w:tcW w:type="dxa" w:w="3118"/>
          </w:tcPr>
          <w:p>
            <w:pPr>
              <w:spacing w:lineRule="exact" w:line="600"/>
              <w:jc w:val="center"/>
            </w:pPr>
            <w:r/>
            <w:r>
              <w:rPr>
                <w:rFonts w:ascii="仿宋_GB2312" w:hAnsi="仿宋_GB2312" w:eastAsia="仿宋_GB2312"/>
                <w:b w:val="0"/>
                <w:color w:val="000000"/>
                <w:sz w:val="32"/>
              </w:rPr>
              <w:t>年产值</w:t>
            </w:r>
          </w:p>
        </w:tc>
        <w:tc>
          <w:tcPr>
            <w:tcW w:type="dxa" w:w="2835"/>
          </w:tcPr>
          <w:p>
            <w:pPr>
              <w:spacing w:lineRule="exact" w:line="600"/>
              <w:jc w:val="center"/>
            </w:pPr>
            <w:r/>
            <w:r>
              <w:rPr>
                <w:rFonts w:ascii="仿宋_GB2312" w:hAnsi="仿宋_GB2312" w:eastAsia="仿宋_GB2312"/>
                <w:b w:val="0"/>
                <w:color w:val="000000"/>
                <w:sz w:val="32"/>
              </w:rPr>
              <w:t>300亿元以上</w:t>
            </w:r>
          </w:p>
        </w:tc>
        <w:tc>
          <w:tcPr>
            <w:tcW w:type="dxa" w:w="2551"/>
          </w:tcPr>
          <w:p>
            <w:pPr>
              <w:spacing w:lineRule="exact" w:line="600"/>
              <w:jc w:val="center"/>
            </w:pPr>
            <w:r/>
            <w:r>
              <w:rPr>
                <w:rFonts w:ascii="仿宋_GB2312" w:hAnsi="仿宋_GB2312" w:eastAsia="仿宋_GB2312"/>
                <w:b w:val="0"/>
                <w:color w:val="000000"/>
                <w:sz w:val="32"/>
              </w:rPr>
              <w:t>占全国40%</w:t>
            </w:r>
          </w:p>
        </w:tc>
      </w:tr>
      <w:tr>
        <w:tc>
          <w:tcPr>
            <w:tcW w:type="dxa" w:w="3118"/>
          </w:tcPr>
          <w:p>
            <w:pPr>
              <w:spacing w:lineRule="exact" w:line="600"/>
              <w:jc w:val="center"/>
            </w:pPr>
            <w:r/>
            <w:r>
              <w:rPr>
                <w:rFonts w:ascii="仿宋_GB2312" w:hAnsi="仿宋_GB2312" w:eastAsia="仿宋_GB2312"/>
                <w:b w:val="0"/>
                <w:color w:val="000000"/>
                <w:sz w:val="32"/>
              </w:rPr>
              <w:t>全国市场份额</w:t>
            </w:r>
          </w:p>
        </w:tc>
        <w:tc>
          <w:tcPr>
            <w:tcW w:type="dxa" w:w="2835"/>
          </w:tcPr>
          <w:p>
            <w:pPr>
              <w:spacing w:lineRule="exact" w:line="600"/>
              <w:jc w:val="center"/>
            </w:pPr>
            <w:r/>
            <w:r>
              <w:rPr>
                <w:rFonts w:ascii="仿宋_GB2312" w:hAnsi="仿宋_GB2312" w:eastAsia="仿宋_GB2312"/>
                <w:b w:val="0"/>
                <w:color w:val="000000"/>
                <w:sz w:val="32"/>
              </w:rPr>
              <w:t>40%（山东90%）</w:t>
            </w:r>
          </w:p>
        </w:tc>
        <w:tc>
          <w:tcPr>
            <w:tcW w:type="dxa" w:w="2551"/>
          </w:tcPr>
          <w:p>
            <w:pPr>
              <w:spacing w:lineRule="exact" w:line="600"/>
              <w:jc w:val="center"/>
            </w:pPr>
            <w:r/>
            <w:r>
              <w:rPr>
                <w:rFonts w:ascii="仿宋_GB2312" w:hAnsi="仿宋_GB2312" w:eastAsia="仿宋_GB2312"/>
                <w:b w:val="0"/>
                <w:color w:val="000000"/>
                <w:sz w:val="32"/>
              </w:rPr>
              <w:t>行业领先</w:t>
            </w:r>
          </w:p>
        </w:tc>
      </w:tr>
      <w:tr>
        <w:tc>
          <w:tcPr>
            <w:tcW w:type="dxa" w:w="3118"/>
          </w:tcPr>
          <w:p>
            <w:pPr>
              <w:spacing w:lineRule="exact" w:line="600"/>
              <w:jc w:val="center"/>
            </w:pPr>
            <w:r/>
            <w:r>
              <w:rPr>
                <w:rFonts w:ascii="仿宋_GB2312" w:hAnsi="仿宋_GB2312" w:eastAsia="仿宋_GB2312"/>
                <w:b w:val="0"/>
                <w:color w:val="000000"/>
                <w:sz w:val="32"/>
              </w:rPr>
              <w:t>数字化平台</w:t>
            </w:r>
          </w:p>
        </w:tc>
        <w:tc>
          <w:tcPr>
            <w:tcW w:type="dxa" w:w="2835"/>
          </w:tcPr>
          <w:p>
            <w:pPr>
              <w:spacing w:lineRule="exact" w:line="600"/>
              <w:jc w:val="center"/>
            </w:pPr>
            <w:r/>
            <w:r>
              <w:rPr>
                <w:rFonts w:ascii="仿宋_GB2312" w:hAnsi="仿宋_GB2312" w:eastAsia="仿宋_GB2312"/>
                <w:b w:val="0"/>
                <w:color w:val="000000"/>
                <w:sz w:val="32"/>
              </w:rPr>
              <w:t>全国首个商厨行业</w:t>
            </w:r>
          </w:p>
        </w:tc>
        <w:tc>
          <w:tcPr>
            <w:tcW w:type="dxa" w:w="2551"/>
          </w:tcPr>
          <w:p>
            <w:pPr>
              <w:spacing w:lineRule="exact" w:line="600"/>
              <w:jc w:val="center"/>
            </w:pPr>
            <w:r/>
            <w:r>
              <w:rPr>
                <w:rFonts w:ascii="仿宋_GB2312" w:hAnsi="仿宋_GB2312" w:eastAsia="仿宋_GB2312"/>
                <w:b w:val="0"/>
                <w:color w:val="000000"/>
                <w:sz w:val="32"/>
              </w:rPr>
              <w:t>卡奥斯联合</w:t>
            </w:r>
          </w:p>
        </w:tc>
      </w:tr>
    </w:tbl>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120" w:after="120"/>
        <w:ind w:firstLine="420"/>
        <w:jc w:val="left"/>
      </w:pPr>
      <w:r>
        <w:rPr>
          <w:rFonts w:ascii="楷体_GB2312" w:hAnsi="楷体_GB2312" w:eastAsia="楷体_GB2312"/>
          <w:b w:val="0"/>
          <w:color w:val="000000"/>
          <w:sz w:val="32"/>
        </w:rPr>
        <w:t>（一）市场规模与需求</w:t>
      </w:r>
    </w:p>
    <w:p>
      <w:pPr>
        <w:spacing w:lineRule="exact" w:line="600" w:before="0" w:after="0"/>
        <w:ind w:firstLine="420"/>
        <w:jc w:val="both"/>
      </w:pPr>
      <w:r>
        <w:rPr>
          <w:rFonts w:ascii="仿宋_GB2312" w:hAnsi="仿宋_GB2312" w:eastAsia="仿宋_GB2312"/>
          <w:b w:val="0"/>
          <w:color w:val="000000"/>
          <w:sz w:val="32"/>
        </w:rPr>
        <w:t>全国商用厨具市场稳健增长，博兴占据40%以上份额、全省90%（来源：人民网、中国税务报）。下游餐饮、食堂、酒店、团餐需求庞大；2024年兴福镇立下目标：商用厨具出口从50多国增至60多个、产业规模力争500亿元（来源：中国税务报、中研普华）。北京冬奥会、卡塔尔世界杯、大兴机场等重大项目采用兴福厨具（来源：齐鲁晚报）。</w:t>
      </w:r>
    </w:p>
    <w:p>
      <w:pPr>
        <w:spacing w:lineRule="exact" w:line="600" w:before="120" w:after="120"/>
        <w:ind w:firstLine="420"/>
        <w:jc w:val="left"/>
      </w:pPr>
      <w:r>
        <w:rPr>
          <w:rFonts w:ascii="楷体_GB2312" w:hAnsi="楷体_GB2312" w:eastAsia="楷体_GB2312"/>
          <w:b w:val="0"/>
          <w:color w:val="000000"/>
          <w:sz w:val="32"/>
        </w:rPr>
        <w:t>（二）竞争格局</w:t>
      </w:r>
    </w:p>
    <w:p>
      <w:pPr>
        <w:spacing w:lineRule="exact" w:line="600" w:before="0" w:after="0"/>
        <w:ind w:firstLine="420"/>
        <w:jc w:val="both"/>
      </w:pPr>
      <w:r>
        <w:rPr>
          <w:rFonts w:ascii="仿宋_GB2312" w:hAnsi="仿宋_GB2312" w:eastAsia="仿宋_GB2312"/>
          <w:b w:val="0"/>
          <w:color w:val="000000"/>
          <w:sz w:val="32"/>
        </w:rPr>
        <w:t>竞争呈现「龙头引领+长尾同质」格局：金佰特、鲁宝、伊德欣等标杆企业走品牌化路线，大量小微企业同质化竞争激烈。2026年博兴质量提升方案直指「监督抽查不合格率与消费投诉率双高」痛点（来源：博政办发〔2026〕1号）。「行业共性研判」：南方厨具产业崛起、价格战加剧，博兴靠完整产业链与规模成本优势维持领先。</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维度</w:t>
            </w:r>
          </w:p>
        </w:tc>
        <w:tc>
          <w:tcPr>
            <w:tcW w:type="dxa" w:w="3118"/>
          </w:tcPr>
          <w:p>
            <w:pPr>
              <w:spacing w:lineRule="exact" w:line="600"/>
              <w:jc w:val="center"/>
            </w:pPr>
            <w:r/>
            <w:r>
              <w:rPr>
                <w:rFonts w:ascii="黑体" w:hAnsi="黑体" w:eastAsia="黑体"/>
                <w:b/>
                <w:color w:val="000000"/>
                <w:sz w:val="32"/>
              </w:rPr>
              <w:t>现状</w:t>
            </w:r>
          </w:p>
        </w:tc>
        <w:tc>
          <w:tcPr>
            <w:tcW w:type="dxa" w:w="3118"/>
          </w:tcPr>
          <w:p>
            <w:pPr>
              <w:spacing w:lineRule="exact" w:line="600"/>
              <w:jc w:val="center"/>
            </w:pPr>
            <w:r/>
            <w:r>
              <w:rPr>
                <w:rFonts w:ascii="黑体" w:hAnsi="黑体" w:eastAsia="黑体"/>
                <w:b/>
                <w:color w:val="000000"/>
                <w:sz w:val="32"/>
              </w:rPr>
              <w:t>数据/来源</w:t>
            </w:r>
          </w:p>
        </w:tc>
      </w:tr>
      <w:tr>
        <w:tc>
          <w:tcPr>
            <w:tcW w:type="dxa" w:w="2268"/>
          </w:tcPr>
          <w:p>
            <w:pPr>
              <w:spacing w:lineRule="exact" w:line="600"/>
              <w:jc w:val="center"/>
            </w:pPr>
            <w:r/>
            <w:r>
              <w:rPr>
                <w:rFonts w:ascii="仿宋_GB2312" w:hAnsi="仿宋_GB2312" w:eastAsia="仿宋_GB2312"/>
                <w:b w:val="0"/>
                <w:color w:val="000000"/>
                <w:sz w:val="32"/>
              </w:rPr>
              <w:t>全国份额</w:t>
            </w:r>
          </w:p>
        </w:tc>
        <w:tc>
          <w:tcPr>
            <w:tcW w:type="dxa" w:w="3118"/>
          </w:tcPr>
          <w:p>
            <w:pPr>
              <w:spacing w:lineRule="exact" w:line="600"/>
              <w:jc w:val="center"/>
            </w:pPr>
            <w:r/>
            <w:r>
              <w:rPr>
                <w:rFonts w:ascii="仿宋_GB2312" w:hAnsi="仿宋_GB2312" w:eastAsia="仿宋_GB2312"/>
                <w:b w:val="0"/>
                <w:color w:val="000000"/>
                <w:sz w:val="32"/>
              </w:rPr>
              <w:t>40%以上</w:t>
            </w:r>
          </w:p>
        </w:tc>
        <w:tc>
          <w:tcPr>
            <w:tcW w:type="dxa" w:w="3118"/>
          </w:tcPr>
          <w:p>
            <w:pPr>
              <w:spacing w:lineRule="exact" w:line="600"/>
              <w:jc w:val="center"/>
            </w:pPr>
            <w:r/>
            <w:r>
              <w:rPr>
                <w:rFonts w:ascii="仿宋_GB2312" w:hAnsi="仿宋_GB2312" w:eastAsia="仿宋_GB2312"/>
                <w:b w:val="0"/>
                <w:color w:val="000000"/>
                <w:sz w:val="32"/>
              </w:rPr>
              <w:t>人民网</w:t>
            </w:r>
          </w:p>
        </w:tc>
      </w:tr>
      <w:tr>
        <w:tc>
          <w:tcPr>
            <w:tcW w:type="dxa" w:w="2268"/>
          </w:tcPr>
          <w:p>
            <w:pPr>
              <w:spacing w:lineRule="exact" w:line="600"/>
              <w:jc w:val="center"/>
            </w:pPr>
            <w:r/>
            <w:r>
              <w:rPr>
                <w:rFonts w:ascii="仿宋_GB2312" w:hAnsi="仿宋_GB2312" w:eastAsia="仿宋_GB2312"/>
                <w:b w:val="0"/>
                <w:color w:val="000000"/>
                <w:sz w:val="32"/>
              </w:rPr>
              <w:t>全省份额</w:t>
            </w:r>
          </w:p>
        </w:tc>
        <w:tc>
          <w:tcPr>
            <w:tcW w:type="dxa" w:w="3118"/>
          </w:tcPr>
          <w:p>
            <w:pPr>
              <w:spacing w:lineRule="exact" w:line="600"/>
              <w:jc w:val="center"/>
            </w:pPr>
            <w:r/>
            <w:r>
              <w:rPr>
                <w:rFonts w:ascii="仿宋_GB2312" w:hAnsi="仿宋_GB2312" w:eastAsia="仿宋_GB2312"/>
                <w:b w:val="0"/>
                <w:color w:val="000000"/>
                <w:sz w:val="32"/>
              </w:rPr>
              <w:t>90%</w:t>
            </w:r>
          </w:p>
        </w:tc>
        <w:tc>
          <w:tcPr>
            <w:tcW w:type="dxa" w:w="3118"/>
          </w:tcPr>
          <w:p>
            <w:pPr>
              <w:spacing w:lineRule="exact" w:line="600"/>
              <w:jc w:val="center"/>
            </w:pPr>
            <w:r/>
            <w:r>
              <w:rPr>
                <w:rFonts w:ascii="仿宋_GB2312" w:hAnsi="仿宋_GB2312" w:eastAsia="仿宋_GB2312"/>
                <w:b w:val="0"/>
                <w:color w:val="000000"/>
                <w:sz w:val="32"/>
              </w:rPr>
              <w:t>中国税务报</w:t>
            </w:r>
          </w:p>
        </w:tc>
      </w:tr>
      <w:tr>
        <w:tc>
          <w:tcPr>
            <w:tcW w:type="dxa" w:w="2268"/>
          </w:tcPr>
          <w:p>
            <w:pPr>
              <w:spacing w:lineRule="exact" w:line="600"/>
              <w:jc w:val="center"/>
            </w:pPr>
            <w:r/>
            <w:r>
              <w:rPr>
                <w:rFonts w:ascii="仿宋_GB2312" w:hAnsi="仿宋_GB2312" w:eastAsia="仿宋_GB2312"/>
                <w:b w:val="0"/>
                <w:color w:val="000000"/>
                <w:sz w:val="32"/>
              </w:rPr>
              <w:t>出口国</w:t>
            </w:r>
          </w:p>
        </w:tc>
        <w:tc>
          <w:tcPr>
            <w:tcW w:type="dxa" w:w="3118"/>
          </w:tcPr>
          <w:p>
            <w:pPr>
              <w:spacing w:lineRule="exact" w:line="600"/>
              <w:jc w:val="center"/>
            </w:pPr>
            <w:r/>
            <w:r>
              <w:rPr>
                <w:rFonts w:ascii="仿宋_GB2312" w:hAnsi="仿宋_GB2312" w:eastAsia="仿宋_GB2312"/>
                <w:b w:val="0"/>
                <w:color w:val="000000"/>
                <w:sz w:val="32"/>
              </w:rPr>
              <w:t>60多个（目标）</w:t>
            </w:r>
          </w:p>
        </w:tc>
        <w:tc>
          <w:tcPr>
            <w:tcW w:type="dxa" w:w="3118"/>
          </w:tcPr>
          <w:p>
            <w:pPr>
              <w:spacing w:lineRule="exact" w:line="600"/>
              <w:jc w:val="center"/>
            </w:pPr>
            <w:r/>
            <w:r>
              <w:rPr>
                <w:rFonts w:ascii="仿宋_GB2312" w:hAnsi="仿宋_GB2312" w:eastAsia="仿宋_GB2312"/>
                <w:b w:val="0"/>
                <w:color w:val="000000"/>
                <w:sz w:val="32"/>
              </w:rPr>
              <w:t>中国税务报</w:t>
            </w:r>
          </w:p>
        </w:tc>
      </w:tr>
      <w:tr>
        <w:tc>
          <w:tcPr>
            <w:tcW w:type="dxa" w:w="2268"/>
          </w:tcPr>
          <w:p>
            <w:pPr>
              <w:spacing w:lineRule="exact" w:line="600"/>
              <w:jc w:val="center"/>
            </w:pPr>
            <w:r/>
            <w:r>
              <w:rPr>
                <w:rFonts w:ascii="仿宋_GB2312" w:hAnsi="仿宋_GB2312" w:eastAsia="仿宋_GB2312"/>
                <w:b w:val="0"/>
                <w:color w:val="000000"/>
                <w:sz w:val="32"/>
              </w:rPr>
              <w:t>产业目标</w:t>
            </w:r>
          </w:p>
        </w:tc>
        <w:tc>
          <w:tcPr>
            <w:tcW w:type="dxa" w:w="3118"/>
          </w:tcPr>
          <w:p>
            <w:pPr>
              <w:spacing w:lineRule="exact" w:line="600"/>
              <w:jc w:val="center"/>
            </w:pPr>
            <w:r/>
            <w:r>
              <w:rPr>
                <w:rFonts w:ascii="仿宋_GB2312" w:hAnsi="仿宋_GB2312" w:eastAsia="仿宋_GB2312"/>
                <w:b w:val="0"/>
                <w:color w:val="000000"/>
                <w:sz w:val="32"/>
              </w:rPr>
              <w:t>500亿元</w:t>
            </w:r>
          </w:p>
        </w:tc>
        <w:tc>
          <w:tcPr>
            <w:tcW w:type="dxa" w:w="3118"/>
          </w:tcPr>
          <w:p>
            <w:pPr>
              <w:spacing w:lineRule="exact" w:line="600"/>
              <w:jc w:val="center"/>
            </w:pPr>
            <w:r/>
            <w:r>
              <w:rPr>
                <w:rFonts w:ascii="仿宋_GB2312" w:hAnsi="仿宋_GB2312" w:eastAsia="仿宋_GB2312"/>
                <w:b w:val="0"/>
                <w:color w:val="000000"/>
                <w:sz w:val="32"/>
              </w:rPr>
              <w:t>中研普华</w:t>
            </w:r>
          </w:p>
        </w:tc>
      </w:tr>
      <w:tr>
        <w:tc>
          <w:tcPr>
            <w:tcW w:type="dxa" w:w="2268"/>
          </w:tcPr>
          <w:p>
            <w:pPr>
              <w:spacing w:lineRule="exact" w:line="600"/>
              <w:jc w:val="center"/>
            </w:pPr>
            <w:r/>
            <w:r>
              <w:rPr>
                <w:rFonts w:ascii="仿宋_GB2312" w:hAnsi="仿宋_GB2312" w:eastAsia="仿宋_GB2312"/>
                <w:b w:val="0"/>
                <w:color w:val="000000"/>
                <w:sz w:val="32"/>
              </w:rPr>
              <w:t>竞争痛点</w:t>
            </w:r>
          </w:p>
        </w:tc>
        <w:tc>
          <w:tcPr>
            <w:tcW w:type="dxa" w:w="3118"/>
          </w:tcPr>
          <w:p>
            <w:pPr>
              <w:spacing w:lineRule="exact" w:line="600"/>
              <w:jc w:val="center"/>
            </w:pPr>
            <w:r/>
            <w:r>
              <w:rPr>
                <w:rFonts w:ascii="仿宋_GB2312" w:hAnsi="仿宋_GB2312" w:eastAsia="仿宋_GB2312"/>
                <w:b w:val="0"/>
                <w:color w:val="000000"/>
                <w:sz w:val="32"/>
              </w:rPr>
              <w:t>双高（不合格/投诉）</w:t>
            </w:r>
          </w:p>
        </w:tc>
        <w:tc>
          <w:tcPr>
            <w:tcW w:type="dxa" w:w="3118"/>
          </w:tcPr>
          <w:p>
            <w:pPr>
              <w:spacing w:lineRule="exact" w:line="600"/>
              <w:jc w:val="center"/>
            </w:pPr>
            <w:r/>
            <w:r>
              <w:rPr>
                <w:rFonts w:ascii="仿宋_GB2312" w:hAnsi="仿宋_GB2312" w:eastAsia="仿宋_GB2312"/>
                <w:b w:val="0"/>
                <w:color w:val="000000"/>
                <w:sz w:val="32"/>
              </w:rPr>
              <w:t>博政办发2026</w:t>
            </w:r>
          </w:p>
        </w:tc>
      </w:tr>
    </w:tbl>
    <w:p>
      <w:pPr>
        <w:spacing w:lineRule="exact" w:line="600" w:before="120" w:after="120"/>
        <w:ind w:firstLine="420"/>
        <w:jc w:val="left"/>
      </w:pPr>
      <w:r>
        <w:rPr>
          <w:rFonts w:ascii="楷体_GB2312" w:hAnsi="楷体_GB2312" w:eastAsia="楷体_GB2312"/>
          <w:b w:val="0"/>
          <w:color w:val="000000"/>
          <w:sz w:val="32"/>
        </w:rPr>
        <w:t>会展经济与出口（本批真实数据补充·来源见正文）</w:t>
      </w:r>
    </w:p>
    <w:p>
      <w:pPr>
        <w:spacing w:lineRule="exact" w:line="600" w:before="0" w:after="0"/>
        <w:ind w:firstLine="420"/>
        <w:jc w:val="both"/>
      </w:pPr>
      <w:r>
        <w:rPr>
          <w:rFonts w:ascii="仿宋_GB2312" w:hAnsi="仿宋_GB2312" w:eastAsia="仿宋_GB2312"/>
          <w:b w:val="0"/>
          <w:color w:val="000000"/>
          <w:sz w:val="32"/>
        </w:rPr>
        <w:t>2024年第十九届中国（博兴）国际厨具节吸引国内外客商3100余家、达成意向交易额100亿元；兴福镇目标商用厨具出口从50多个国家和地区增至60个以上、产业规模力争达500亿元。金佰特厨具2024年办理出口退税2000余万元、研发加计扣除780余万元。（来源：中国税务报2024、人民网2024）</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市场指标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说明</w:t>
            </w:r>
          </w:p>
        </w:tc>
      </w:tr>
      <w:tr>
        <w:tc>
          <w:tcPr>
            <w:tcW w:type="dxa" w:w="3118"/>
          </w:tcPr>
          <w:p>
            <w:pPr>
              <w:spacing w:lineRule="exact" w:line="600"/>
              <w:jc w:val="center"/>
            </w:pPr>
            <w:r/>
            <w:r>
              <w:rPr>
                <w:rFonts w:ascii="仿宋_GB2312" w:hAnsi="仿宋_GB2312" w:eastAsia="仿宋_GB2312"/>
                <w:b w:val="0"/>
                <w:color w:val="000000"/>
                <w:sz w:val="32"/>
              </w:rPr>
              <w:t>厨具节意向交易额</w:t>
            </w:r>
          </w:p>
        </w:tc>
        <w:tc>
          <w:tcPr>
            <w:tcW w:type="dxa" w:w="2835"/>
          </w:tcPr>
          <w:p>
            <w:pPr>
              <w:spacing w:lineRule="exact" w:line="600"/>
              <w:jc w:val="center"/>
            </w:pPr>
            <w:r/>
            <w:r>
              <w:rPr>
                <w:rFonts w:ascii="仿宋_GB2312" w:hAnsi="仿宋_GB2312" w:eastAsia="仿宋_GB2312"/>
                <w:b w:val="0"/>
                <w:color w:val="000000"/>
                <w:sz w:val="32"/>
              </w:rPr>
              <w:t>100亿元（2024）</w:t>
            </w:r>
          </w:p>
        </w:tc>
        <w:tc>
          <w:tcPr>
            <w:tcW w:type="dxa" w:w="2551"/>
          </w:tcPr>
          <w:p>
            <w:pPr>
              <w:spacing w:lineRule="exact" w:line="600"/>
              <w:jc w:val="center"/>
            </w:pPr>
            <w:r/>
            <w:r>
              <w:rPr>
                <w:rFonts w:ascii="仿宋_GB2312" w:hAnsi="仿宋_GB2312" w:eastAsia="仿宋_GB2312"/>
                <w:b w:val="0"/>
                <w:color w:val="000000"/>
                <w:sz w:val="32"/>
              </w:rPr>
              <w:t>3100余家客商</w:t>
            </w:r>
          </w:p>
        </w:tc>
      </w:tr>
      <w:tr>
        <w:tc>
          <w:tcPr>
            <w:tcW w:type="dxa" w:w="3118"/>
          </w:tcPr>
          <w:p>
            <w:pPr>
              <w:spacing w:lineRule="exact" w:line="600"/>
              <w:jc w:val="center"/>
            </w:pPr>
            <w:r/>
            <w:r>
              <w:rPr>
                <w:rFonts w:ascii="仿宋_GB2312" w:hAnsi="仿宋_GB2312" w:eastAsia="仿宋_GB2312"/>
                <w:b w:val="0"/>
                <w:color w:val="000000"/>
                <w:sz w:val="32"/>
              </w:rPr>
              <w:t>出口目标</w:t>
            </w:r>
          </w:p>
        </w:tc>
        <w:tc>
          <w:tcPr>
            <w:tcW w:type="dxa" w:w="2835"/>
          </w:tcPr>
          <w:p>
            <w:pPr>
              <w:spacing w:lineRule="exact" w:line="600"/>
              <w:jc w:val="center"/>
            </w:pPr>
            <w:r/>
            <w:r>
              <w:rPr>
                <w:rFonts w:ascii="仿宋_GB2312" w:hAnsi="仿宋_GB2312" w:eastAsia="仿宋_GB2312"/>
                <w:b w:val="0"/>
                <w:color w:val="000000"/>
                <w:sz w:val="32"/>
              </w:rPr>
              <w:t>60+国家地区</w:t>
            </w:r>
          </w:p>
        </w:tc>
        <w:tc>
          <w:tcPr>
            <w:tcW w:type="dxa" w:w="2551"/>
          </w:tcPr>
          <w:p>
            <w:pPr>
              <w:spacing w:lineRule="exact" w:line="600"/>
              <w:jc w:val="center"/>
            </w:pPr>
            <w:r/>
            <w:r>
              <w:rPr>
                <w:rFonts w:ascii="仿宋_GB2312" w:hAnsi="仿宋_GB2312" w:eastAsia="仿宋_GB2312"/>
                <w:b w:val="0"/>
                <w:color w:val="000000"/>
                <w:sz w:val="32"/>
              </w:rPr>
              <w:t>原50多个</w:t>
            </w:r>
          </w:p>
        </w:tc>
      </w:tr>
      <w:tr>
        <w:tc>
          <w:tcPr>
            <w:tcW w:type="dxa" w:w="3118"/>
          </w:tcPr>
          <w:p>
            <w:pPr>
              <w:spacing w:lineRule="exact" w:line="600"/>
              <w:jc w:val="center"/>
            </w:pPr>
            <w:r/>
            <w:r>
              <w:rPr>
                <w:rFonts w:ascii="仿宋_GB2312" w:hAnsi="仿宋_GB2312" w:eastAsia="仿宋_GB2312"/>
                <w:b w:val="0"/>
                <w:color w:val="000000"/>
                <w:sz w:val="32"/>
              </w:rPr>
              <w:t>产业规模目标</w:t>
            </w:r>
          </w:p>
        </w:tc>
        <w:tc>
          <w:tcPr>
            <w:tcW w:type="dxa" w:w="2835"/>
          </w:tcPr>
          <w:p>
            <w:pPr>
              <w:spacing w:lineRule="exact" w:line="600"/>
              <w:jc w:val="center"/>
            </w:pPr>
            <w:r/>
            <w:r>
              <w:rPr>
                <w:rFonts w:ascii="仿宋_GB2312" w:hAnsi="仿宋_GB2312" w:eastAsia="仿宋_GB2312"/>
                <w:b w:val="0"/>
                <w:color w:val="000000"/>
                <w:sz w:val="32"/>
              </w:rPr>
              <w:t>500亿元</w:t>
            </w:r>
          </w:p>
        </w:tc>
        <w:tc>
          <w:tcPr>
            <w:tcW w:type="dxa" w:w="2551"/>
          </w:tcPr>
          <w:p>
            <w:pPr>
              <w:spacing w:lineRule="exact" w:line="600"/>
              <w:jc w:val="center"/>
            </w:pPr>
            <w:r/>
            <w:r>
              <w:rPr>
                <w:rFonts w:ascii="仿宋_GB2312" w:hAnsi="仿宋_GB2312" w:eastAsia="仿宋_GB2312"/>
                <w:b w:val="0"/>
                <w:color w:val="000000"/>
                <w:sz w:val="32"/>
              </w:rPr>
              <w:t>兴福镇</w:t>
            </w:r>
          </w:p>
        </w:tc>
      </w:tr>
      <w:tr>
        <w:tc>
          <w:tcPr>
            <w:tcW w:type="dxa" w:w="3118"/>
          </w:tcPr>
          <w:p>
            <w:pPr>
              <w:spacing w:lineRule="exact" w:line="600"/>
              <w:jc w:val="center"/>
            </w:pPr>
            <w:r/>
            <w:r>
              <w:rPr>
                <w:rFonts w:ascii="仿宋_GB2312" w:hAnsi="仿宋_GB2312" w:eastAsia="仿宋_GB2312"/>
                <w:b w:val="0"/>
                <w:color w:val="000000"/>
                <w:sz w:val="32"/>
              </w:rPr>
              <w:t>金佰特出口退税</w:t>
            </w:r>
          </w:p>
        </w:tc>
        <w:tc>
          <w:tcPr>
            <w:tcW w:type="dxa" w:w="2835"/>
          </w:tcPr>
          <w:p>
            <w:pPr>
              <w:spacing w:lineRule="exact" w:line="600"/>
              <w:jc w:val="center"/>
            </w:pPr>
            <w:r/>
            <w:r>
              <w:rPr>
                <w:rFonts w:ascii="仿宋_GB2312" w:hAnsi="仿宋_GB2312" w:eastAsia="仿宋_GB2312"/>
                <w:b w:val="0"/>
                <w:color w:val="000000"/>
                <w:sz w:val="32"/>
              </w:rPr>
              <w:t>2000余万元</w:t>
            </w:r>
          </w:p>
        </w:tc>
        <w:tc>
          <w:tcPr>
            <w:tcW w:type="dxa" w:w="2551"/>
          </w:tcPr>
          <w:p>
            <w:pPr>
              <w:spacing w:lineRule="exact" w:line="600"/>
              <w:jc w:val="center"/>
            </w:pPr>
            <w:r/>
            <w:r>
              <w:rPr>
                <w:rFonts w:ascii="仿宋_GB2312" w:hAnsi="仿宋_GB2312" w:eastAsia="仿宋_GB2312"/>
                <w:b w:val="0"/>
                <w:color w:val="000000"/>
                <w:sz w:val="32"/>
              </w:rPr>
              <w:t>2024年</w:t>
            </w:r>
          </w:p>
        </w:tc>
      </w:tr>
    </w:tbl>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120" w:after="120"/>
        <w:ind w:firstLine="420"/>
        <w:jc w:val="left"/>
      </w:pPr>
      <w:r>
        <w:rPr>
          <w:rFonts w:ascii="楷体_GB2312" w:hAnsi="楷体_GB2312" w:eastAsia="楷体_GB2312"/>
          <w:b w:val="0"/>
          <w:color w:val="000000"/>
          <w:sz w:val="32"/>
        </w:rPr>
        <w:t>（一）企业数量与梯队</w:t>
      </w:r>
    </w:p>
    <w:p>
      <w:pPr>
        <w:spacing w:lineRule="exact" w:line="600" w:before="0" w:after="0"/>
        <w:ind w:firstLine="420"/>
        <w:jc w:val="both"/>
      </w:pPr>
      <w:r>
        <w:rPr>
          <w:rFonts w:ascii="仿宋_GB2312" w:hAnsi="仿宋_GB2312" w:eastAsia="仿宋_GB2312"/>
          <w:b w:val="0"/>
          <w:color w:val="000000"/>
          <w:sz w:val="32"/>
        </w:rPr>
        <w:t>兴福镇商用厨具企业2800余家，博兴县生产及配套商户3500余家（来源：新华社、博政办发〔2026〕1号）。县域专精特新企业42家（来源：十五五县域强镇研究报告）。代表企业金佰特职工1800余人、年产厨具30万台套（来源：金佰特官网）；鲁宝厨业为2016年发起成立山东省厨具协会的7家企业之一（来源：人民网）。</w:t>
      </w:r>
    </w:p>
    <w:p>
      <w:pPr>
        <w:spacing w:lineRule="exact" w:line="600" w:before="120" w:after="120"/>
        <w:ind w:firstLine="420"/>
        <w:jc w:val="left"/>
      </w:pPr>
      <w:r>
        <w:rPr>
          <w:rFonts w:ascii="楷体_GB2312" w:hAnsi="楷体_GB2312" w:eastAsia="楷体_GB2312"/>
          <w:b w:val="0"/>
          <w:color w:val="000000"/>
          <w:sz w:val="32"/>
        </w:rPr>
        <w:t>（二）园区与展会载体</w:t>
      </w:r>
    </w:p>
    <w:p>
      <w:pPr>
        <w:spacing w:lineRule="exact" w:line="600" w:before="0" w:after="0"/>
        <w:ind w:firstLine="420"/>
        <w:jc w:val="both"/>
      </w:pPr>
      <w:r>
        <w:rPr>
          <w:rFonts w:ascii="仿宋_GB2312" w:hAnsi="仿宋_GB2312" w:eastAsia="仿宋_GB2312"/>
          <w:b w:val="0"/>
          <w:color w:val="000000"/>
          <w:sz w:val="32"/>
        </w:rPr>
        <w:t>中国（博兴）国际厨具节已举办十九届，2024年第19届参展商家超3000家、展出面积超25万平方米、意向交易额超100亿元、观展超15万人次（来源：人民网、中国税务报）。在建中国智慧厨都国际厨具交易中心综合体占地116亩；兴福镇火车站投资1.4亿元、年货运量突破40万吨、节省运输成本15%（来源：齐鲁晚报）。</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指标</w:t>
            </w:r>
          </w:p>
        </w:tc>
        <w:tc>
          <w:tcPr>
            <w:tcW w:type="dxa" w:w="2551"/>
          </w:tcPr>
          <w:p>
            <w:pPr>
              <w:spacing w:lineRule="exact" w:line="600"/>
              <w:jc w:val="center"/>
            </w:pPr>
            <w:r/>
            <w:r>
              <w:rPr>
                <w:rFonts w:ascii="黑体" w:hAnsi="黑体" w:eastAsia="黑体"/>
                <w:b/>
                <w:color w:val="000000"/>
                <w:sz w:val="32"/>
              </w:rPr>
              <w:t>数值</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兴福企业</w:t>
            </w:r>
          </w:p>
        </w:tc>
        <w:tc>
          <w:tcPr>
            <w:tcW w:type="dxa" w:w="2551"/>
          </w:tcPr>
          <w:p>
            <w:pPr>
              <w:spacing w:lineRule="exact" w:line="600"/>
              <w:jc w:val="center"/>
            </w:pPr>
            <w:r/>
            <w:r>
              <w:rPr>
                <w:rFonts w:ascii="仿宋_GB2312" w:hAnsi="仿宋_GB2312" w:eastAsia="仿宋_GB2312"/>
                <w:b w:val="0"/>
                <w:color w:val="000000"/>
                <w:sz w:val="32"/>
              </w:rPr>
              <w:t>2800余家</w:t>
            </w:r>
          </w:p>
        </w:tc>
        <w:tc>
          <w:tcPr>
            <w:tcW w:type="dxa" w:w="3118"/>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全县商户</w:t>
            </w:r>
          </w:p>
        </w:tc>
        <w:tc>
          <w:tcPr>
            <w:tcW w:type="dxa" w:w="2551"/>
          </w:tcPr>
          <w:p>
            <w:pPr>
              <w:spacing w:lineRule="exact" w:line="600"/>
              <w:jc w:val="center"/>
            </w:pPr>
            <w:r/>
            <w:r>
              <w:rPr>
                <w:rFonts w:ascii="仿宋_GB2312" w:hAnsi="仿宋_GB2312" w:eastAsia="仿宋_GB2312"/>
                <w:b w:val="0"/>
                <w:color w:val="000000"/>
                <w:sz w:val="32"/>
              </w:rPr>
              <w:t>3500余家</w:t>
            </w:r>
          </w:p>
        </w:tc>
        <w:tc>
          <w:tcPr>
            <w:tcW w:type="dxa" w:w="3118"/>
          </w:tcPr>
          <w:p>
            <w:pPr>
              <w:spacing w:lineRule="exact" w:line="600"/>
              <w:jc w:val="center"/>
            </w:pPr>
            <w:r/>
            <w:r>
              <w:rPr>
                <w:rFonts w:ascii="仿宋_GB2312" w:hAnsi="仿宋_GB2312" w:eastAsia="仿宋_GB2312"/>
                <w:b w:val="0"/>
                <w:color w:val="000000"/>
                <w:sz w:val="32"/>
              </w:rPr>
              <w:t>博政办发2026</w:t>
            </w:r>
          </w:p>
        </w:tc>
      </w:tr>
      <w:tr>
        <w:tc>
          <w:tcPr>
            <w:tcW w:type="dxa" w:w="2835"/>
          </w:tcPr>
          <w:p>
            <w:pPr>
              <w:spacing w:lineRule="exact" w:line="600"/>
              <w:jc w:val="center"/>
            </w:pPr>
            <w:r/>
            <w:r>
              <w:rPr>
                <w:rFonts w:ascii="仿宋_GB2312" w:hAnsi="仿宋_GB2312" w:eastAsia="仿宋_GB2312"/>
                <w:b w:val="0"/>
                <w:color w:val="000000"/>
                <w:sz w:val="32"/>
              </w:rPr>
              <w:t>专精特新</w:t>
            </w:r>
          </w:p>
        </w:tc>
        <w:tc>
          <w:tcPr>
            <w:tcW w:type="dxa" w:w="2551"/>
          </w:tcPr>
          <w:p>
            <w:pPr>
              <w:spacing w:lineRule="exact" w:line="600"/>
              <w:jc w:val="center"/>
            </w:pPr>
            <w:r/>
            <w:r>
              <w:rPr>
                <w:rFonts w:ascii="仿宋_GB2312" w:hAnsi="仿宋_GB2312" w:eastAsia="仿宋_GB2312"/>
                <w:b w:val="0"/>
                <w:color w:val="000000"/>
                <w:sz w:val="32"/>
              </w:rPr>
              <w:t>42家</w:t>
            </w:r>
          </w:p>
        </w:tc>
        <w:tc>
          <w:tcPr>
            <w:tcW w:type="dxa" w:w="3118"/>
          </w:tcPr>
          <w:p>
            <w:pPr>
              <w:spacing w:lineRule="exact" w:line="600"/>
              <w:jc w:val="center"/>
            </w:pPr>
            <w:r/>
            <w:r>
              <w:rPr>
                <w:rFonts w:ascii="仿宋_GB2312" w:hAnsi="仿宋_GB2312" w:eastAsia="仿宋_GB2312"/>
                <w:b w:val="0"/>
                <w:color w:val="000000"/>
                <w:sz w:val="32"/>
              </w:rPr>
              <w:t>十五五报告</w:t>
            </w:r>
          </w:p>
        </w:tc>
      </w:tr>
      <w:tr>
        <w:tc>
          <w:tcPr>
            <w:tcW w:type="dxa" w:w="2835"/>
          </w:tcPr>
          <w:p>
            <w:pPr>
              <w:spacing w:lineRule="exact" w:line="600"/>
              <w:jc w:val="center"/>
            </w:pPr>
            <w:r/>
            <w:r>
              <w:rPr>
                <w:rFonts w:ascii="仿宋_GB2312" w:hAnsi="仿宋_GB2312" w:eastAsia="仿宋_GB2312"/>
                <w:b w:val="0"/>
                <w:color w:val="000000"/>
                <w:sz w:val="32"/>
              </w:rPr>
              <w:t>厨具节意向</w:t>
            </w:r>
          </w:p>
        </w:tc>
        <w:tc>
          <w:tcPr>
            <w:tcW w:type="dxa" w:w="2551"/>
          </w:tcPr>
          <w:p>
            <w:pPr>
              <w:spacing w:lineRule="exact" w:line="600"/>
              <w:jc w:val="center"/>
            </w:pPr>
            <w:r/>
            <w:r>
              <w:rPr>
                <w:rFonts w:ascii="仿宋_GB2312" w:hAnsi="仿宋_GB2312" w:eastAsia="仿宋_GB2312"/>
                <w:b w:val="0"/>
                <w:color w:val="000000"/>
                <w:sz w:val="32"/>
              </w:rPr>
              <w:t>超100亿元</w:t>
            </w:r>
          </w:p>
        </w:tc>
        <w:tc>
          <w:tcPr>
            <w:tcW w:type="dxa" w:w="3118"/>
          </w:tcPr>
          <w:p>
            <w:pPr>
              <w:spacing w:lineRule="exact" w:line="600"/>
              <w:jc w:val="center"/>
            </w:pPr>
            <w:r/>
            <w:r>
              <w:rPr>
                <w:rFonts w:ascii="仿宋_GB2312" w:hAnsi="仿宋_GB2312" w:eastAsia="仿宋_GB2312"/>
                <w:b w:val="0"/>
                <w:color w:val="000000"/>
                <w:sz w:val="32"/>
              </w:rPr>
              <w:t>人民网</w:t>
            </w:r>
          </w:p>
        </w:tc>
      </w:tr>
      <w:tr>
        <w:tc>
          <w:tcPr>
            <w:tcW w:type="dxa" w:w="2835"/>
          </w:tcPr>
          <w:p>
            <w:pPr>
              <w:spacing w:lineRule="exact" w:line="600"/>
              <w:jc w:val="center"/>
            </w:pPr>
            <w:r/>
            <w:r>
              <w:rPr>
                <w:rFonts w:ascii="仿宋_GB2312" w:hAnsi="仿宋_GB2312" w:eastAsia="仿宋_GB2312"/>
                <w:b w:val="0"/>
                <w:color w:val="000000"/>
                <w:sz w:val="32"/>
              </w:rPr>
              <w:t>兴福火车站</w:t>
            </w:r>
          </w:p>
        </w:tc>
        <w:tc>
          <w:tcPr>
            <w:tcW w:type="dxa" w:w="2551"/>
          </w:tcPr>
          <w:p>
            <w:pPr>
              <w:spacing w:lineRule="exact" w:line="600"/>
              <w:jc w:val="center"/>
            </w:pPr>
            <w:r/>
            <w:r>
              <w:rPr>
                <w:rFonts w:ascii="仿宋_GB2312" w:hAnsi="仿宋_GB2312" w:eastAsia="仿宋_GB2312"/>
                <w:b w:val="0"/>
                <w:color w:val="000000"/>
                <w:sz w:val="32"/>
              </w:rPr>
              <w:t>投资1.4亿，货运40万吨</w:t>
            </w:r>
          </w:p>
        </w:tc>
        <w:tc>
          <w:tcPr>
            <w:tcW w:type="dxa" w:w="3118"/>
          </w:tcPr>
          <w:p>
            <w:pPr>
              <w:spacing w:lineRule="exact" w:line="600"/>
              <w:jc w:val="center"/>
            </w:pPr>
            <w:r/>
            <w:r>
              <w:rPr>
                <w:rFonts w:ascii="仿宋_GB2312" w:hAnsi="仿宋_GB2312" w:eastAsia="仿宋_GB2312"/>
                <w:b w:val="0"/>
                <w:color w:val="000000"/>
                <w:sz w:val="32"/>
              </w:rPr>
              <w:t>齐鲁晚报</w:t>
            </w:r>
          </w:p>
        </w:tc>
      </w:tr>
    </w:tbl>
    <w:p>
      <w:pPr>
        <w:spacing w:lineRule="exact" w:line="600" w:before="120" w:after="120"/>
        <w:ind w:firstLine="420"/>
        <w:jc w:val="left"/>
      </w:pPr>
      <w:r>
        <w:rPr>
          <w:rFonts w:ascii="楷体_GB2312" w:hAnsi="楷体_GB2312" w:eastAsia="楷体_GB2312"/>
          <w:b w:val="0"/>
          <w:color w:val="000000"/>
          <w:sz w:val="32"/>
        </w:rPr>
        <w:t>企业培育与集群（本批真实数据补充·来源见正文）</w:t>
      </w:r>
    </w:p>
    <w:p>
      <w:pPr>
        <w:spacing w:lineRule="exact" w:line="600" w:before="0" w:after="0"/>
        <w:ind w:firstLine="420"/>
        <w:jc w:val="both"/>
      </w:pPr>
      <w:r>
        <w:rPr>
          <w:rFonts w:ascii="仿宋_GB2312" w:hAnsi="仿宋_GB2312" w:eastAsia="仿宋_GB2312"/>
          <w:b w:val="0"/>
          <w:color w:val="000000"/>
          <w:sz w:val="32"/>
        </w:rPr>
        <w:t>2024年博兴新增厨具产业创新型中小企业9家、专精特新企业7家；商用厨具产业获评全国首批、全市首个国家级中小企业特色产业集群，荣膺“全国商用厨具产业振兴示范镇”。（来源：博兴县报道、人民网2024）</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主体/荣誉</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层级</w:t>
            </w:r>
          </w:p>
        </w:tc>
      </w:tr>
      <w:tr>
        <w:tc>
          <w:tcPr>
            <w:tcW w:type="dxa" w:w="3118"/>
          </w:tcPr>
          <w:p>
            <w:pPr>
              <w:spacing w:lineRule="exact" w:line="600"/>
              <w:jc w:val="center"/>
            </w:pPr>
            <w:r/>
            <w:r>
              <w:rPr>
                <w:rFonts w:ascii="仿宋_GB2312" w:hAnsi="仿宋_GB2312" w:eastAsia="仿宋_GB2312"/>
                <w:b w:val="0"/>
                <w:color w:val="000000"/>
                <w:sz w:val="32"/>
              </w:rPr>
              <w:t>新增创新型中小企业</w:t>
            </w:r>
          </w:p>
        </w:tc>
        <w:tc>
          <w:tcPr>
            <w:tcW w:type="dxa" w:w="2835"/>
          </w:tcPr>
          <w:p>
            <w:pPr>
              <w:spacing w:lineRule="exact" w:line="600"/>
              <w:jc w:val="center"/>
            </w:pPr>
            <w:r/>
            <w:r>
              <w:rPr>
                <w:rFonts w:ascii="仿宋_GB2312" w:hAnsi="仿宋_GB2312" w:eastAsia="仿宋_GB2312"/>
                <w:b w:val="0"/>
                <w:color w:val="000000"/>
                <w:sz w:val="32"/>
              </w:rPr>
              <w:t>9家（2024）</w:t>
            </w:r>
          </w:p>
        </w:tc>
        <w:tc>
          <w:tcPr>
            <w:tcW w:type="dxa" w:w="2551"/>
          </w:tcPr>
          <w:p>
            <w:pPr>
              <w:spacing w:lineRule="exact" w:line="600"/>
              <w:jc w:val="center"/>
            </w:pPr>
            <w:r/>
            <w:r>
              <w:rPr>
                <w:rFonts w:ascii="仿宋_GB2312" w:hAnsi="仿宋_GB2312" w:eastAsia="仿宋_GB2312"/>
                <w:b w:val="0"/>
                <w:color w:val="000000"/>
                <w:sz w:val="32"/>
              </w:rPr>
              <w:t>厨具产业</w:t>
            </w:r>
          </w:p>
        </w:tc>
      </w:tr>
      <w:tr>
        <w:tc>
          <w:tcPr>
            <w:tcW w:type="dxa" w:w="3118"/>
          </w:tcPr>
          <w:p>
            <w:pPr>
              <w:spacing w:lineRule="exact" w:line="600"/>
              <w:jc w:val="center"/>
            </w:pPr>
            <w:r/>
            <w:r>
              <w:rPr>
                <w:rFonts w:ascii="仿宋_GB2312" w:hAnsi="仿宋_GB2312" w:eastAsia="仿宋_GB2312"/>
                <w:b w:val="0"/>
                <w:color w:val="000000"/>
                <w:sz w:val="32"/>
              </w:rPr>
              <w:t>新增专精特新</w:t>
            </w:r>
          </w:p>
        </w:tc>
        <w:tc>
          <w:tcPr>
            <w:tcW w:type="dxa" w:w="2835"/>
          </w:tcPr>
          <w:p>
            <w:pPr>
              <w:spacing w:lineRule="exact" w:line="600"/>
              <w:jc w:val="center"/>
            </w:pPr>
            <w:r/>
            <w:r>
              <w:rPr>
                <w:rFonts w:ascii="仿宋_GB2312" w:hAnsi="仿宋_GB2312" w:eastAsia="仿宋_GB2312"/>
                <w:b w:val="0"/>
                <w:color w:val="000000"/>
                <w:sz w:val="32"/>
              </w:rPr>
              <w:t>7家（2024）</w:t>
            </w:r>
          </w:p>
        </w:tc>
        <w:tc>
          <w:tcPr>
            <w:tcW w:type="dxa" w:w="2551"/>
          </w:tcPr>
          <w:p>
            <w:pPr>
              <w:spacing w:lineRule="exact" w:line="600"/>
              <w:jc w:val="center"/>
            </w:pPr>
            <w:r/>
            <w:r>
              <w:rPr>
                <w:rFonts w:ascii="仿宋_GB2312" w:hAnsi="仿宋_GB2312" w:eastAsia="仿宋_GB2312"/>
                <w:b w:val="0"/>
                <w:color w:val="000000"/>
                <w:sz w:val="32"/>
              </w:rPr>
              <w:t>厨具产业</w:t>
            </w:r>
          </w:p>
        </w:tc>
      </w:tr>
      <w:tr>
        <w:tc>
          <w:tcPr>
            <w:tcW w:type="dxa" w:w="3118"/>
          </w:tcPr>
          <w:p>
            <w:pPr>
              <w:spacing w:lineRule="exact" w:line="600"/>
              <w:jc w:val="center"/>
            </w:pPr>
            <w:r/>
            <w:r>
              <w:rPr>
                <w:rFonts w:ascii="仿宋_GB2312" w:hAnsi="仿宋_GB2312" w:eastAsia="仿宋_GB2312"/>
                <w:b w:val="0"/>
                <w:color w:val="000000"/>
                <w:sz w:val="32"/>
              </w:rPr>
              <w:t>国家级特色产业集群</w:t>
            </w:r>
          </w:p>
        </w:tc>
        <w:tc>
          <w:tcPr>
            <w:tcW w:type="dxa" w:w="2835"/>
          </w:tcPr>
          <w:p>
            <w:pPr>
              <w:spacing w:lineRule="exact" w:line="600"/>
              <w:jc w:val="center"/>
            </w:pPr>
            <w:r/>
            <w:r>
              <w:rPr>
                <w:rFonts w:ascii="仿宋_GB2312" w:hAnsi="仿宋_GB2312" w:eastAsia="仿宋_GB2312"/>
                <w:b w:val="0"/>
                <w:color w:val="000000"/>
                <w:sz w:val="32"/>
              </w:rPr>
              <w:t>全国首批</w:t>
            </w:r>
          </w:p>
        </w:tc>
        <w:tc>
          <w:tcPr>
            <w:tcW w:type="dxa" w:w="2551"/>
          </w:tcPr>
          <w:p>
            <w:pPr>
              <w:spacing w:lineRule="exact" w:line="600"/>
              <w:jc w:val="center"/>
            </w:pPr>
            <w:r/>
            <w:r>
              <w:rPr>
                <w:rFonts w:ascii="仿宋_GB2312" w:hAnsi="仿宋_GB2312" w:eastAsia="仿宋_GB2312"/>
                <w:b w:val="0"/>
                <w:color w:val="000000"/>
                <w:sz w:val="32"/>
              </w:rPr>
              <w:t>中小企业</w:t>
            </w:r>
          </w:p>
        </w:tc>
      </w:tr>
    </w:tbl>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120" w:after="120"/>
        <w:ind w:firstLine="420"/>
        <w:jc w:val="left"/>
      </w:pPr>
      <w:r>
        <w:rPr>
          <w:rFonts w:ascii="楷体_GB2312" w:hAnsi="楷体_GB2312" w:eastAsia="楷体_GB2312"/>
          <w:b w:val="0"/>
          <w:color w:val="000000"/>
          <w:sz w:val="32"/>
        </w:rPr>
        <w:t>（一）产品智能化</w:t>
      </w:r>
    </w:p>
    <w:p>
      <w:pPr>
        <w:spacing w:lineRule="exact" w:line="600" w:before="0" w:after="0"/>
        <w:ind w:firstLine="420"/>
        <w:jc w:val="both"/>
      </w:pPr>
      <w:r>
        <w:rPr>
          <w:rFonts w:ascii="仿宋_GB2312" w:hAnsi="仿宋_GB2312" w:eastAsia="仿宋_GB2312"/>
          <w:b w:val="0"/>
          <w:color w:val="000000"/>
          <w:sz w:val="32"/>
        </w:rPr>
        <w:t>金佰特自2017年研发智能绿云系列炉灶，运行可远程控制，从单品智能延伸到后厨整体配套智能化，并与群核科技合作开发「厨链」软件（配置1000多款模型一键拖拽）（来源：人民网）。部分企业推出节能灶（热效率比传统提高30%以上）、智能蒸饭柜（App远程控制）、智能炒菜机器人（来源：新华社）。「行业共性研判」：AI+物联网正成为产品升级主线。</w:t>
      </w:r>
    </w:p>
    <w:p>
      <w:pPr>
        <w:spacing w:lineRule="exact" w:line="600" w:before="120" w:after="120"/>
        <w:ind w:firstLine="420"/>
        <w:jc w:val="left"/>
      </w:pPr>
      <w:r>
        <w:rPr>
          <w:rFonts w:ascii="楷体_GB2312" w:hAnsi="楷体_GB2312" w:eastAsia="楷体_GB2312"/>
          <w:b w:val="0"/>
          <w:color w:val="000000"/>
          <w:sz w:val="32"/>
        </w:rPr>
        <w:t>（二）制造与标准</w:t>
      </w:r>
    </w:p>
    <w:p>
      <w:pPr>
        <w:spacing w:lineRule="exact" w:line="600" w:before="0" w:after="0"/>
        <w:ind w:firstLine="420"/>
        <w:jc w:val="both"/>
      </w:pPr>
      <w:r>
        <w:rPr>
          <w:rFonts w:ascii="仿宋_GB2312" w:hAnsi="仿宋_GB2312" w:eastAsia="仿宋_GB2312"/>
          <w:b w:val="0"/>
          <w:color w:val="000000"/>
          <w:sz w:val="32"/>
        </w:rPr>
        <w:t>山东省厨具协会已发布《中餐燃气炒菜灶》《速冷双通无霜陈列柜》等20多项团体标准（来源：人民网）；针对2024年7月起商用燃气燃烧器具实施3C认证，协会培训企业质量革命（来源：人民网）。金佰特参与制定《商用燃气燃烧器具》国家标准，获国家专利100多项、通过CE/UL认证（来源：金佰特官网）。渲凯厨业智能线一天产1000多张柜体门板（来源：齐鲁晚报）。</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技术/标准</w:t>
            </w:r>
          </w:p>
        </w:tc>
        <w:tc>
          <w:tcPr>
            <w:tcW w:type="dxa" w:w="2835"/>
          </w:tcPr>
          <w:p>
            <w:pPr>
              <w:spacing w:lineRule="exact" w:line="600"/>
              <w:jc w:val="center"/>
            </w:pPr>
            <w:r/>
            <w:r>
              <w:rPr>
                <w:rFonts w:ascii="黑体" w:hAnsi="黑体" w:eastAsia="黑体"/>
                <w:b/>
                <w:color w:val="000000"/>
                <w:sz w:val="32"/>
              </w:rPr>
              <w:t>进展</w:t>
            </w:r>
          </w:p>
        </w:tc>
        <w:tc>
          <w:tcPr>
            <w:tcW w:type="dxa" w:w="3118"/>
          </w:tcPr>
          <w:p>
            <w:pPr>
              <w:spacing w:lineRule="exact" w:line="600"/>
              <w:jc w:val="center"/>
            </w:pPr>
            <w:r/>
            <w:r>
              <w:rPr>
                <w:rFonts w:ascii="黑体" w:hAnsi="黑体" w:eastAsia="黑体"/>
                <w:b/>
                <w:color w:val="000000"/>
                <w:sz w:val="32"/>
              </w:rPr>
              <w:t>数据/来源</w:t>
            </w:r>
          </w:p>
        </w:tc>
      </w:tr>
      <w:tr>
        <w:tc>
          <w:tcPr>
            <w:tcW w:type="dxa" w:w="2835"/>
          </w:tcPr>
          <w:p>
            <w:pPr>
              <w:spacing w:lineRule="exact" w:line="600"/>
              <w:jc w:val="center"/>
            </w:pPr>
            <w:r/>
            <w:r>
              <w:rPr>
                <w:rFonts w:ascii="仿宋_GB2312" w:hAnsi="仿宋_GB2312" w:eastAsia="仿宋_GB2312"/>
                <w:b w:val="0"/>
                <w:color w:val="000000"/>
                <w:sz w:val="32"/>
              </w:rPr>
              <w:t>节能灶</w:t>
            </w:r>
          </w:p>
        </w:tc>
        <w:tc>
          <w:tcPr>
            <w:tcW w:type="dxa" w:w="2835"/>
          </w:tcPr>
          <w:p>
            <w:pPr>
              <w:spacing w:lineRule="exact" w:line="600"/>
              <w:jc w:val="center"/>
            </w:pPr>
            <w:r/>
            <w:r>
              <w:rPr>
                <w:rFonts w:ascii="仿宋_GB2312" w:hAnsi="仿宋_GB2312" w:eastAsia="仿宋_GB2312"/>
                <w:b w:val="0"/>
                <w:color w:val="000000"/>
                <w:sz w:val="32"/>
              </w:rPr>
              <w:t>热效率+30%以上</w:t>
            </w:r>
          </w:p>
        </w:tc>
        <w:tc>
          <w:tcPr>
            <w:tcW w:type="dxa" w:w="3118"/>
          </w:tcPr>
          <w:p>
            <w:pPr>
              <w:spacing w:lineRule="exact" w:line="600"/>
              <w:jc w:val="center"/>
            </w:pPr>
            <w:r/>
            <w:r>
              <w:rPr>
                <w:rFonts w:ascii="仿宋_GB2312" w:hAnsi="仿宋_GB2312" w:eastAsia="仿宋_GB2312"/>
                <w:b w:val="0"/>
                <w:color w:val="000000"/>
                <w:sz w:val="32"/>
              </w:rPr>
              <w:t>新华社</w:t>
            </w:r>
          </w:p>
        </w:tc>
      </w:tr>
      <w:tr>
        <w:tc>
          <w:tcPr>
            <w:tcW w:type="dxa" w:w="2835"/>
          </w:tcPr>
          <w:p>
            <w:pPr>
              <w:spacing w:lineRule="exact" w:line="600"/>
              <w:jc w:val="center"/>
            </w:pPr>
            <w:r/>
            <w:r>
              <w:rPr>
                <w:rFonts w:ascii="仿宋_GB2312" w:hAnsi="仿宋_GB2312" w:eastAsia="仿宋_GB2312"/>
                <w:b w:val="0"/>
                <w:color w:val="000000"/>
                <w:sz w:val="32"/>
              </w:rPr>
              <w:t>团体标准</w:t>
            </w:r>
          </w:p>
        </w:tc>
        <w:tc>
          <w:tcPr>
            <w:tcW w:type="dxa" w:w="2835"/>
          </w:tcPr>
          <w:p>
            <w:pPr>
              <w:spacing w:lineRule="exact" w:line="600"/>
              <w:jc w:val="center"/>
            </w:pPr>
            <w:r/>
            <w:r>
              <w:rPr>
                <w:rFonts w:ascii="仿宋_GB2312" w:hAnsi="仿宋_GB2312" w:eastAsia="仿宋_GB2312"/>
                <w:b w:val="0"/>
                <w:color w:val="000000"/>
                <w:sz w:val="32"/>
              </w:rPr>
              <w:t>20多项</w:t>
            </w:r>
          </w:p>
        </w:tc>
        <w:tc>
          <w:tcPr>
            <w:tcW w:type="dxa" w:w="3118"/>
          </w:tcPr>
          <w:p>
            <w:pPr>
              <w:spacing w:lineRule="exact" w:line="600"/>
              <w:jc w:val="center"/>
            </w:pPr>
            <w:r/>
            <w:r>
              <w:rPr>
                <w:rFonts w:ascii="仿宋_GB2312" w:hAnsi="仿宋_GB2312" w:eastAsia="仿宋_GB2312"/>
                <w:b w:val="0"/>
                <w:color w:val="000000"/>
                <w:sz w:val="32"/>
              </w:rPr>
              <w:t>人民网</w:t>
            </w:r>
          </w:p>
        </w:tc>
      </w:tr>
      <w:tr>
        <w:tc>
          <w:tcPr>
            <w:tcW w:type="dxa" w:w="2835"/>
          </w:tcPr>
          <w:p>
            <w:pPr>
              <w:spacing w:lineRule="exact" w:line="600"/>
              <w:jc w:val="center"/>
            </w:pPr>
            <w:r/>
            <w:r>
              <w:rPr>
                <w:rFonts w:ascii="仿宋_GB2312" w:hAnsi="仿宋_GB2312" w:eastAsia="仿宋_GB2312"/>
                <w:b w:val="0"/>
                <w:color w:val="000000"/>
                <w:sz w:val="32"/>
              </w:rPr>
              <w:t>国标参与</w:t>
            </w:r>
          </w:p>
        </w:tc>
        <w:tc>
          <w:tcPr>
            <w:tcW w:type="dxa" w:w="2835"/>
          </w:tcPr>
          <w:p>
            <w:pPr>
              <w:spacing w:lineRule="exact" w:line="600"/>
              <w:jc w:val="center"/>
            </w:pPr>
            <w:r/>
            <w:r>
              <w:rPr>
                <w:rFonts w:ascii="仿宋_GB2312" w:hAnsi="仿宋_GB2312" w:eastAsia="仿宋_GB2312"/>
                <w:b w:val="0"/>
                <w:color w:val="000000"/>
                <w:sz w:val="32"/>
              </w:rPr>
              <w:t>商用燃气燃烧器具</w:t>
            </w:r>
          </w:p>
        </w:tc>
        <w:tc>
          <w:tcPr>
            <w:tcW w:type="dxa" w:w="3118"/>
          </w:tcPr>
          <w:p>
            <w:pPr>
              <w:spacing w:lineRule="exact" w:line="600"/>
              <w:jc w:val="center"/>
            </w:pPr>
            <w:r/>
            <w:r>
              <w:rPr>
                <w:rFonts w:ascii="仿宋_GB2312" w:hAnsi="仿宋_GB2312" w:eastAsia="仿宋_GB2312"/>
                <w:b w:val="0"/>
                <w:color w:val="000000"/>
                <w:sz w:val="32"/>
              </w:rPr>
              <w:t>金佰特官网</w:t>
            </w:r>
          </w:p>
        </w:tc>
      </w:tr>
      <w:tr>
        <w:tc>
          <w:tcPr>
            <w:tcW w:type="dxa" w:w="2835"/>
          </w:tcPr>
          <w:p>
            <w:pPr>
              <w:spacing w:lineRule="exact" w:line="600"/>
              <w:jc w:val="center"/>
            </w:pPr>
            <w:r/>
            <w:r>
              <w:rPr>
                <w:rFonts w:ascii="仿宋_GB2312" w:hAnsi="仿宋_GB2312" w:eastAsia="仿宋_GB2312"/>
                <w:b w:val="0"/>
                <w:color w:val="000000"/>
                <w:sz w:val="32"/>
              </w:rPr>
              <w:t>专利</w:t>
            </w:r>
          </w:p>
        </w:tc>
        <w:tc>
          <w:tcPr>
            <w:tcW w:type="dxa" w:w="2835"/>
          </w:tcPr>
          <w:p>
            <w:pPr>
              <w:spacing w:lineRule="exact" w:line="600"/>
              <w:jc w:val="center"/>
            </w:pPr>
            <w:r/>
            <w:r>
              <w:rPr>
                <w:rFonts w:ascii="仿宋_GB2312" w:hAnsi="仿宋_GB2312" w:eastAsia="仿宋_GB2312"/>
                <w:b w:val="0"/>
                <w:color w:val="000000"/>
                <w:sz w:val="32"/>
              </w:rPr>
              <w:t>金佰特100多项</w:t>
            </w:r>
          </w:p>
        </w:tc>
        <w:tc>
          <w:tcPr>
            <w:tcW w:type="dxa" w:w="3118"/>
          </w:tcPr>
          <w:p>
            <w:pPr>
              <w:spacing w:lineRule="exact" w:line="600"/>
              <w:jc w:val="center"/>
            </w:pPr>
            <w:r/>
            <w:r>
              <w:rPr>
                <w:rFonts w:ascii="仿宋_GB2312" w:hAnsi="仿宋_GB2312" w:eastAsia="仿宋_GB2312"/>
                <w:b w:val="0"/>
                <w:color w:val="000000"/>
                <w:sz w:val="32"/>
              </w:rPr>
              <w:t>金佰特官网</w:t>
            </w:r>
          </w:p>
        </w:tc>
      </w:tr>
      <w:tr>
        <w:tc>
          <w:tcPr>
            <w:tcW w:type="dxa" w:w="2835"/>
          </w:tcPr>
          <w:p>
            <w:pPr>
              <w:spacing w:lineRule="exact" w:line="600"/>
              <w:jc w:val="center"/>
            </w:pPr>
            <w:r/>
            <w:r>
              <w:rPr>
                <w:rFonts w:ascii="仿宋_GB2312" w:hAnsi="仿宋_GB2312" w:eastAsia="仿宋_GB2312"/>
                <w:b w:val="0"/>
                <w:color w:val="000000"/>
                <w:sz w:val="32"/>
              </w:rPr>
              <w:t>3C认证</w:t>
            </w:r>
          </w:p>
        </w:tc>
        <w:tc>
          <w:tcPr>
            <w:tcW w:type="dxa" w:w="2835"/>
          </w:tcPr>
          <w:p>
            <w:pPr>
              <w:spacing w:lineRule="exact" w:line="600"/>
              <w:jc w:val="center"/>
            </w:pPr>
            <w:r/>
            <w:r>
              <w:rPr>
                <w:rFonts w:ascii="仿宋_GB2312" w:hAnsi="仿宋_GB2312" w:eastAsia="仿宋_GB2312"/>
                <w:b w:val="0"/>
                <w:color w:val="000000"/>
                <w:sz w:val="32"/>
              </w:rPr>
              <w:t>2024.7起实施</w:t>
            </w:r>
          </w:p>
        </w:tc>
        <w:tc>
          <w:tcPr>
            <w:tcW w:type="dxa" w:w="3118"/>
          </w:tcPr>
          <w:p>
            <w:pPr>
              <w:spacing w:lineRule="exact" w:line="600"/>
              <w:jc w:val="center"/>
            </w:pPr>
            <w:r/>
            <w:r>
              <w:rPr>
                <w:rFonts w:ascii="仿宋_GB2312" w:hAnsi="仿宋_GB2312" w:eastAsia="仿宋_GB2312"/>
                <w:b w:val="0"/>
                <w:color w:val="000000"/>
                <w:sz w:val="32"/>
              </w:rPr>
              <w:t>人民网</w:t>
            </w:r>
          </w:p>
        </w:tc>
      </w:tr>
      <w:tr>
        <w:tc>
          <w:tcPr>
            <w:tcW w:type="dxa" w:w="2835"/>
          </w:tcPr>
          <w:p>
            <w:pPr>
              <w:spacing w:lineRule="exact" w:line="600"/>
              <w:jc w:val="center"/>
            </w:pPr>
            <w:r/>
            <w:r>
              <w:rPr>
                <w:rFonts w:ascii="仿宋_GB2312" w:hAnsi="仿宋_GB2312" w:eastAsia="仿宋_GB2312"/>
                <w:b w:val="0"/>
                <w:color w:val="000000"/>
                <w:sz w:val="32"/>
              </w:rPr>
              <w:t>智能产线</w:t>
            </w:r>
          </w:p>
        </w:tc>
        <w:tc>
          <w:tcPr>
            <w:tcW w:type="dxa" w:w="2835"/>
          </w:tcPr>
          <w:p>
            <w:pPr>
              <w:spacing w:lineRule="exact" w:line="600"/>
              <w:jc w:val="center"/>
            </w:pPr>
            <w:r/>
            <w:r>
              <w:rPr>
                <w:rFonts w:ascii="仿宋_GB2312" w:hAnsi="仿宋_GB2312" w:eastAsia="仿宋_GB2312"/>
                <w:b w:val="0"/>
                <w:color w:val="000000"/>
                <w:sz w:val="32"/>
              </w:rPr>
              <w:t>日产千张门板</w:t>
            </w:r>
          </w:p>
        </w:tc>
        <w:tc>
          <w:tcPr>
            <w:tcW w:type="dxa" w:w="3118"/>
          </w:tcPr>
          <w:p>
            <w:pPr>
              <w:spacing w:lineRule="exact" w:line="600"/>
              <w:jc w:val="center"/>
            </w:pPr>
            <w:r/>
            <w:r>
              <w:rPr>
                <w:rFonts w:ascii="仿宋_GB2312" w:hAnsi="仿宋_GB2312" w:eastAsia="仿宋_GB2312"/>
                <w:b w:val="0"/>
                <w:color w:val="000000"/>
                <w:sz w:val="32"/>
              </w:rPr>
              <w:t>齐鲁晚报</w:t>
            </w:r>
          </w:p>
        </w:tc>
      </w:tr>
    </w:tbl>
    <w:p>
      <w:pPr>
        <w:spacing w:lineRule="exact" w:line="600" w:before="120" w:after="120"/>
        <w:ind w:firstLine="420"/>
        <w:jc w:val="left"/>
      </w:pPr>
      <w:r>
        <w:rPr>
          <w:rFonts w:ascii="楷体_GB2312" w:hAnsi="楷体_GB2312" w:eastAsia="楷体_GB2312"/>
          <w:b w:val="0"/>
          <w:color w:val="000000"/>
          <w:sz w:val="32"/>
        </w:rPr>
        <w:t>（五）省级创新能力与技改政策框架参照</w:t>
      </w:r>
    </w:p>
    <w:p>
      <w:pPr>
        <w:spacing w:lineRule="exact" w:line="600" w:before="0" w:after="0"/>
        <w:ind w:firstLine="420"/>
        <w:jc w:val="both"/>
      </w:pPr>
      <w:r>
        <w:rPr>
          <w:rFonts w:ascii="仿宋_GB2312" w:hAnsi="仿宋_GB2312" w:eastAsia="仿宋_GB2312"/>
          <w:b w:val="0"/>
          <w:color w:val="000000"/>
          <w:sz w:val="32"/>
        </w:rPr>
        <w:t>从省级创新与技改政策看，山东省持续加大创新投入：省级科技资金2024年达145.2亿元，连续6年保持高强度投入；深入实施智能化技术改造行动计划，省财政安排技术改造资金6.25亿元，对符合条件的企业给予最高2000万元贷款贴息、最高500万元设备更新补贴，支持关键工序自动化、智能工厂与数字化车间建设。优质企业培育方面，到2025年力争培育专精特新中小企业1万家左右、制造业单项冠军企业1000家左右、产业生态主导型“链主”企业200家左右，构建覆盖创新型中小企业—专精特新—小巨人—单项冠军—领航企业的梯度培育体系。（来源：山东省财政厅，2024；省发展改革委/省工信厅，《先进制造业强省行动计划（2022—2025年）》）（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省级创新/技改指标</w:t>
            </w:r>
          </w:p>
        </w:tc>
        <w:tc>
          <w:tcPr>
            <w:tcW w:type="dxa" w:w="2551"/>
          </w:tcPr>
          <w:p>
            <w:pPr>
              <w:spacing w:lineRule="exact" w:line="600"/>
              <w:jc w:val="center"/>
            </w:pPr>
            <w:r/>
            <w:r>
              <w:rPr>
                <w:rFonts w:ascii="黑体" w:hAnsi="黑体" w:eastAsia="黑体"/>
                <w:b/>
                <w:color w:val="000000"/>
                <w:sz w:val="32"/>
              </w:rPr>
              <w:t>规模/目标</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省级科技资金（2024）</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bl>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120" w:after="120"/>
        <w:ind w:firstLine="420"/>
        <w:jc w:val="left"/>
      </w:pPr>
      <w:r>
        <w:rPr>
          <w:rFonts w:ascii="楷体_GB2312" w:hAnsi="楷体_GB2312" w:eastAsia="楷体_GB2312"/>
          <w:b w:val="0"/>
          <w:color w:val="000000"/>
          <w:sz w:val="32"/>
        </w:rPr>
        <w:t>（一）成本与盈利</w:t>
      </w:r>
    </w:p>
    <w:p>
      <w:pPr>
        <w:spacing w:lineRule="exact" w:line="600" w:before="0" w:after="0"/>
        <w:ind w:firstLine="420"/>
        <w:jc w:val="both"/>
      </w:pPr>
      <w:r>
        <w:rPr>
          <w:rFonts w:ascii="仿宋_GB2312" w:hAnsi="仿宋_GB2312" w:eastAsia="仿宋_GB2312"/>
          <w:b w:val="0"/>
          <w:color w:val="000000"/>
          <w:sz w:val="32"/>
        </w:rPr>
        <w:t>金佰特年销售额突破10亿元、出口占比约30%、中国厨都纳税第一名（来源：金佰特官网、行业报道）；2024年办理出口退税2000余万元、享受研发费用加计扣除780余万元（来源：中国税务报）。成本以不锈钢板材为主，「行业共性研判」：钢价波动直接影响利润，规模企业与集采平台具成本优势。</w:t>
      </w:r>
    </w:p>
    <w:p>
      <w:pPr>
        <w:spacing w:lineRule="exact" w:line="600" w:before="120" w:after="120"/>
        <w:ind w:firstLine="420"/>
        <w:jc w:val="left"/>
      </w:pPr>
      <w:r>
        <w:rPr>
          <w:rFonts w:ascii="楷体_GB2312" w:hAnsi="楷体_GB2312" w:eastAsia="楷体_GB2312"/>
          <w:b w:val="0"/>
          <w:color w:val="000000"/>
          <w:sz w:val="32"/>
        </w:rPr>
        <w:t>（二）要素保障</w:t>
      </w:r>
    </w:p>
    <w:p>
      <w:pPr>
        <w:spacing w:lineRule="exact" w:line="600" w:before="0" w:after="0"/>
        <w:ind w:firstLine="420"/>
        <w:jc w:val="both"/>
      </w:pPr>
      <w:r>
        <w:rPr>
          <w:rFonts w:ascii="仿宋_GB2312" w:hAnsi="仿宋_GB2312" w:eastAsia="仿宋_GB2312"/>
          <w:b w:val="0"/>
          <w:color w:val="000000"/>
          <w:sz w:val="32"/>
        </w:rPr>
        <w:t>博兴县通过税费优惠、外贸专项资金支持出海；鲁西/滨州港物流与兴福火车站（年货运40万吨）保障运输（来源：齐鲁晚报、中国税务报）。人才上，兴福镇以「科技副总」「产业链博士团」与产学研平台引才（来源：人民网）。「行业共性研判」：环保（油烟、焊接）与用地是制造企业要素约束。</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要素</w:t>
            </w:r>
          </w:p>
        </w:tc>
        <w:tc>
          <w:tcPr>
            <w:tcW w:type="dxa" w:w="3118"/>
          </w:tcPr>
          <w:p>
            <w:pPr>
              <w:spacing w:lineRule="exact" w:line="600"/>
              <w:jc w:val="center"/>
            </w:pPr>
            <w:r/>
            <w:r>
              <w:rPr>
                <w:rFonts w:ascii="黑体" w:hAnsi="黑体" w:eastAsia="黑体"/>
                <w:b/>
                <w:color w:val="000000"/>
                <w:sz w:val="32"/>
              </w:rPr>
              <w:t>现状</w:t>
            </w:r>
          </w:p>
        </w:tc>
        <w:tc>
          <w:tcPr>
            <w:tcW w:type="dxa" w:w="3118"/>
          </w:tcPr>
          <w:p>
            <w:pPr>
              <w:spacing w:lineRule="exact" w:line="600"/>
              <w:jc w:val="center"/>
            </w:pPr>
            <w:r/>
            <w:r>
              <w:rPr>
                <w:rFonts w:ascii="黑体" w:hAnsi="黑体" w:eastAsia="黑体"/>
                <w:b/>
                <w:color w:val="000000"/>
                <w:sz w:val="32"/>
              </w:rPr>
              <w:t>来源/研判</w:t>
            </w:r>
          </w:p>
        </w:tc>
      </w:tr>
      <w:tr>
        <w:tc>
          <w:tcPr>
            <w:tcW w:type="dxa" w:w="2268"/>
          </w:tcPr>
          <w:p>
            <w:pPr>
              <w:spacing w:lineRule="exact" w:line="600"/>
              <w:jc w:val="center"/>
            </w:pPr>
            <w:r/>
            <w:r>
              <w:rPr>
                <w:rFonts w:ascii="仿宋_GB2312" w:hAnsi="仿宋_GB2312" w:eastAsia="仿宋_GB2312"/>
                <w:b w:val="0"/>
                <w:color w:val="000000"/>
                <w:sz w:val="32"/>
              </w:rPr>
              <w:t>原材料</w:t>
            </w:r>
          </w:p>
        </w:tc>
        <w:tc>
          <w:tcPr>
            <w:tcW w:type="dxa" w:w="3118"/>
          </w:tcPr>
          <w:p>
            <w:pPr>
              <w:spacing w:lineRule="exact" w:line="600"/>
              <w:jc w:val="center"/>
            </w:pPr>
            <w:r/>
            <w:r>
              <w:rPr>
                <w:rFonts w:ascii="仿宋_GB2312" w:hAnsi="仿宋_GB2312" w:eastAsia="仿宋_GB2312"/>
                <w:b w:val="0"/>
                <w:color w:val="000000"/>
                <w:sz w:val="32"/>
              </w:rPr>
              <w:t>不锈钢板为主</w:t>
            </w:r>
          </w:p>
        </w:tc>
        <w:tc>
          <w:tcPr>
            <w:tcW w:type="dxa" w:w="3118"/>
          </w:tcPr>
          <w:p>
            <w:pPr>
              <w:spacing w:lineRule="exact" w:line="600"/>
              <w:jc w:val="center"/>
            </w:pPr>
            <w:r/>
            <w:r>
              <w:rPr>
                <w:rFonts w:ascii="仿宋_GB2312" w:hAnsi="仿宋_GB2312" w:eastAsia="仿宋_GB2312"/>
                <w:b w:val="0"/>
                <w:color w:val="000000"/>
                <w:sz w:val="32"/>
              </w:rPr>
              <w:t>行业研判</w:t>
            </w:r>
          </w:p>
        </w:tc>
      </w:tr>
      <w:tr>
        <w:tc>
          <w:tcPr>
            <w:tcW w:type="dxa" w:w="2268"/>
          </w:tcPr>
          <w:p>
            <w:pPr>
              <w:spacing w:lineRule="exact" w:line="600"/>
              <w:jc w:val="center"/>
            </w:pPr>
            <w:r/>
            <w:r>
              <w:rPr>
                <w:rFonts w:ascii="仿宋_GB2312" w:hAnsi="仿宋_GB2312" w:eastAsia="仿宋_GB2312"/>
                <w:b w:val="0"/>
                <w:color w:val="000000"/>
                <w:sz w:val="32"/>
              </w:rPr>
              <w:t>税收优惠</w:t>
            </w:r>
          </w:p>
        </w:tc>
        <w:tc>
          <w:tcPr>
            <w:tcW w:type="dxa" w:w="3118"/>
          </w:tcPr>
          <w:p>
            <w:pPr>
              <w:spacing w:lineRule="exact" w:line="600"/>
              <w:jc w:val="center"/>
            </w:pPr>
            <w:r/>
            <w:r>
              <w:rPr>
                <w:rFonts w:ascii="仿宋_GB2312" w:hAnsi="仿宋_GB2312" w:eastAsia="仿宋_GB2312"/>
                <w:b w:val="0"/>
                <w:color w:val="000000"/>
                <w:sz w:val="32"/>
              </w:rPr>
              <w:t>退税2000余万</w:t>
            </w:r>
          </w:p>
        </w:tc>
        <w:tc>
          <w:tcPr>
            <w:tcW w:type="dxa" w:w="3118"/>
          </w:tcPr>
          <w:p>
            <w:pPr>
              <w:spacing w:lineRule="exact" w:line="600"/>
              <w:jc w:val="center"/>
            </w:pPr>
            <w:r/>
            <w:r>
              <w:rPr>
                <w:rFonts w:ascii="仿宋_GB2312" w:hAnsi="仿宋_GB2312" w:eastAsia="仿宋_GB2312"/>
                <w:b w:val="0"/>
                <w:color w:val="000000"/>
                <w:sz w:val="32"/>
              </w:rPr>
              <w:t>中国税务报</w:t>
            </w:r>
          </w:p>
        </w:tc>
      </w:tr>
      <w:tr>
        <w:tc>
          <w:tcPr>
            <w:tcW w:type="dxa" w:w="2268"/>
          </w:tcPr>
          <w:p>
            <w:pPr>
              <w:spacing w:lineRule="exact" w:line="600"/>
              <w:jc w:val="center"/>
            </w:pPr>
            <w:r/>
            <w:r>
              <w:rPr>
                <w:rFonts w:ascii="仿宋_GB2312" w:hAnsi="仿宋_GB2312" w:eastAsia="仿宋_GB2312"/>
                <w:b w:val="0"/>
                <w:color w:val="000000"/>
                <w:sz w:val="32"/>
              </w:rPr>
              <w:t>研发加计</w:t>
            </w:r>
          </w:p>
        </w:tc>
        <w:tc>
          <w:tcPr>
            <w:tcW w:type="dxa" w:w="3118"/>
          </w:tcPr>
          <w:p>
            <w:pPr>
              <w:spacing w:lineRule="exact" w:line="600"/>
              <w:jc w:val="center"/>
            </w:pPr>
            <w:r/>
            <w:r>
              <w:rPr>
                <w:rFonts w:ascii="仿宋_GB2312" w:hAnsi="仿宋_GB2312" w:eastAsia="仿宋_GB2312"/>
                <w:b w:val="0"/>
                <w:color w:val="000000"/>
                <w:sz w:val="32"/>
              </w:rPr>
              <w:t>780余万元</w:t>
            </w:r>
          </w:p>
        </w:tc>
        <w:tc>
          <w:tcPr>
            <w:tcW w:type="dxa" w:w="3118"/>
          </w:tcPr>
          <w:p>
            <w:pPr>
              <w:spacing w:lineRule="exact" w:line="600"/>
              <w:jc w:val="center"/>
            </w:pPr>
            <w:r/>
            <w:r>
              <w:rPr>
                <w:rFonts w:ascii="仿宋_GB2312" w:hAnsi="仿宋_GB2312" w:eastAsia="仿宋_GB2312"/>
                <w:b w:val="0"/>
                <w:color w:val="000000"/>
                <w:sz w:val="32"/>
              </w:rPr>
              <w:t>中国税务报</w:t>
            </w:r>
          </w:p>
        </w:tc>
      </w:tr>
      <w:tr>
        <w:tc>
          <w:tcPr>
            <w:tcW w:type="dxa" w:w="2268"/>
          </w:tcPr>
          <w:p>
            <w:pPr>
              <w:spacing w:lineRule="exact" w:line="600"/>
              <w:jc w:val="center"/>
            </w:pPr>
            <w:r/>
            <w:r>
              <w:rPr>
                <w:rFonts w:ascii="仿宋_GB2312" w:hAnsi="仿宋_GB2312" w:eastAsia="仿宋_GB2312"/>
                <w:b w:val="0"/>
                <w:color w:val="000000"/>
                <w:sz w:val="32"/>
              </w:rPr>
              <w:t>物流</w:t>
            </w:r>
          </w:p>
        </w:tc>
        <w:tc>
          <w:tcPr>
            <w:tcW w:type="dxa" w:w="3118"/>
          </w:tcPr>
          <w:p>
            <w:pPr>
              <w:spacing w:lineRule="exact" w:line="600"/>
              <w:jc w:val="center"/>
            </w:pPr>
            <w:r/>
            <w:r>
              <w:rPr>
                <w:rFonts w:ascii="仿宋_GB2312" w:hAnsi="仿宋_GB2312" w:eastAsia="仿宋_GB2312"/>
                <w:b w:val="0"/>
                <w:color w:val="000000"/>
                <w:sz w:val="32"/>
              </w:rPr>
              <w:t>兴福站货运40万吨</w:t>
            </w:r>
          </w:p>
        </w:tc>
        <w:tc>
          <w:tcPr>
            <w:tcW w:type="dxa" w:w="3118"/>
          </w:tcPr>
          <w:p>
            <w:pPr>
              <w:spacing w:lineRule="exact" w:line="600"/>
              <w:jc w:val="center"/>
            </w:pPr>
            <w:r/>
            <w:r>
              <w:rPr>
                <w:rFonts w:ascii="仿宋_GB2312" w:hAnsi="仿宋_GB2312" w:eastAsia="仿宋_GB2312"/>
                <w:b w:val="0"/>
                <w:color w:val="000000"/>
                <w:sz w:val="32"/>
              </w:rPr>
              <w:t>齐鲁晚报</w:t>
            </w:r>
          </w:p>
        </w:tc>
      </w:tr>
      <w:tr>
        <w:tc>
          <w:tcPr>
            <w:tcW w:type="dxa" w:w="2268"/>
          </w:tcPr>
          <w:p>
            <w:pPr>
              <w:spacing w:lineRule="exact" w:line="600"/>
              <w:jc w:val="center"/>
            </w:pPr>
            <w:r/>
            <w:r>
              <w:rPr>
                <w:rFonts w:ascii="仿宋_GB2312" w:hAnsi="仿宋_GB2312" w:eastAsia="仿宋_GB2312"/>
                <w:b w:val="0"/>
                <w:color w:val="000000"/>
                <w:sz w:val="32"/>
              </w:rPr>
              <w:t>人才</w:t>
            </w:r>
          </w:p>
        </w:tc>
        <w:tc>
          <w:tcPr>
            <w:tcW w:type="dxa" w:w="3118"/>
          </w:tcPr>
          <w:p>
            <w:pPr>
              <w:spacing w:lineRule="exact" w:line="600"/>
              <w:jc w:val="center"/>
            </w:pPr>
            <w:r/>
            <w:r>
              <w:rPr>
                <w:rFonts w:ascii="仿宋_GB2312" w:hAnsi="仿宋_GB2312" w:eastAsia="仿宋_GB2312"/>
                <w:b w:val="0"/>
                <w:color w:val="000000"/>
                <w:sz w:val="32"/>
              </w:rPr>
              <w:t>科技副总/博士团</w:t>
            </w:r>
          </w:p>
        </w:tc>
        <w:tc>
          <w:tcPr>
            <w:tcW w:type="dxa" w:w="3118"/>
          </w:tcPr>
          <w:p>
            <w:pPr>
              <w:spacing w:lineRule="exact" w:line="600"/>
              <w:jc w:val="center"/>
            </w:pPr>
            <w:r/>
            <w:r>
              <w:rPr>
                <w:rFonts w:ascii="仿宋_GB2312" w:hAnsi="仿宋_GB2312" w:eastAsia="仿宋_GB2312"/>
                <w:b w:val="0"/>
                <w:color w:val="000000"/>
                <w:sz w:val="32"/>
              </w:rPr>
              <w:t>人民网</w:t>
            </w:r>
          </w:p>
        </w:tc>
      </w:tr>
    </w:tbl>
    <w:p>
      <w:pPr>
        <w:spacing w:lineRule="exact" w:line="600" w:before="120" w:after="120"/>
        <w:ind w:firstLine="420"/>
        <w:jc w:val="left"/>
      </w:pPr>
      <w:r>
        <w:rPr>
          <w:rFonts w:ascii="楷体_GB2312" w:hAnsi="楷体_GB2312" w:eastAsia="楷体_GB2312"/>
          <w:b w:val="0"/>
          <w:color w:val="000000"/>
          <w:sz w:val="32"/>
        </w:rPr>
        <w:t>要素保障与政策（本批真实数据补充·来源见正文）</w:t>
      </w:r>
    </w:p>
    <w:p>
      <w:pPr>
        <w:spacing w:lineRule="exact" w:line="600" w:before="0" w:after="0"/>
        <w:ind w:firstLine="420"/>
        <w:jc w:val="both"/>
      </w:pPr>
      <w:r>
        <w:rPr>
          <w:rFonts w:ascii="仿宋_GB2312" w:hAnsi="仿宋_GB2312" w:eastAsia="仿宋_GB2312"/>
          <w:b w:val="0"/>
          <w:color w:val="000000"/>
          <w:sz w:val="32"/>
        </w:rPr>
        <w:t>博兴县2024年为商用厨具项目供地300余亩；设立6000万元科技创新发展和人才建设资金，组建由8位专家组成的商用厨具产业链博士团，梳理解决企业问题20余项，推广“科技小院”育才模式。（来源：博兴县优化营商环境报道）</w:t>
      </w:r>
    </w:p>
    <w:tbl>
      <w:tblPr>
        <w:tblStyle w:val="TableGrid"/>
        <w:tblW w:type="auto" w:w="0"/>
        <w:jc w:val="center"/>
        <w:tblLook w:firstColumn="1" w:firstRow="1" w:lastColumn="0" w:lastRow="0" w:noHBand="0" w:noVBand="1" w:val="04A0"/>
      </w:tblPr>
      <w:tblGrid>
        <w:gridCol w:w="2948"/>
        <w:gridCol w:w="2948"/>
        <w:gridCol w:w="2948"/>
      </w:tblGrid>
      <w:tr>
        <w:tc>
          <w:tcPr>
            <w:tcW w:type="dxa" w:w="3118"/>
          </w:tcPr>
          <w:p>
            <w:pPr>
              <w:spacing w:lineRule="exact" w:line="600"/>
              <w:jc w:val="center"/>
            </w:pPr>
            <w:r/>
            <w:r>
              <w:rPr>
                <w:rFonts w:ascii="黑体" w:hAnsi="黑体" w:eastAsia="黑体"/>
                <w:b/>
                <w:color w:val="000000"/>
                <w:sz w:val="32"/>
              </w:rPr>
              <w:t>要素指标</w:t>
            </w:r>
          </w:p>
        </w:tc>
        <w:tc>
          <w:tcPr>
            <w:tcW w:type="dxa" w:w="2835"/>
          </w:tcPr>
          <w:p>
            <w:pPr>
              <w:spacing w:lineRule="exact" w:line="600"/>
              <w:jc w:val="center"/>
            </w:pPr>
            <w:r/>
            <w:r>
              <w:rPr>
                <w:rFonts w:ascii="黑体" w:hAnsi="黑体" w:eastAsia="黑体"/>
                <w:b/>
                <w:color w:val="000000"/>
                <w:sz w:val="32"/>
              </w:rPr>
              <w:t>数值</w:t>
            </w:r>
          </w:p>
        </w:tc>
        <w:tc>
          <w:tcPr>
            <w:tcW w:type="dxa" w:w="2551"/>
          </w:tcPr>
          <w:p>
            <w:pPr>
              <w:spacing w:lineRule="exact" w:line="600"/>
              <w:jc w:val="center"/>
            </w:pPr>
            <w:r/>
            <w:r>
              <w:rPr>
                <w:rFonts w:ascii="黑体" w:hAnsi="黑体" w:eastAsia="黑体"/>
                <w:b/>
                <w:color w:val="000000"/>
                <w:sz w:val="32"/>
              </w:rPr>
              <w:t>效果</w:t>
            </w:r>
          </w:p>
        </w:tc>
      </w:tr>
      <w:tr>
        <w:tc>
          <w:tcPr>
            <w:tcW w:type="dxa" w:w="3118"/>
          </w:tcPr>
          <w:p>
            <w:pPr>
              <w:spacing w:lineRule="exact" w:line="600"/>
              <w:jc w:val="center"/>
            </w:pPr>
            <w:r/>
            <w:r>
              <w:rPr>
                <w:rFonts w:ascii="仿宋_GB2312" w:hAnsi="仿宋_GB2312" w:eastAsia="仿宋_GB2312"/>
                <w:b w:val="0"/>
                <w:color w:val="000000"/>
                <w:sz w:val="32"/>
              </w:rPr>
              <w:t>厨具项目供地</w:t>
            </w:r>
          </w:p>
        </w:tc>
        <w:tc>
          <w:tcPr>
            <w:tcW w:type="dxa" w:w="2835"/>
          </w:tcPr>
          <w:p>
            <w:pPr>
              <w:spacing w:lineRule="exact" w:line="600"/>
              <w:jc w:val="center"/>
            </w:pPr>
            <w:r/>
            <w:r>
              <w:rPr>
                <w:rFonts w:ascii="仿宋_GB2312" w:hAnsi="仿宋_GB2312" w:eastAsia="仿宋_GB2312"/>
                <w:b w:val="0"/>
                <w:color w:val="000000"/>
                <w:sz w:val="32"/>
              </w:rPr>
              <w:t>300余亩（2024）</w:t>
            </w:r>
          </w:p>
        </w:tc>
        <w:tc>
          <w:tcPr>
            <w:tcW w:type="dxa" w:w="2551"/>
          </w:tcPr>
          <w:p>
            <w:pPr>
              <w:spacing w:lineRule="exact" w:line="600"/>
              <w:jc w:val="center"/>
            </w:pPr>
            <w:r/>
            <w:r>
              <w:rPr>
                <w:rFonts w:ascii="仿宋_GB2312" w:hAnsi="仿宋_GB2312" w:eastAsia="仿宋_GB2312"/>
                <w:b w:val="0"/>
                <w:color w:val="000000"/>
                <w:sz w:val="32"/>
              </w:rPr>
              <w:t>要素保障</w:t>
            </w:r>
          </w:p>
        </w:tc>
      </w:tr>
      <w:tr>
        <w:tc>
          <w:tcPr>
            <w:tcW w:type="dxa" w:w="3118"/>
          </w:tcPr>
          <w:p>
            <w:pPr>
              <w:spacing w:lineRule="exact" w:line="600"/>
              <w:jc w:val="center"/>
            </w:pPr>
            <w:r/>
            <w:r>
              <w:rPr>
                <w:rFonts w:ascii="仿宋_GB2312" w:hAnsi="仿宋_GB2312" w:eastAsia="仿宋_GB2312"/>
                <w:b w:val="0"/>
                <w:color w:val="000000"/>
                <w:sz w:val="32"/>
              </w:rPr>
              <w:t>科创与人才资金</w:t>
            </w:r>
          </w:p>
        </w:tc>
        <w:tc>
          <w:tcPr>
            <w:tcW w:type="dxa" w:w="2835"/>
          </w:tcPr>
          <w:p>
            <w:pPr>
              <w:spacing w:lineRule="exact" w:line="600"/>
              <w:jc w:val="center"/>
            </w:pPr>
            <w:r/>
            <w:r>
              <w:rPr>
                <w:rFonts w:ascii="仿宋_GB2312" w:hAnsi="仿宋_GB2312" w:eastAsia="仿宋_GB2312"/>
                <w:b w:val="0"/>
                <w:color w:val="000000"/>
                <w:sz w:val="32"/>
              </w:rPr>
              <w:t>6000万元</w:t>
            </w:r>
          </w:p>
        </w:tc>
        <w:tc>
          <w:tcPr>
            <w:tcW w:type="dxa" w:w="2551"/>
          </w:tcPr>
          <w:p>
            <w:pPr>
              <w:spacing w:lineRule="exact" w:line="600"/>
              <w:jc w:val="center"/>
            </w:pPr>
            <w:r/>
            <w:r>
              <w:rPr>
                <w:rFonts w:ascii="仿宋_GB2312" w:hAnsi="仿宋_GB2312" w:eastAsia="仿宋_GB2312"/>
                <w:b w:val="0"/>
                <w:color w:val="000000"/>
                <w:sz w:val="32"/>
              </w:rPr>
              <w:t>博士团8位专家</w:t>
            </w:r>
          </w:p>
        </w:tc>
      </w:tr>
      <w:tr>
        <w:tc>
          <w:tcPr>
            <w:tcW w:type="dxa" w:w="3118"/>
          </w:tcPr>
          <w:p>
            <w:pPr>
              <w:spacing w:lineRule="exact" w:line="600"/>
              <w:jc w:val="center"/>
            </w:pPr>
            <w:r/>
            <w:r>
              <w:rPr>
                <w:rFonts w:ascii="仿宋_GB2312" w:hAnsi="仿宋_GB2312" w:eastAsia="仿宋_GB2312"/>
                <w:b w:val="0"/>
                <w:color w:val="000000"/>
                <w:sz w:val="32"/>
              </w:rPr>
              <w:t>解决企业问题</w:t>
            </w:r>
          </w:p>
        </w:tc>
        <w:tc>
          <w:tcPr>
            <w:tcW w:type="dxa" w:w="2835"/>
          </w:tcPr>
          <w:p>
            <w:pPr>
              <w:spacing w:lineRule="exact" w:line="600"/>
              <w:jc w:val="center"/>
            </w:pPr>
            <w:r/>
            <w:r>
              <w:rPr>
                <w:rFonts w:ascii="仿宋_GB2312" w:hAnsi="仿宋_GB2312" w:eastAsia="仿宋_GB2312"/>
                <w:b w:val="0"/>
                <w:color w:val="000000"/>
                <w:sz w:val="32"/>
              </w:rPr>
              <w:t>20余项</w:t>
            </w:r>
          </w:p>
        </w:tc>
        <w:tc>
          <w:tcPr>
            <w:tcW w:type="dxa" w:w="2551"/>
          </w:tcPr>
          <w:p>
            <w:pPr>
              <w:spacing w:lineRule="exact" w:line="600"/>
              <w:jc w:val="center"/>
            </w:pPr>
            <w:r/>
            <w:r>
              <w:rPr>
                <w:rFonts w:ascii="仿宋_GB2312" w:hAnsi="仿宋_GB2312" w:eastAsia="仿宋_GB2312"/>
                <w:b w:val="0"/>
                <w:color w:val="000000"/>
                <w:sz w:val="32"/>
              </w:rPr>
              <w:t>博士团梳理</w:t>
            </w:r>
          </w:p>
        </w:tc>
      </w:tr>
    </w:tbl>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120" w:after="120"/>
        <w:ind w:firstLine="420"/>
        <w:jc w:val="left"/>
      </w:pPr>
      <w:r>
        <w:rPr>
          <w:rFonts w:ascii="楷体_GB2312" w:hAnsi="楷体_GB2312" w:eastAsia="楷体_GB2312"/>
          <w:b w:val="0"/>
          <w:color w:val="000000"/>
          <w:sz w:val="32"/>
        </w:rPr>
        <w:t>（一）机遇</w:t>
      </w:r>
    </w:p>
    <w:p>
      <w:pPr>
        <w:spacing w:lineRule="exact" w:line="600" w:before="0" w:after="0"/>
        <w:ind w:firstLine="420"/>
        <w:jc w:val="both"/>
      </w:pPr>
      <w:r>
        <w:rPr>
          <w:rFonts w:ascii="仿宋_GB2312" w:hAnsi="仿宋_GB2312" w:eastAsia="仿宋_GB2312"/>
          <w:b w:val="0"/>
          <w:color w:val="000000"/>
          <w:sz w:val="32"/>
        </w:rPr>
        <w:t>团餐、预制菜、连锁餐饮增长拉动设备更新；「一带一路」与海外仓打开国际市场（兴福已建8个海外仓、2个在建）（来源：人民网、新华社）；北京冬奥、卡塔尔世界杯等标杆项目提升品牌；政策上链长制与质量提升行动护航（来源：博政办发〔2026〕1号）。</w:t>
      </w:r>
    </w:p>
    <w:p>
      <w:pPr>
        <w:spacing w:lineRule="exact" w:line="600" w:before="120" w:after="120"/>
        <w:ind w:firstLine="420"/>
        <w:jc w:val="left"/>
      </w:pPr>
      <w:r>
        <w:rPr>
          <w:rFonts w:ascii="楷体_GB2312" w:hAnsi="楷体_GB2312" w:eastAsia="楷体_GB2312"/>
          <w:b w:val="0"/>
          <w:color w:val="000000"/>
          <w:sz w:val="32"/>
        </w:rPr>
        <w:t>（二）挑战与风险</w:t>
      </w:r>
    </w:p>
    <w:p>
      <w:pPr>
        <w:spacing w:lineRule="exact" w:line="600" w:before="0" w:after="0"/>
        <w:ind w:firstLine="420"/>
        <w:jc w:val="both"/>
      </w:pPr>
      <w:r>
        <w:rPr>
          <w:rFonts w:ascii="仿宋_GB2312" w:hAnsi="仿宋_GB2312" w:eastAsia="仿宋_GB2312"/>
          <w:b w:val="0"/>
          <w:color w:val="000000"/>
          <w:sz w:val="32"/>
        </w:rPr>
        <w:t>兴福镇党委书记指出行业遭遇「双重挤压」：关税战影响海外订单、国内餐饮调整期致订单缩减（来源：人民网）。质量问题「双高」、同质化内卷、龙头企业偏少是结构性挑战（来源：博政办发〔2026〕1号）。「行业共性研判」：房地产下行影响酒店基建配套需求，是潜在下行风险。</w:t>
      </w:r>
    </w:p>
    <w:tbl>
      <w:tblPr>
        <w:tblStyle w:val="TableGrid"/>
        <w:tblW w:type="auto" w:w="0"/>
        <w:jc w:val="center"/>
        <w:tblLook w:firstColumn="1" w:firstRow="1" w:lastColumn="0" w:lastRow="0" w:noHBand="0" w:noVBand="1" w:val="04A0"/>
      </w:tblPr>
      <w:tblGrid>
        <w:gridCol w:w="2948"/>
        <w:gridCol w:w="2948"/>
        <w:gridCol w:w="2948"/>
      </w:tblGrid>
      <w:tr>
        <w:tc>
          <w:tcPr>
            <w:tcW w:type="dxa" w:w="2268"/>
          </w:tcPr>
          <w:p>
            <w:pPr>
              <w:spacing w:lineRule="exact" w:line="600"/>
              <w:jc w:val="center"/>
            </w:pPr>
            <w:r/>
            <w:r>
              <w:rPr>
                <w:rFonts w:ascii="黑体" w:hAnsi="黑体" w:eastAsia="黑体"/>
                <w:b/>
                <w:color w:val="000000"/>
                <w:sz w:val="32"/>
              </w:rPr>
              <w:t>类别</w:t>
            </w:r>
          </w:p>
        </w:tc>
        <w:tc>
          <w:tcPr>
            <w:tcW w:type="dxa" w:w="3402"/>
          </w:tcPr>
          <w:p>
            <w:pPr>
              <w:spacing w:lineRule="exact" w:line="600"/>
              <w:jc w:val="center"/>
            </w:pPr>
            <w:r/>
            <w:r>
              <w:rPr>
                <w:rFonts w:ascii="黑体" w:hAnsi="黑体" w:eastAsia="黑体"/>
                <w:b/>
                <w:color w:val="000000"/>
                <w:sz w:val="32"/>
              </w:rPr>
              <w:t>内容</w:t>
            </w:r>
          </w:p>
        </w:tc>
        <w:tc>
          <w:tcPr>
            <w:tcW w:type="dxa" w:w="2551"/>
          </w:tcPr>
          <w:p>
            <w:pPr>
              <w:spacing w:lineRule="exact" w:line="600"/>
              <w:jc w:val="center"/>
            </w:pPr>
            <w:r/>
            <w:r>
              <w:rPr>
                <w:rFonts w:ascii="黑体" w:hAnsi="黑体" w:eastAsia="黑体"/>
                <w:b/>
                <w:color w:val="000000"/>
                <w:sz w:val="32"/>
              </w:rPr>
              <w:t>来源</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402"/>
          </w:tcPr>
          <w:p>
            <w:pPr>
              <w:spacing w:lineRule="exact" w:line="600"/>
              <w:jc w:val="center"/>
            </w:pPr>
            <w:r/>
            <w:r>
              <w:rPr>
                <w:rFonts w:ascii="仿宋_GB2312" w:hAnsi="仿宋_GB2312" w:eastAsia="仿宋_GB2312"/>
                <w:b w:val="0"/>
                <w:color w:val="000000"/>
                <w:sz w:val="32"/>
              </w:rPr>
              <w:t>团餐/预制菜/出海</w:t>
            </w:r>
          </w:p>
        </w:tc>
        <w:tc>
          <w:tcPr>
            <w:tcW w:type="dxa" w:w="2551"/>
          </w:tcPr>
          <w:p>
            <w:pPr>
              <w:spacing w:lineRule="exact" w:line="600"/>
              <w:jc w:val="center"/>
            </w:pPr>
            <w:r/>
            <w:r>
              <w:rPr>
                <w:rFonts w:ascii="仿宋_GB2312" w:hAnsi="仿宋_GB2312" w:eastAsia="仿宋_GB2312"/>
                <w:b w:val="0"/>
                <w:color w:val="000000"/>
                <w:sz w:val="32"/>
              </w:rPr>
              <w:t>新华社/人民网</w:t>
            </w:r>
          </w:p>
        </w:tc>
      </w:tr>
      <w:tr>
        <w:tc>
          <w:tcPr>
            <w:tcW w:type="dxa" w:w="2268"/>
          </w:tcPr>
          <w:p>
            <w:pPr>
              <w:spacing w:lineRule="exact" w:line="600"/>
              <w:jc w:val="center"/>
            </w:pPr>
            <w:r/>
            <w:r>
              <w:rPr>
                <w:rFonts w:ascii="仿宋_GB2312" w:hAnsi="仿宋_GB2312" w:eastAsia="仿宋_GB2312"/>
                <w:b w:val="0"/>
                <w:color w:val="000000"/>
                <w:sz w:val="32"/>
              </w:rPr>
              <w:t>机遇</w:t>
            </w:r>
          </w:p>
        </w:tc>
        <w:tc>
          <w:tcPr>
            <w:tcW w:type="dxa" w:w="3402"/>
          </w:tcPr>
          <w:p>
            <w:pPr>
              <w:spacing w:lineRule="exact" w:line="600"/>
              <w:jc w:val="center"/>
            </w:pPr>
            <w:r/>
            <w:r>
              <w:rPr>
                <w:rFonts w:ascii="仿宋_GB2312" w:hAnsi="仿宋_GB2312" w:eastAsia="仿宋_GB2312"/>
                <w:b w:val="0"/>
                <w:color w:val="000000"/>
                <w:sz w:val="32"/>
              </w:rPr>
              <w:t>海外仓8个+政策</w:t>
            </w:r>
          </w:p>
        </w:tc>
        <w:tc>
          <w:tcPr>
            <w:tcW w:type="dxa" w:w="2551"/>
          </w:tcPr>
          <w:p>
            <w:pPr>
              <w:spacing w:lineRule="exact" w:line="600"/>
              <w:jc w:val="center"/>
            </w:pPr>
            <w:r/>
            <w:r>
              <w:rPr>
                <w:rFonts w:ascii="仿宋_GB2312" w:hAnsi="仿宋_GB2312" w:eastAsia="仿宋_GB2312"/>
                <w:b w:val="0"/>
                <w:color w:val="000000"/>
                <w:sz w:val="32"/>
              </w:rPr>
              <w:t>人民网</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402"/>
          </w:tcPr>
          <w:p>
            <w:pPr>
              <w:spacing w:lineRule="exact" w:line="600"/>
              <w:jc w:val="center"/>
            </w:pPr>
            <w:r/>
            <w:r>
              <w:rPr>
                <w:rFonts w:ascii="仿宋_GB2312" w:hAnsi="仿宋_GB2312" w:eastAsia="仿宋_GB2312"/>
                <w:b w:val="0"/>
                <w:color w:val="000000"/>
                <w:sz w:val="32"/>
              </w:rPr>
              <w:t>双重挤压（关税+内需）</w:t>
            </w:r>
          </w:p>
        </w:tc>
        <w:tc>
          <w:tcPr>
            <w:tcW w:type="dxa" w:w="2551"/>
          </w:tcPr>
          <w:p>
            <w:pPr>
              <w:spacing w:lineRule="exact" w:line="600"/>
              <w:jc w:val="center"/>
            </w:pPr>
            <w:r/>
            <w:r>
              <w:rPr>
                <w:rFonts w:ascii="仿宋_GB2312" w:hAnsi="仿宋_GB2312" w:eastAsia="仿宋_GB2312"/>
                <w:b w:val="0"/>
                <w:color w:val="000000"/>
                <w:sz w:val="32"/>
              </w:rPr>
              <w:t>人民网</w:t>
            </w:r>
          </w:p>
        </w:tc>
      </w:tr>
      <w:tr>
        <w:tc>
          <w:tcPr>
            <w:tcW w:type="dxa" w:w="2268"/>
          </w:tcPr>
          <w:p>
            <w:pPr>
              <w:spacing w:lineRule="exact" w:line="600"/>
              <w:jc w:val="center"/>
            </w:pPr>
            <w:r/>
            <w:r>
              <w:rPr>
                <w:rFonts w:ascii="仿宋_GB2312" w:hAnsi="仿宋_GB2312" w:eastAsia="仿宋_GB2312"/>
                <w:b w:val="0"/>
                <w:color w:val="000000"/>
                <w:sz w:val="32"/>
              </w:rPr>
              <w:t>挑战</w:t>
            </w:r>
          </w:p>
        </w:tc>
        <w:tc>
          <w:tcPr>
            <w:tcW w:type="dxa" w:w="3402"/>
          </w:tcPr>
          <w:p>
            <w:pPr>
              <w:spacing w:lineRule="exact" w:line="600"/>
              <w:jc w:val="center"/>
            </w:pPr>
            <w:r/>
            <w:r>
              <w:rPr>
                <w:rFonts w:ascii="仿宋_GB2312" w:hAnsi="仿宋_GB2312" w:eastAsia="仿宋_GB2312"/>
                <w:b w:val="0"/>
                <w:color w:val="000000"/>
                <w:sz w:val="32"/>
              </w:rPr>
              <w:t>质量双高、同质化</w:t>
            </w:r>
          </w:p>
        </w:tc>
        <w:tc>
          <w:tcPr>
            <w:tcW w:type="dxa" w:w="2551"/>
          </w:tcPr>
          <w:p>
            <w:pPr>
              <w:spacing w:lineRule="exact" w:line="600"/>
              <w:jc w:val="center"/>
            </w:pPr>
            <w:r/>
            <w:r>
              <w:rPr>
                <w:rFonts w:ascii="仿宋_GB2312" w:hAnsi="仿宋_GB2312" w:eastAsia="仿宋_GB2312"/>
                <w:b w:val="0"/>
                <w:color w:val="000000"/>
                <w:sz w:val="32"/>
              </w:rPr>
              <w:t>博政办发2026</w:t>
            </w:r>
          </w:p>
        </w:tc>
      </w:tr>
      <w:tr>
        <w:tc>
          <w:tcPr>
            <w:tcW w:type="dxa" w:w="2268"/>
          </w:tcPr>
          <w:p>
            <w:pPr>
              <w:spacing w:lineRule="exact" w:line="600"/>
              <w:jc w:val="center"/>
            </w:pPr>
            <w:r/>
            <w:r>
              <w:rPr>
                <w:rFonts w:ascii="仿宋_GB2312" w:hAnsi="仿宋_GB2312" w:eastAsia="仿宋_GB2312"/>
                <w:b w:val="0"/>
                <w:color w:val="000000"/>
                <w:sz w:val="32"/>
              </w:rPr>
              <w:t>风险</w:t>
            </w:r>
          </w:p>
        </w:tc>
        <w:tc>
          <w:tcPr>
            <w:tcW w:type="dxa" w:w="3402"/>
          </w:tcPr>
          <w:p>
            <w:pPr>
              <w:spacing w:lineRule="exact" w:line="600"/>
              <w:jc w:val="center"/>
            </w:pPr>
            <w:r/>
            <w:r>
              <w:rPr>
                <w:rFonts w:ascii="仿宋_GB2312" w:hAnsi="仿宋_GB2312" w:eastAsia="仿宋_GB2312"/>
                <w:b w:val="0"/>
                <w:color w:val="000000"/>
                <w:sz w:val="32"/>
              </w:rPr>
              <w:t>地产下行影响配套</w:t>
            </w:r>
          </w:p>
        </w:tc>
        <w:tc>
          <w:tcPr>
            <w:tcW w:type="dxa" w:w="2551"/>
          </w:tcPr>
          <w:p>
            <w:pPr>
              <w:spacing w:lineRule="exact" w:line="600"/>
              <w:jc w:val="center"/>
            </w:pPr>
            <w:r/>
            <w:r>
              <w:rPr>
                <w:rFonts w:ascii="仿宋_GB2312" w:hAnsi="仿宋_GB2312" w:eastAsia="仿宋_GB2312"/>
                <w:b w:val="0"/>
                <w:color w:val="000000"/>
                <w:sz w:val="32"/>
              </w:rPr>
              <w:t>行业研判</w:t>
            </w:r>
          </w:p>
        </w:tc>
      </w:tr>
    </w:tbl>
    <w:p>
      <w:pPr>
        <w:spacing w:lineRule="exact" w:line="600" w:before="120" w:after="120"/>
        <w:ind w:firstLine="420"/>
        <w:jc w:val="left"/>
      </w:pPr>
      <w:r>
        <w:rPr>
          <w:rFonts w:ascii="楷体_GB2312" w:hAnsi="楷体_GB2312" w:eastAsia="楷体_GB2312"/>
          <w:b w:val="0"/>
          <w:color w:val="000000"/>
          <w:sz w:val="32"/>
        </w:rPr>
        <w:t>（七）省级层面机遇、挑战与风险框架参照</w:t>
      </w:r>
    </w:p>
    <w:p>
      <w:pPr>
        <w:spacing w:lineRule="exact" w:line="600" w:before="0" w:after="0"/>
        <w:ind w:firstLine="420"/>
        <w:jc w:val="both"/>
      </w:pPr>
      <w:r>
        <w:rPr>
          <w:rFonts w:ascii="仿宋_GB2312" w:hAnsi="仿宋_GB2312" w:eastAsia="仿宋_GB2312"/>
          <w:b w:val="0"/>
          <w:color w:val="000000"/>
          <w:sz w:val="32"/>
        </w:rPr>
        <w:t>从省级产业环境看，本集群面临三方面宏观态势。机遇：山东省以“链长制”（总链长+链长+链主，19条标志性产业链）推进“融链固链”，绿色低碳高质量发展先行区引导基金规模100亿元、撬动不低于300亿元投资，为升级项目提供资金与场景；省级科技资金2024年145.2亿元、技改专项贷等工具降低创新与技改成本。挑战：双碳约束趋紧，“十四五”期间规模以上工业单位增加值能耗需下降17%左右，重点行业先进产能占比到2027年目标超过60%，节能降碳改造压力大。风险：部分细分领域存在产能过剩与同质化竞争，国际贸易摩擦与原材料价格波动亦对出口型环节形成扰动，需强化产业链韧性与供应链安全。（来源：山东省发展改革委/省工信厅，《先进制造业强省行动计划（2022—2025年）》；省新动能基金/大众日报，2024—2025；省财政厅，2024）（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3685"/>
          </w:tcPr>
          <w:p>
            <w:pPr>
              <w:spacing w:lineRule="exact" w:line="600"/>
              <w:jc w:val="center"/>
            </w:pPr>
            <w:r/>
            <w:r>
              <w:rPr>
                <w:rFonts w:ascii="黑体" w:hAnsi="黑体" w:eastAsia="黑体"/>
                <w:b/>
                <w:color w:val="000000"/>
                <w:sz w:val="32"/>
              </w:rPr>
              <w:t>省级态势</w:t>
            </w:r>
          </w:p>
        </w:tc>
        <w:tc>
          <w:tcPr>
            <w:tcW w:type="dxa" w:w="3118"/>
          </w:tcPr>
          <w:p>
            <w:pPr>
              <w:spacing w:lineRule="exact" w:line="600"/>
              <w:jc w:val="center"/>
            </w:pPr>
            <w:r/>
            <w:r>
              <w:rPr>
                <w:rFonts w:ascii="黑体" w:hAnsi="黑体" w:eastAsia="黑体"/>
                <w:b/>
                <w:color w:val="000000"/>
                <w:sz w:val="32"/>
              </w:rPr>
              <w:t>关键指标/方向</w:t>
            </w:r>
          </w:p>
        </w:tc>
        <w:tc>
          <w:tcPr>
            <w:tcW w:type="dxa" w:w="2551"/>
          </w:tcPr>
          <w:p>
            <w:pPr>
              <w:spacing w:lineRule="exact" w:line="600"/>
              <w:jc w:val="center"/>
            </w:pPr>
            <w:r/>
            <w:r>
              <w:rPr>
                <w:rFonts w:ascii="黑体" w:hAnsi="黑体" w:eastAsia="黑体"/>
                <w:b/>
                <w:color w:val="000000"/>
                <w:sz w:val="32"/>
              </w:rPr>
              <w:t>来源/年份</w:t>
            </w:r>
          </w:p>
        </w:tc>
      </w:tr>
      <w:tr>
        <w:tc>
          <w:tcPr>
            <w:tcW w:type="dxa" w:w="3685"/>
          </w:tcPr>
          <w:p>
            <w:pPr>
              <w:spacing w:lineRule="exact" w:line="600"/>
              <w:jc w:val="center"/>
            </w:pPr>
            <w:r/>
            <w:r>
              <w:rPr>
                <w:rFonts w:ascii="仿宋_GB2312" w:hAnsi="仿宋_GB2312" w:eastAsia="仿宋_GB2312"/>
                <w:b w:val="0"/>
                <w:color w:val="000000"/>
                <w:sz w:val="32"/>
              </w:rPr>
              <w:t>机遇：标志性产业链</w:t>
            </w:r>
          </w:p>
        </w:tc>
        <w:tc>
          <w:tcPr>
            <w:tcW w:type="dxa" w:w="3118"/>
          </w:tcPr>
          <w:p>
            <w:pPr>
              <w:spacing w:lineRule="exact" w:line="600"/>
              <w:jc w:val="center"/>
            </w:pPr>
            <w:r/>
            <w:r>
              <w:rPr>
                <w:rFonts w:ascii="仿宋_GB2312" w:hAnsi="仿宋_GB2312" w:eastAsia="仿宋_GB2312"/>
                <w:b w:val="0"/>
                <w:color w:val="000000"/>
                <w:sz w:val="32"/>
              </w:rPr>
              <w:t>19条（链长制）</w:t>
            </w:r>
          </w:p>
        </w:tc>
        <w:tc>
          <w:tcPr>
            <w:tcW w:type="dxa" w:w="2551"/>
          </w:tcPr>
          <w:p>
            <w:pPr>
              <w:spacing w:lineRule="exact" w:line="600"/>
              <w:jc w:val="center"/>
            </w:pPr>
            <w:r/>
            <w:r>
              <w:rPr>
                <w:rFonts w:ascii="仿宋_GB2312" w:hAnsi="仿宋_GB2312" w:eastAsia="仿宋_GB2312"/>
                <w:b w:val="0"/>
                <w:color w:val="000000"/>
                <w:sz w:val="32"/>
              </w:rPr>
              <w:t>省工信厅，2025</w:t>
            </w:r>
          </w:p>
        </w:tc>
      </w:tr>
      <w:tr>
        <w:tc>
          <w:tcPr>
            <w:tcW w:type="dxa" w:w="3685"/>
          </w:tcPr>
          <w:p>
            <w:pPr>
              <w:spacing w:lineRule="exact" w:line="600"/>
              <w:jc w:val="center"/>
            </w:pPr>
            <w:r/>
            <w:r>
              <w:rPr>
                <w:rFonts w:ascii="仿宋_GB2312" w:hAnsi="仿宋_GB2312" w:eastAsia="仿宋_GB2312"/>
                <w:b w:val="0"/>
                <w:color w:val="000000"/>
                <w:sz w:val="32"/>
              </w:rPr>
              <w:t>机遇：绿色引导基金</w:t>
            </w:r>
          </w:p>
        </w:tc>
        <w:tc>
          <w:tcPr>
            <w:tcW w:type="dxa" w:w="3118"/>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3685"/>
          </w:tcPr>
          <w:p>
            <w:pPr>
              <w:spacing w:lineRule="exact" w:line="600"/>
              <w:jc w:val="center"/>
            </w:pPr>
            <w:r/>
            <w:r>
              <w:rPr>
                <w:rFonts w:ascii="仿宋_GB2312" w:hAnsi="仿宋_GB2312" w:eastAsia="仿宋_GB2312"/>
                <w:b w:val="0"/>
                <w:color w:val="000000"/>
                <w:sz w:val="32"/>
              </w:rPr>
              <w:t>机遇：科技/技改资金</w:t>
            </w:r>
          </w:p>
        </w:tc>
        <w:tc>
          <w:tcPr>
            <w:tcW w:type="dxa" w:w="3118"/>
          </w:tcPr>
          <w:p>
            <w:pPr>
              <w:spacing w:lineRule="exact" w:line="600"/>
              <w:jc w:val="center"/>
            </w:pPr>
            <w:r/>
            <w:r>
              <w:rPr>
                <w:rFonts w:ascii="仿宋_GB2312" w:hAnsi="仿宋_GB2312" w:eastAsia="仿宋_GB2312"/>
                <w:b w:val="0"/>
                <w:color w:val="000000"/>
                <w:sz w:val="32"/>
              </w:rPr>
              <w:t>145.2亿 / 6.25亿元</w:t>
            </w:r>
          </w:p>
        </w:tc>
        <w:tc>
          <w:tcPr>
            <w:tcW w:type="dxa" w:w="2551"/>
          </w:tcPr>
          <w:p>
            <w:pPr>
              <w:spacing w:lineRule="exact" w:line="600"/>
              <w:jc w:val="center"/>
            </w:pPr>
            <w:r/>
            <w:r>
              <w:rPr>
                <w:rFonts w:ascii="仿宋_GB2312" w:hAnsi="仿宋_GB2312" w:eastAsia="仿宋_GB2312"/>
                <w:b w:val="0"/>
                <w:color w:val="000000"/>
                <w:sz w:val="32"/>
              </w:rPr>
              <w:t>省财政厅/发改委，2024-2025</w:t>
            </w:r>
          </w:p>
        </w:tc>
      </w:tr>
      <w:tr>
        <w:tc>
          <w:tcPr>
            <w:tcW w:type="dxa" w:w="3685"/>
          </w:tcPr>
          <w:p>
            <w:pPr>
              <w:spacing w:lineRule="exact" w:line="600"/>
              <w:jc w:val="center"/>
            </w:pPr>
            <w:r/>
            <w:r>
              <w:rPr>
                <w:rFonts w:ascii="仿宋_GB2312" w:hAnsi="仿宋_GB2312" w:eastAsia="仿宋_GB2312"/>
                <w:b w:val="0"/>
                <w:color w:val="000000"/>
                <w:sz w:val="32"/>
              </w:rPr>
              <w:t>挑战：规上工业能耗</w:t>
            </w:r>
          </w:p>
        </w:tc>
        <w:tc>
          <w:tcPr>
            <w:tcW w:type="dxa" w:w="3118"/>
          </w:tcPr>
          <w:p>
            <w:pPr>
              <w:spacing w:lineRule="exact" w:line="600"/>
              <w:jc w:val="center"/>
            </w:pPr>
            <w:r/>
            <w:r>
              <w:rPr>
                <w:rFonts w:ascii="仿宋_GB2312" w:hAnsi="仿宋_GB2312" w:eastAsia="仿宋_GB2312"/>
                <w:b w:val="0"/>
                <w:color w:val="000000"/>
                <w:sz w:val="32"/>
              </w:rPr>
              <w:t>十四五降17%左右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挑战：先进产能占比</w:t>
            </w:r>
          </w:p>
        </w:tc>
        <w:tc>
          <w:tcPr>
            <w:tcW w:type="dxa" w:w="3118"/>
          </w:tcPr>
          <w:p>
            <w:pPr>
              <w:spacing w:lineRule="exact" w:line="600"/>
              <w:jc w:val="center"/>
            </w:pPr>
            <w:r/>
            <w:r>
              <w:rPr>
                <w:rFonts w:ascii="仿宋_GB2312" w:hAnsi="仿宋_GB2312" w:eastAsia="仿宋_GB2312"/>
                <w:b w:val="0"/>
                <w:color w:val="000000"/>
                <w:sz w:val="32"/>
              </w:rPr>
              <w:t>到2027年超过60%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3685"/>
          </w:tcPr>
          <w:p>
            <w:pPr>
              <w:spacing w:lineRule="exact" w:line="600"/>
              <w:jc w:val="center"/>
            </w:pPr>
            <w:r/>
            <w:r>
              <w:rPr>
                <w:rFonts w:ascii="仿宋_GB2312" w:hAnsi="仿宋_GB2312" w:eastAsia="仿宋_GB2312"/>
                <w:b w:val="0"/>
                <w:color w:val="000000"/>
                <w:sz w:val="32"/>
              </w:rPr>
              <w:t>风险：过剩/贸易/价格波动</w:t>
            </w:r>
          </w:p>
        </w:tc>
        <w:tc>
          <w:tcPr>
            <w:tcW w:type="dxa" w:w="3118"/>
          </w:tcPr>
          <w:p>
            <w:pPr>
              <w:spacing w:lineRule="exact" w:line="600"/>
              <w:jc w:val="center"/>
            </w:pPr>
            <w:r/>
            <w:r>
              <w:rPr>
                <w:rFonts w:ascii="仿宋_GB2312" w:hAnsi="仿宋_GB2312" w:eastAsia="仿宋_GB2312"/>
                <w:b w:val="0"/>
                <w:color w:val="000000"/>
                <w:sz w:val="32"/>
              </w:rPr>
              <w:t>需强化产业链韧性</w:t>
            </w:r>
          </w:p>
        </w:tc>
        <w:tc>
          <w:tcPr>
            <w:tcW w:type="dxa" w:w="2551"/>
          </w:tcPr>
          <w:p>
            <w:pPr>
              <w:spacing w:lineRule="exact" w:line="600"/>
              <w:jc w:val="center"/>
            </w:pPr>
            <w:r/>
            <w:r>
              <w:rPr>
                <w:rFonts w:ascii="仿宋_GB2312" w:hAnsi="仿宋_GB2312" w:eastAsia="仿宋_GB2312"/>
                <w:b w:val="0"/>
                <w:color w:val="000000"/>
                <w:sz w:val="32"/>
              </w:rPr>
              <w:t>行业共性研判</w:t>
            </w:r>
          </w:p>
        </w:tc>
      </w:tr>
    </w:tbl>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120" w:after="120"/>
        <w:ind w:firstLine="420"/>
        <w:jc w:val="left"/>
      </w:pPr>
      <w:r>
        <w:rPr>
          <w:rFonts w:ascii="楷体_GB2312" w:hAnsi="楷体_GB2312" w:eastAsia="楷体_GB2312"/>
          <w:b w:val="0"/>
          <w:color w:val="000000"/>
          <w:sz w:val="32"/>
        </w:rPr>
        <w:t>（一）质量与品牌升级</w:t>
      </w:r>
    </w:p>
    <w:p>
      <w:pPr>
        <w:spacing w:lineRule="exact" w:line="600" w:before="0" w:after="0"/>
        <w:ind w:firstLine="420"/>
        <w:jc w:val="both"/>
      </w:pPr>
      <w:r>
        <w:rPr>
          <w:rFonts w:ascii="仿宋_GB2312" w:hAnsi="仿宋_GB2312" w:eastAsia="仿宋_GB2312"/>
          <w:b w:val="0"/>
          <w:color w:val="000000"/>
          <w:sz w:val="32"/>
        </w:rPr>
        <w:t>以博政办发〔2026〕1号专项行动为抓手，目标产品质量监督抽查合格率提升10%以上、消费投诉率下降20%以上、每年推介10%—15%质量标杆企业（来源：博政办发〔2026〕1号）。依托「博兴·中国商用厨具高质量发展指数」与产业大脑实现全链条质量管控（来源：齐鲁晚报）。</w:t>
      </w:r>
    </w:p>
    <w:p>
      <w:pPr>
        <w:spacing w:lineRule="exact" w:line="600" w:before="120" w:after="120"/>
        <w:ind w:firstLine="420"/>
        <w:jc w:val="left"/>
      </w:pPr>
      <w:r>
        <w:rPr>
          <w:rFonts w:ascii="楷体_GB2312" w:hAnsi="楷体_GB2312" w:eastAsia="楷体_GB2312"/>
          <w:b w:val="0"/>
          <w:color w:val="000000"/>
          <w:sz w:val="32"/>
        </w:rPr>
        <w:t>（二）智造与全球化</w:t>
      </w:r>
    </w:p>
    <w:p>
      <w:pPr>
        <w:spacing w:lineRule="exact" w:line="600" w:before="0" w:after="0"/>
        <w:ind w:firstLine="420"/>
        <w:jc w:val="both"/>
      </w:pPr>
      <w:r>
        <w:rPr>
          <w:rFonts w:ascii="仿宋_GB2312" w:hAnsi="仿宋_GB2312" w:eastAsia="仿宋_GB2312"/>
          <w:b w:val="0"/>
          <w:color w:val="000000"/>
          <w:sz w:val="32"/>
        </w:rPr>
        <w:t>推广智能产线与「厨链」软件，发展AI炒菜机器人、物联网商厨系统；通过海外仓（8个运营、2个在建）与「前展后仓」模式布局全球，谋划「厨具出口产业园」（来源：新华社、齐鲁晚报）。目标产业规模500亿元、出口60多国（来源：中国税务报）。</w:t>
      </w:r>
    </w:p>
    <w:tbl>
      <w:tblPr>
        <w:tblStyle w:val="TableGrid"/>
        <w:tblW w:type="auto" w:w="0"/>
        <w:jc w:val="center"/>
        <w:tblLook w:firstColumn="1" w:firstRow="1" w:lastColumn="0" w:lastRow="0" w:noHBand="0" w:noVBand="1" w:val="04A0"/>
      </w:tblPr>
      <w:tblGrid>
        <w:gridCol w:w="2948"/>
        <w:gridCol w:w="2948"/>
        <w:gridCol w:w="2948"/>
      </w:tblGrid>
      <w:tr>
        <w:tc>
          <w:tcPr>
            <w:tcW w:type="dxa" w:w="2551"/>
          </w:tcPr>
          <w:p>
            <w:pPr>
              <w:spacing w:lineRule="exact" w:line="600"/>
              <w:jc w:val="center"/>
            </w:pPr>
            <w:r/>
            <w:r>
              <w:rPr>
                <w:rFonts w:ascii="黑体" w:hAnsi="黑体" w:eastAsia="黑体"/>
                <w:b/>
                <w:color w:val="000000"/>
                <w:sz w:val="32"/>
              </w:rPr>
              <w:t>路径</w:t>
            </w:r>
          </w:p>
        </w:tc>
        <w:tc>
          <w:tcPr>
            <w:tcW w:type="dxa" w:w="3118"/>
          </w:tcPr>
          <w:p>
            <w:pPr>
              <w:spacing w:lineRule="exact" w:line="600"/>
              <w:jc w:val="center"/>
            </w:pPr>
            <w:r/>
            <w:r>
              <w:rPr>
                <w:rFonts w:ascii="黑体" w:hAnsi="黑体" w:eastAsia="黑体"/>
                <w:b/>
                <w:color w:val="000000"/>
                <w:sz w:val="32"/>
              </w:rPr>
              <w:t>举措</w:t>
            </w:r>
          </w:p>
        </w:tc>
        <w:tc>
          <w:tcPr>
            <w:tcW w:type="dxa" w:w="2835"/>
          </w:tcPr>
          <w:p>
            <w:pPr>
              <w:spacing w:lineRule="exact" w:line="600"/>
              <w:jc w:val="center"/>
            </w:pPr>
            <w:r/>
            <w:r>
              <w:rPr>
                <w:rFonts w:ascii="黑体" w:hAnsi="黑体" w:eastAsia="黑体"/>
                <w:b/>
                <w:color w:val="000000"/>
                <w:sz w:val="32"/>
              </w:rPr>
              <w:t>目标</w:t>
            </w:r>
          </w:p>
        </w:tc>
      </w:tr>
      <w:tr>
        <w:tc>
          <w:tcPr>
            <w:tcW w:type="dxa" w:w="2551"/>
          </w:tcPr>
          <w:p>
            <w:pPr>
              <w:spacing w:lineRule="exact" w:line="600"/>
              <w:jc w:val="center"/>
            </w:pPr>
            <w:r/>
            <w:r>
              <w:rPr>
                <w:rFonts w:ascii="仿宋_GB2312" w:hAnsi="仿宋_GB2312" w:eastAsia="仿宋_GB2312"/>
                <w:b w:val="0"/>
                <w:color w:val="000000"/>
                <w:sz w:val="32"/>
              </w:rPr>
              <w:t>质量提升</w:t>
            </w:r>
          </w:p>
        </w:tc>
        <w:tc>
          <w:tcPr>
            <w:tcW w:type="dxa" w:w="3118"/>
          </w:tcPr>
          <w:p>
            <w:pPr>
              <w:spacing w:lineRule="exact" w:line="600"/>
              <w:jc w:val="center"/>
            </w:pPr>
            <w:r/>
            <w:r>
              <w:rPr>
                <w:rFonts w:ascii="仿宋_GB2312" w:hAnsi="仿宋_GB2312" w:eastAsia="仿宋_GB2312"/>
                <w:b w:val="0"/>
                <w:color w:val="000000"/>
                <w:sz w:val="32"/>
              </w:rPr>
              <w:t>抽查合格率+10%</w:t>
            </w:r>
          </w:p>
        </w:tc>
        <w:tc>
          <w:tcPr>
            <w:tcW w:type="dxa" w:w="2835"/>
          </w:tcPr>
          <w:p>
            <w:pPr>
              <w:spacing w:lineRule="exact" w:line="600"/>
              <w:jc w:val="center"/>
            </w:pPr>
            <w:r/>
            <w:r>
              <w:rPr>
                <w:rFonts w:ascii="仿宋_GB2312" w:hAnsi="仿宋_GB2312" w:eastAsia="仿宋_GB2312"/>
                <w:b w:val="0"/>
                <w:color w:val="000000"/>
                <w:sz w:val="32"/>
              </w:rPr>
              <w:t>博政办发2026</w:t>
            </w:r>
          </w:p>
        </w:tc>
      </w:tr>
      <w:tr>
        <w:tc>
          <w:tcPr>
            <w:tcW w:type="dxa" w:w="2551"/>
          </w:tcPr>
          <w:p>
            <w:pPr>
              <w:spacing w:lineRule="exact" w:line="600"/>
              <w:jc w:val="center"/>
            </w:pPr>
            <w:r/>
            <w:r>
              <w:rPr>
                <w:rFonts w:ascii="仿宋_GB2312" w:hAnsi="仿宋_GB2312" w:eastAsia="仿宋_GB2312"/>
                <w:b w:val="0"/>
                <w:color w:val="000000"/>
                <w:sz w:val="32"/>
              </w:rPr>
              <w:t>品牌推介</w:t>
            </w:r>
          </w:p>
        </w:tc>
        <w:tc>
          <w:tcPr>
            <w:tcW w:type="dxa" w:w="3118"/>
          </w:tcPr>
          <w:p>
            <w:pPr>
              <w:spacing w:lineRule="exact" w:line="600"/>
              <w:jc w:val="center"/>
            </w:pPr>
            <w:r/>
            <w:r>
              <w:rPr>
                <w:rFonts w:ascii="仿宋_GB2312" w:hAnsi="仿宋_GB2312" w:eastAsia="仿宋_GB2312"/>
                <w:b w:val="0"/>
                <w:color w:val="000000"/>
                <w:sz w:val="32"/>
              </w:rPr>
              <w:t>年推10-15%标杆</w:t>
            </w:r>
          </w:p>
        </w:tc>
        <w:tc>
          <w:tcPr>
            <w:tcW w:type="dxa" w:w="2835"/>
          </w:tcPr>
          <w:p>
            <w:pPr>
              <w:spacing w:lineRule="exact" w:line="600"/>
              <w:jc w:val="center"/>
            </w:pPr>
            <w:r/>
            <w:r>
              <w:rPr>
                <w:rFonts w:ascii="仿宋_GB2312" w:hAnsi="仿宋_GB2312" w:eastAsia="仿宋_GB2312"/>
                <w:b w:val="0"/>
                <w:color w:val="000000"/>
                <w:sz w:val="32"/>
              </w:rPr>
              <w:t>同上</w:t>
            </w:r>
          </w:p>
        </w:tc>
      </w:tr>
      <w:tr>
        <w:tc>
          <w:tcPr>
            <w:tcW w:type="dxa" w:w="2551"/>
          </w:tcPr>
          <w:p>
            <w:pPr>
              <w:spacing w:lineRule="exact" w:line="600"/>
              <w:jc w:val="center"/>
            </w:pPr>
            <w:r/>
            <w:r>
              <w:rPr>
                <w:rFonts w:ascii="仿宋_GB2312" w:hAnsi="仿宋_GB2312" w:eastAsia="仿宋_GB2312"/>
                <w:b w:val="0"/>
                <w:color w:val="000000"/>
                <w:sz w:val="32"/>
              </w:rPr>
              <w:t>智造</w:t>
            </w:r>
          </w:p>
        </w:tc>
        <w:tc>
          <w:tcPr>
            <w:tcW w:type="dxa" w:w="3118"/>
          </w:tcPr>
          <w:p>
            <w:pPr>
              <w:spacing w:lineRule="exact" w:line="600"/>
              <w:jc w:val="center"/>
            </w:pPr>
            <w:r/>
            <w:r>
              <w:rPr>
                <w:rFonts w:ascii="仿宋_GB2312" w:hAnsi="仿宋_GB2312" w:eastAsia="仿宋_GB2312"/>
                <w:b w:val="0"/>
                <w:color w:val="000000"/>
                <w:sz w:val="32"/>
              </w:rPr>
              <w:t>产业大脑+厨链</w:t>
            </w:r>
          </w:p>
        </w:tc>
        <w:tc>
          <w:tcPr>
            <w:tcW w:type="dxa" w:w="2835"/>
          </w:tcPr>
          <w:p>
            <w:pPr>
              <w:spacing w:lineRule="exact" w:line="600"/>
              <w:jc w:val="center"/>
            </w:pPr>
            <w:r/>
            <w:r>
              <w:rPr>
                <w:rFonts w:ascii="仿宋_GB2312" w:hAnsi="仿宋_GB2312" w:eastAsia="仿宋_GB2312"/>
                <w:b w:val="0"/>
                <w:color w:val="000000"/>
                <w:sz w:val="32"/>
              </w:rPr>
              <w:t>齐鲁晚报</w:t>
            </w:r>
          </w:p>
        </w:tc>
      </w:tr>
      <w:tr>
        <w:tc>
          <w:tcPr>
            <w:tcW w:type="dxa" w:w="2551"/>
          </w:tcPr>
          <w:p>
            <w:pPr>
              <w:spacing w:lineRule="exact" w:line="600"/>
              <w:jc w:val="center"/>
            </w:pPr>
            <w:r/>
            <w:r>
              <w:rPr>
                <w:rFonts w:ascii="仿宋_GB2312" w:hAnsi="仿宋_GB2312" w:eastAsia="仿宋_GB2312"/>
                <w:b w:val="0"/>
                <w:color w:val="000000"/>
                <w:sz w:val="32"/>
              </w:rPr>
              <w:t>全球化</w:t>
            </w:r>
          </w:p>
        </w:tc>
        <w:tc>
          <w:tcPr>
            <w:tcW w:type="dxa" w:w="3118"/>
          </w:tcPr>
          <w:p>
            <w:pPr>
              <w:spacing w:lineRule="exact" w:line="600"/>
              <w:jc w:val="center"/>
            </w:pPr>
            <w:r/>
            <w:r>
              <w:rPr>
                <w:rFonts w:ascii="仿宋_GB2312" w:hAnsi="仿宋_GB2312" w:eastAsia="仿宋_GB2312"/>
                <w:b w:val="0"/>
                <w:color w:val="000000"/>
                <w:sz w:val="32"/>
              </w:rPr>
              <w:t>海外仓+出口园</w:t>
            </w:r>
          </w:p>
        </w:tc>
        <w:tc>
          <w:tcPr>
            <w:tcW w:type="dxa" w:w="2835"/>
          </w:tcPr>
          <w:p>
            <w:pPr>
              <w:spacing w:lineRule="exact" w:line="600"/>
              <w:jc w:val="center"/>
            </w:pPr>
            <w:r/>
            <w:r>
              <w:rPr>
                <w:rFonts w:ascii="仿宋_GB2312" w:hAnsi="仿宋_GB2312" w:eastAsia="仿宋_GB2312"/>
                <w:b w:val="0"/>
                <w:color w:val="000000"/>
                <w:sz w:val="32"/>
              </w:rPr>
              <w:t>新华社</w:t>
            </w:r>
          </w:p>
        </w:tc>
      </w:tr>
      <w:tr>
        <w:tc>
          <w:tcPr>
            <w:tcW w:type="dxa" w:w="2551"/>
          </w:tcPr>
          <w:p>
            <w:pPr>
              <w:spacing w:lineRule="exact" w:line="600"/>
              <w:jc w:val="center"/>
            </w:pPr>
            <w:r/>
            <w:r>
              <w:rPr>
                <w:rFonts w:ascii="仿宋_GB2312" w:hAnsi="仿宋_GB2312" w:eastAsia="仿宋_GB2312"/>
                <w:b w:val="0"/>
                <w:color w:val="000000"/>
                <w:sz w:val="32"/>
              </w:rPr>
              <w:t>规模目标</w:t>
            </w:r>
          </w:p>
        </w:tc>
        <w:tc>
          <w:tcPr>
            <w:tcW w:type="dxa" w:w="3118"/>
          </w:tcPr>
          <w:p>
            <w:pPr>
              <w:spacing w:lineRule="exact" w:line="600"/>
              <w:jc w:val="center"/>
            </w:pPr>
            <w:r/>
            <w:r>
              <w:rPr>
                <w:rFonts w:ascii="仿宋_GB2312" w:hAnsi="仿宋_GB2312" w:eastAsia="仿宋_GB2312"/>
                <w:b w:val="0"/>
                <w:color w:val="000000"/>
                <w:sz w:val="32"/>
              </w:rPr>
              <w:t>500亿元</w:t>
            </w:r>
          </w:p>
        </w:tc>
        <w:tc>
          <w:tcPr>
            <w:tcW w:type="dxa" w:w="2835"/>
          </w:tcPr>
          <w:p>
            <w:pPr>
              <w:spacing w:lineRule="exact" w:line="600"/>
              <w:jc w:val="center"/>
            </w:pPr>
            <w:r/>
            <w:r>
              <w:rPr>
                <w:rFonts w:ascii="仿宋_GB2312" w:hAnsi="仿宋_GB2312" w:eastAsia="仿宋_GB2312"/>
                <w:b w:val="0"/>
                <w:color w:val="000000"/>
                <w:sz w:val="32"/>
              </w:rPr>
              <w:t>中国税务报</w:t>
            </w:r>
          </w:p>
        </w:tc>
      </w:tr>
    </w:tbl>
    <w:p>
      <w:pPr>
        <w:spacing w:lineRule="exact" w:line="600" w:before="120" w:after="120"/>
        <w:ind w:firstLine="420"/>
        <w:jc w:val="left"/>
      </w:pPr>
      <w:r>
        <w:rPr>
          <w:rFonts w:ascii="楷体_GB2312" w:hAnsi="楷体_GB2312" w:eastAsia="楷体_GB2312"/>
          <w:b w:val="0"/>
          <w:color w:val="000000"/>
          <w:sz w:val="32"/>
        </w:rPr>
        <w:t>（八）省级制造业升级政策框架参照</w:t>
      </w:r>
    </w:p>
    <w:p>
      <w:pPr>
        <w:spacing w:lineRule="exact" w:line="600" w:before="0" w:after="0"/>
        <w:ind w:firstLine="420"/>
        <w:jc w:val="both"/>
      </w:pPr>
      <w:r>
        <w:rPr>
          <w:rFonts w:ascii="仿宋_GB2312" w:hAnsi="仿宋_GB2312" w:eastAsia="仿宋_GB2312"/>
          <w:b w:val="0"/>
          <w:color w:val="000000"/>
          <w:sz w:val="32"/>
        </w:rPr>
        <w:t>从省级层面看，山东省以“链长制”（总链长+链长+链主，19条标志性产业链）系统推进制造业升级。《先进制造业强省行动计划（2022—2025年）》明确，到2025年培育专精特新中小企业1万家左右、制造业单项冠军企业1000家左右、产业生态主导型“链主”企业200家左右，打造11条左右标志性产业链；力争到2027年重点行业先进产能占比超过60%，“十四五”期间规模以上工业单位增加值能耗下降17%左右。省财政安排技术改造资金6.25亿元，综合运用“技改专项贷”、设备更新补贴、技改股权投资等政策工具，对符合条件的企业给予最高2000万元贷款贴息、最高500万元设备更新补贴。（来源：山东省发展改革委、省工信厅，《先进制造业强省行动计划（2022—2025年）》《山东省“十四五”制造强省建设规划》，2022—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省级升级指标</w:t>
            </w:r>
          </w:p>
        </w:tc>
        <w:tc>
          <w:tcPr>
            <w:tcW w:type="dxa" w:w="2551"/>
          </w:tcPr>
          <w:p>
            <w:pPr>
              <w:spacing w:lineRule="exact" w:line="600"/>
              <w:jc w:val="center"/>
            </w:pPr>
            <w:r/>
            <w:r>
              <w:rPr>
                <w:rFonts w:ascii="黑体" w:hAnsi="黑体" w:eastAsia="黑体"/>
                <w:b/>
                <w:color w:val="000000"/>
                <w:sz w:val="32"/>
              </w:rPr>
              <w:t>目标/规模</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专精特新中小企业（到2025）</w:t>
            </w:r>
          </w:p>
        </w:tc>
        <w:tc>
          <w:tcPr>
            <w:tcW w:type="dxa" w:w="2551"/>
          </w:tcPr>
          <w:p>
            <w:pPr>
              <w:spacing w:lineRule="exact" w:line="600"/>
              <w:jc w:val="center"/>
            </w:pPr>
            <w:r/>
            <w:r>
              <w:rPr>
                <w:rFonts w:ascii="仿宋_GB2312" w:hAnsi="仿宋_GB2312" w:eastAsia="仿宋_GB2312"/>
                <w:b w:val="0"/>
                <w:color w:val="000000"/>
                <w:sz w:val="32"/>
              </w:rPr>
              <w:t>1万家左右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制造业单项冠军企业（到2025）</w:t>
            </w:r>
          </w:p>
        </w:tc>
        <w:tc>
          <w:tcPr>
            <w:tcW w:type="dxa" w:w="2551"/>
          </w:tcPr>
          <w:p>
            <w:pPr>
              <w:spacing w:lineRule="exact" w:line="600"/>
              <w:jc w:val="center"/>
            </w:pPr>
            <w:r/>
            <w:r>
              <w:rPr>
                <w:rFonts w:ascii="仿宋_GB2312" w:hAnsi="仿宋_GB2312" w:eastAsia="仿宋_GB2312"/>
                <w:b w:val="0"/>
                <w:color w:val="000000"/>
                <w:sz w:val="32"/>
              </w:rPr>
              <w:t>1000家左右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产业生态主导型链主企业（到2025）</w:t>
            </w:r>
          </w:p>
        </w:tc>
        <w:tc>
          <w:tcPr>
            <w:tcW w:type="dxa" w:w="2551"/>
          </w:tcPr>
          <w:p>
            <w:pPr>
              <w:spacing w:lineRule="exact" w:line="600"/>
              <w:jc w:val="center"/>
            </w:pPr>
            <w:r/>
            <w:r>
              <w:rPr>
                <w:rFonts w:ascii="仿宋_GB2312" w:hAnsi="仿宋_GB2312" w:eastAsia="仿宋_GB2312"/>
                <w:b w:val="0"/>
                <w:color w:val="000000"/>
                <w:sz w:val="32"/>
              </w:rPr>
              <w:t>200家左右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标志性产业链</w:t>
            </w:r>
          </w:p>
        </w:tc>
        <w:tc>
          <w:tcPr>
            <w:tcW w:type="dxa" w:w="2551"/>
          </w:tcPr>
          <w:p>
            <w:pPr>
              <w:spacing w:lineRule="exact" w:line="600"/>
              <w:jc w:val="center"/>
            </w:pPr>
            <w:r/>
            <w:r>
              <w:rPr>
                <w:rFonts w:ascii="仿宋_GB2312" w:hAnsi="仿宋_GB2312" w:eastAsia="仿宋_GB2312"/>
                <w:b w:val="0"/>
                <w:color w:val="000000"/>
                <w:sz w:val="32"/>
              </w:rPr>
              <w:t>11条左右</w:t>
            </w:r>
          </w:p>
        </w:tc>
        <w:tc>
          <w:tcPr>
            <w:tcW w:type="dxa" w:w="2551"/>
          </w:tcPr>
          <w:p>
            <w:pPr>
              <w:spacing w:lineRule="exact" w:line="600"/>
              <w:jc w:val="center"/>
            </w:pPr>
            <w:r/>
            <w:r>
              <w:rPr>
                <w:rFonts w:ascii="仿宋_GB2312" w:hAnsi="仿宋_GB2312" w:eastAsia="仿宋_GB2312"/>
                <w:b w:val="0"/>
                <w:color w:val="000000"/>
                <w:sz w:val="32"/>
              </w:rPr>
              <w:t>先进制造业强省行动计划</w:t>
            </w:r>
          </w:p>
        </w:tc>
      </w:tr>
      <w:tr>
        <w:tc>
          <w:tcPr>
            <w:tcW w:type="dxa" w:w="4252"/>
          </w:tcPr>
          <w:p>
            <w:pPr>
              <w:spacing w:lineRule="exact" w:line="600"/>
              <w:jc w:val="center"/>
            </w:pPr>
            <w:r/>
            <w:r>
              <w:rPr>
                <w:rFonts w:ascii="仿宋_GB2312" w:hAnsi="仿宋_GB2312" w:eastAsia="仿宋_GB2312"/>
                <w:b w:val="0"/>
                <w:color w:val="000000"/>
                <w:sz w:val="32"/>
              </w:rPr>
              <w:t>重点行业先进产能占比（到2027）</w:t>
            </w:r>
          </w:p>
        </w:tc>
        <w:tc>
          <w:tcPr>
            <w:tcW w:type="dxa" w:w="2551"/>
          </w:tcPr>
          <w:p>
            <w:pPr>
              <w:spacing w:lineRule="exact" w:line="600"/>
              <w:jc w:val="center"/>
            </w:pPr>
            <w:r/>
            <w:r>
              <w:rPr>
                <w:rFonts w:ascii="仿宋_GB2312" w:hAnsi="仿宋_GB2312" w:eastAsia="仿宋_GB2312"/>
                <w:b w:val="0"/>
                <w:color w:val="000000"/>
                <w:sz w:val="32"/>
              </w:rPr>
              <w:t>超过60%</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规上工业单位增加值能耗（十四五）</w:t>
            </w:r>
          </w:p>
        </w:tc>
        <w:tc>
          <w:tcPr>
            <w:tcW w:type="dxa" w:w="2551"/>
          </w:tcPr>
          <w:p>
            <w:pPr>
              <w:spacing w:lineRule="exact" w:line="600"/>
              <w:jc w:val="center"/>
            </w:pPr>
            <w:r/>
            <w:r>
              <w:rPr>
                <w:rFonts w:ascii="仿宋_GB2312" w:hAnsi="仿宋_GB2312" w:eastAsia="仿宋_GB2312"/>
                <w:b w:val="0"/>
                <w:color w:val="000000"/>
                <w:sz w:val="32"/>
              </w:rPr>
              <w:t>下降17%左右</w:t>
            </w:r>
          </w:p>
        </w:tc>
        <w:tc>
          <w:tcPr>
            <w:tcW w:type="dxa" w:w="2551"/>
          </w:tcPr>
          <w:p>
            <w:pPr>
              <w:spacing w:lineRule="exact" w:line="600"/>
              <w:jc w:val="center"/>
            </w:pPr>
            <w:r/>
            <w:r>
              <w:rPr>
                <w:rFonts w:ascii="仿宋_GB2312" w:hAnsi="仿宋_GB2312" w:eastAsia="仿宋_GB2312"/>
                <w:b w:val="0"/>
                <w:color w:val="000000"/>
                <w:sz w:val="32"/>
              </w:rPr>
              <w:t>省发展改革委，2025</w:t>
            </w:r>
          </w:p>
        </w:tc>
      </w:tr>
      <w:tr>
        <w:tc>
          <w:tcPr>
            <w:tcW w:type="dxa" w:w="4252"/>
          </w:tcPr>
          <w:p>
            <w:pPr>
              <w:spacing w:lineRule="exact" w:line="600"/>
              <w:jc w:val="center"/>
            </w:pPr>
            <w:r/>
            <w:r>
              <w:rPr>
                <w:rFonts w:ascii="仿宋_GB2312" w:hAnsi="仿宋_GB2312" w:eastAsia="仿宋_GB2312"/>
                <w:b w:val="0"/>
                <w:color w:val="000000"/>
                <w:sz w:val="32"/>
              </w:rPr>
              <w:t>省级技术改造财政支持</w:t>
            </w:r>
          </w:p>
        </w:tc>
        <w:tc>
          <w:tcPr>
            <w:tcW w:type="dxa" w:w="2551"/>
          </w:tcPr>
          <w:p>
            <w:pPr>
              <w:spacing w:lineRule="exact" w:line="600"/>
              <w:jc w:val="center"/>
            </w:pPr>
            <w:r/>
            <w:r>
              <w:rPr>
                <w:rFonts w:ascii="仿宋_GB2312" w:hAnsi="仿宋_GB2312" w:eastAsia="仿宋_GB2312"/>
                <w:b w:val="0"/>
                <w:color w:val="000000"/>
                <w:sz w:val="32"/>
              </w:rPr>
              <w:t>6.25亿元</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120" w:after="120"/>
        <w:ind w:firstLine="420"/>
        <w:jc w:val="left"/>
      </w:pPr>
      <w:r>
        <w:rPr>
          <w:rFonts w:ascii="楷体_GB2312" w:hAnsi="楷体_GB2312" w:eastAsia="楷体_GB2312"/>
          <w:b w:val="0"/>
          <w:color w:val="000000"/>
          <w:sz w:val="32"/>
        </w:rPr>
        <w:t>（一）技改与智造融资</w:t>
      </w:r>
    </w:p>
    <w:p>
      <w:pPr>
        <w:spacing w:lineRule="exact" w:line="600" w:before="0" w:after="0"/>
        <w:ind w:firstLine="420"/>
        <w:jc w:val="both"/>
      </w:pPr>
      <w:r>
        <w:rPr>
          <w:rFonts w:ascii="仿宋_GB2312" w:hAnsi="仿宋_GB2312" w:eastAsia="仿宋_GB2312"/>
          <w:b w:val="0"/>
          <w:color w:val="000000"/>
          <w:sz w:val="32"/>
        </w:rPr>
        <w:t>智能产线、自动化焊接机器人、喷涂线投入大，中小企业需要设备更新贷款。金佰特等龙头享受研发加计与退税支持（来源：中国税务报）。「行业共性研判」：产业集群适合「链主担保+供应链金融」，以及技改贴息、首台套保险补偿。</w:t>
      </w:r>
    </w:p>
    <w:p>
      <w:pPr>
        <w:spacing w:lineRule="exact" w:line="600" w:before="120" w:after="120"/>
        <w:ind w:firstLine="420"/>
        <w:jc w:val="left"/>
      </w:pPr>
      <w:r>
        <w:rPr>
          <w:rFonts w:ascii="楷体_GB2312" w:hAnsi="楷体_GB2312" w:eastAsia="楷体_GB2312"/>
          <w:b w:val="0"/>
          <w:color w:val="000000"/>
          <w:sz w:val="32"/>
        </w:rPr>
        <w:t>（二）出海与质量建设融资</w:t>
      </w:r>
    </w:p>
    <w:p>
      <w:pPr>
        <w:spacing w:lineRule="exact" w:line="600" w:before="0" w:after="0"/>
        <w:ind w:firstLine="420"/>
        <w:jc w:val="both"/>
      </w:pPr>
      <w:r>
        <w:rPr>
          <w:rFonts w:ascii="仿宋_GB2312" w:hAnsi="仿宋_GB2312" w:eastAsia="仿宋_GB2312"/>
          <w:b w:val="0"/>
          <w:color w:val="000000"/>
          <w:sz w:val="32"/>
        </w:rPr>
        <w:t>海外仓建设、国际认证（CE/UL/NSF）、3C认证改造需要资金；博兴县对自建和租赁海外仓给予资金支持，并对外贸企业争取各级专项资金（来源：齐鲁晚报、经济日报式报道）。「行业共性研判」：质量提升专项行动催生检测设备、环保改造资金需求，宜用绿色信贷与专项债配套。</w:t>
      </w:r>
    </w:p>
    <w:tbl>
      <w:tblPr>
        <w:tblStyle w:val="TableGrid"/>
        <w:tblW w:type="auto" w:w="0"/>
        <w:jc w:val="center"/>
        <w:tblLook w:firstColumn="1" w:firstRow="1" w:lastColumn="0" w:lastRow="0" w:noHBand="0" w:noVBand="1" w:val="04A0"/>
      </w:tblPr>
      <w:tblGrid>
        <w:gridCol w:w="2948"/>
        <w:gridCol w:w="2948"/>
        <w:gridCol w:w="2948"/>
      </w:tblGrid>
      <w:tr>
        <w:tc>
          <w:tcPr>
            <w:tcW w:type="dxa" w:w="2835"/>
          </w:tcPr>
          <w:p>
            <w:pPr>
              <w:spacing w:lineRule="exact" w:line="600"/>
              <w:jc w:val="center"/>
            </w:pPr>
            <w:r/>
            <w:r>
              <w:rPr>
                <w:rFonts w:ascii="黑体" w:hAnsi="黑体" w:eastAsia="黑体"/>
                <w:b/>
                <w:color w:val="000000"/>
                <w:sz w:val="32"/>
              </w:rPr>
              <w:t>融资类型</w:t>
            </w:r>
          </w:p>
        </w:tc>
        <w:tc>
          <w:tcPr>
            <w:tcW w:type="dxa" w:w="2835"/>
          </w:tcPr>
          <w:p>
            <w:pPr>
              <w:spacing w:lineRule="exact" w:line="600"/>
              <w:jc w:val="center"/>
            </w:pPr>
            <w:r/>
            <w:r>
              <w:rPr>
                <w:rFonts w:ascii="黑体" w:hAnsi="黑体" w:eastAsia="黑体"/>
                <w:b/>
                <w:color w:val="000000"/>
                <w:sz w:val="32"/>
              </w:rPr>
              <w:t>规模/产品</w:t>
            </w:r>
          </w:p>
        </w:tc>
        <w:tc>
          <w:tcPr>
            <w:tcW w:type="dxa" w:w="3118"/>
          </w:tcPr>
          <w:p>
            <w:pPr>
              <w:spacing w:lineRule="exact" w:line="600"/>
              <w:jc w:val="center"/>
            </w:pPr>
            <w:r/>
            <w:r>
              <w:rPr>
                <w:rFonts w:ascii="黑体" w:hAnsi="黑体" w:eastAsia="黑体"/>
                <w:b/>
                <w:color w:val="000000"/>
                <w:sz w:val="32"/>
              </w:rPr>
              <w:t>来源</w:t>
            </w:r>
          </w:p>
        </w:tc>
      </w:tr>
      <w:tr>
        <w:tc>
          <w:tcPr>
            <w:tcW w:type="dxa" w:w="2835"/>
          </w:tcPr>
          <w:p>
            <w:pPr>
              <w:spacing w:lineRule="exact" w:line="600"/>
              <w:jc w:val="center"/>
            </w:pPr>
            <w:r/>
            <w:r>
              <w:rPr>
                <w:rFonts w:ascii="仿宋_GB2312" w:hAnsi="仿宋_GB2312" w:eastAsia="仿宋_GB2312"/>
                <w:b w:val="0"/>
                <w:color w:val="000000"/>
                <w:sz w:val="32"/>
              </w:rPr>
              <w:t>出口退税</w:t>
            </w:r>
          </w:p>
        </w:tc>
        <w:tc>
          <w:tcPr>
            <w:tcW w:type="dxa" w:w="2835"/>
          </w:tcPr>
          <w:p>
            <w:pPr>
              <w:spacing w:lineRule="exact" w:line="600"/>
              <w:jc w:val="center"/>
            </w:pPr>
            <w:r/>
            <w:r>
              <w:rPr>
                <w:rFonts w:ascii="仿宋_GB2312" w:hAnsi="仿宋_GB2312" w:eastAsia="仿宋_GB2312"/>
                <w:b w:val="0"/>
                <w:color w:val="000000"/>
                <w:sz w:val="32"/>
              </w:rPr>
              <w:t>金佰特2000余万</w:t>
            </w:r>
          </w:p>
        </w:tc>
        <w:tc>
          <w:tcPr>
            <w:tcW w:type="dxa" w:w="3118"/>
          </w:tcPr>
          <w:p>
            <w:pPr>
              <w:spacing w:lineRule="exact" w:line="600"/>
              <w:jc w:val="center"/>
            </w:pPr>
            <w:r/>
            <w:r>
              <w:rPr>
                <w:rFonts w:ascii="仿宋_GB2312" w:hAnsi="仿宋_GB2312" w:eastAsia="仿宋_GB2312"/>
                <w:b w:val="0"/>
                <w:color w:val="000000"/>
                <w:sz w:val="32"/>
              </w:rPr>
              <w:t>中国税务报</w:t>
            </w:r>
          </w:p>
        </w:tc>
      </w:tr>
      <w:tr>
        <w:tc>
          <w:tcPr>
            <w:tcW w:type="dxa" w:w="2835"/>
          </w:tcPr>
          <w:p>
            <w:pPr>
              <w:spacing w:lineRule="exact" w:line="600"/>
              <w:jc w:val="center"/>
            </w:pPr>
            <w:r/>
            <w:r>
              <w:rPr>
                <w:rFonts w:ascii="仿宋_GB2312" w:hAnsi="仿宋_GB2312" w:eastAsia="仿宋_GB2312"/>
                <w:b w:val="0"/>
                <w:color w:val="000000"/>
                <w:sz w:val="32"/>
              </w:rPr>
              <w:t>研发加计</w:t>
            </w:r>
          </w:p>
        </w:tc>
        <w:tc>
          <w:tcPr>
            <w:tcW w:type="dxa" w:w="2835"/>
          </w:tcPr>
          <w:p>
            <w:pPr>
              <w:spacing w:lineRule="exact" w:line="600"/>
              <w:jc w:val="center"/>
            </w:pPr>
            <w:r/>
            <w:r>
              <w:rPr>
                <w:rFonts w:ascii="仿宋_GB2312" w:hAnsi="仿宋_GB2312" w:eastAsia="仿宋_GB2312"/>
                <w:b w:val="0"/>
                <w:color w:val="000000"/>
                <w:sz w:val="32"/>
              </w:rPr>
              <w:t>780余万元</w:t>
            </w:r>
          </w:p>
        </w:tc>
        <w:tc>
          <w:tcPr>
            <w:tcW w:type="dxa" w:w="3118"/>
          </w:tcPr>
          <w:p>
            <w:pPr>
              <w:spacing w:lineRule="exact" w:line="600"/>
              <w:jc w:val="center"/>
            </w:pPr>
            <w:r/>
            <w:r>
              <w:rPr>
                <w:rFonts w:ascii="仿宋_GB2312" w:hAnsi="仿宋_GB2312" w:eastAsia="仿宋_GB2312"/>
                <w:b w:val="0"/>
                <w:color w:val="000000"/>
                <w:sz w:val="32"/>
              </w:rPr>
              <w:t>中国税务报</w:t>
            </w:r>
          </w:p>
        </w:tc>
      </w:tr>
      <w:tr>
        <w:tc>
          <w:tcPr>
            <w:tcW w:type="dxa" w:w="2835"/>
          </w:tcPr>
          <w:p>
            <w:pPr>
              <w:spacing w:lineRule="exact" w:line="600"/>
              <w:jc w:val="center"/>
            </w:pPr>
            <w:r/>
            <w:r>
              <w:rPr>
                <w:rFonts w:ascii="仿宋_GB2312" w:hAnsi="仿宋_GB2312" w:eastAsia="仿宋_GB2312"/>
                <w:b w:val="0"/>
                <w:color w:val="000000"/>
                <w:sz w:val="32"/>
              </w:rPr>
              <w:t>海外仓</w:t>
            </w:r>
          </w:p>
        </w:tc>
        <w:tc>
          <w:tcPr>
            <w:tcW w:type="dxa" w:w="2835"/>
          </w:tcPr>
          <w:p>
            <w:pPr>
              <w:spacing w:lineRule="exact" w:line="600"/>
              <w:jc w:val="center"/>
            </w:pPr>
            <w:r/>
            <w:r>
              <w:rPr>
                <w:rFonts w:ascii="仿宋_GB2312" w:hAnsi="仿宋_GB2312" w:eastAsia="仿宋_GB2312"/>
                <w:b w:val="0"/>
                <w:color w:val="000000"/>
                <w:sz w:val="32"/>
              </w:rPr>
              <w:t>县里资金支持</w:t>
            </w:r>
          </w:p>
        </w:tc>
        <w:tc>
          <w:tcPr>
            <w:tcW w:type="dxa" w:w="3118"/>
          </w:tcPr>
          <w:p>
            <w:pPr>
              <w:spacing w:lineRule="exact" w:line="600"/>
              <w:jc w:val="center"/>
            </w:pPr>
            <w:r/>
            <w:r>
              <w:rPr>
                <w:rFonts w:ascii="仿宋_GB2312" w:hAnsi="仿宋_GB2312" w:eastAsia="仿宋_GB2312"/>
                <w:b w:val="0"/>
                <w:color w:val="000000"/>
                <w:sz w:val="32"/>
              </w:rPr>
              <w:t>齐鲁晚报</w:t>
            </w:r>
          </w:p>
        </w:tc>
      </w:tr>
      <w:tr>
        <w:tc>
          <w:tcPr>
            <w:tcW w:type="dxa" w:w="2835"/>
          </w:tcPr>
          <w:p>
            <w:pPr>
              <w:spacing w:lineRule="exact" w:line="600"/>
              <w:jc w:val="center"/>
            </w:pPr>
            <w:r/>
            <w:r>
              <w:rPr>
                <w:rFonts w:ascii="仿宋_GB2312" w:hAnsi="仿宋_GB2312" w:eastAsia="仿宋_GB2312"/>
                <w:b w:val="0"/>
                <w:color w:val="000000"/>
                <w:sz w:val="32"/>
              </w:rPr>
              <w:t>设备更新</w:t>
            </w:r>
          </w:p>
        </w:tc>
        <w:tc>
          <w:tcPr>
            <w:tcW w:type="dxa" w:w="2835"/>
          </w:tcPr>
          <w:p>
            <w:pPr>
              <w:spacing w:lineRule="exact" w:line="600"/>
              <w:jc w:val="center"/>
            </w:pPr>
            <w:r/>
            <w:r>
              <w:rPr>
                <w:rFonts w:ascii="仿宋_GB2312" w:hAnsi="仿宋_GB2312" w:eastAsia="仿宋_GB2312"/>
                <w:b w:val="0"/>
                <w:color w:val="000000"/>
                <w:sz w:val="32"/>
              </w:rPr>
              <w:t>智造产线贷款</w:t>
            </w:r>
          </w:p>
        </w:tc>
        <w:tc>
          <w:tcPr>
            <w:tcW w:type="dxa" w:w="3118"/>
          </w:tcPr>
          <w:p>
            <w:pPr>
              <w:spacing w:lineRule="exact" w:line="600"/>
              <w:jc w:val="center"/>
            </w:pPr>
            <w:r/>
            <w:r>
              <w:rPr>
                <w:rFonts w:ascii="仿宋_GB2312" w:hAnsi="仿宋_GB2312" w:eastAsia="仿宋_GB2312"/>
                <w:b w:val="0"/>
                <w:color w:val="000000"/>
                <w:sz w:val="32"/>
              </w:rPr>
              <w:t>行业研判</w:t>
            </w:r>
          </w:p>
        </w:tc>
      </w:tr>
      <w:tr>
        <w:tc>
          <w:tcPr>
            <w:tcW w:type="dxa" w:w="2835"/>
          </w:tcPr>
          <w:p>
            <w:pPr>
              <w:spacing w:lineRule="exact" w:line="600"/>
              <w:jc w:val="center"/>
            </w:pPr>
            <w:r/>
            <w:r>
              <w:rPr>
                <w:rFonts w:ascii="仿宋_GB2312" w:hAnsi="仿宋_GB2312" w:eastAsia="仿宋_GB2312"/>
                <w:b w:val="0"/>
                <w:color w:val="000000"/>
                <w:sz w:val="32"/>
              </w:rPr>
              <w:t>质量/环保</w:t>
            </w:r>
          </w:p>
        </w:tc>
        <w:tc>
          <w:tcPr>
            <w:tcW w:type="dxa" w:w="2835"/>
          </w:tcPr>
          <w:p>
            <w:pPr>
              <w:spacing w:lineRule="exact" w:line="600"/>
              <w:jc w:val="center"/>
            </w:pPr>
            <w:r/>
            <w:r>
              <w:rPr>
                <w:rFonts w:ascii="仿宋_GB2312" w:hAnsi="仿宋_GB2312" w:eastAsia="仿宋_GB2312"/>
                <w:b w:val="0"/>
                <w:color w:val="000000"/>
                <w:sz w:val="32"/>
              </w:rPr>
              <w:t>检测+环保改造</w:t>
            </w:r>
          </w:p>
        </w:tc>
        <w:tc>
          <w:tcPr>
            <w:tcW w:type="dxa" w:w="3118"/>
          </w:tcPr>
          <w:p>
            <w:pPr>
              <w:spacing w:lineRule="exact" w:line="600"/>
              <w:jc w:val="center"/>
            </w:pPr>
            <w:r/>
            <w:r>
              <w:rPr>
                <w:rFonts w:ascii="仿宋_GB2312" w:hAnsi="仿宋_GB2312" w:eastAsia="仿宋_GB2312"/>
                <w:b w:val="0"/>
                <w:color w:val="000000"/>
                <w:sz w:val="32"/>
              </w:rPr>
              <w:t>博政办发2026</w:t>
            </w:r>
          </w:p>
        </w:tc>
      </w:tr>
    </w:tbl>
    <w:p>
      <w:pPr>
        <w:spacing w:lineRule="exact" w:line="600" w:before="120" w:after="120"/>
        <w:ind w:firstLine="420"/>
        <w:jc w:val="left"/>
      </w:pPr>
      <w:r>
        <w:rPr>
          <w:rFonts w:ascii="楷体_GB2312" w:hAnsi="楷体_GB2312" w:eastAsia="楷体_GB2312"/>
          <w:b w:val="0"/>
          <w:color w:val="000000"/>
          <w:sz w:val="32"/>
        </w:rPr>
        <w:t>（九）省级产业投融资工具参照</w:t>
      </w:r>
    </w:p>
    <w:p>
      <w:pPr>
        <w:spacing w:lineRule="exact" w:line="600" w:before="0" w:after="0"/>
        <w:ind w:firstLine="420"/>
        <w:jc w:val="both"/>
      </w:pPr>
      <w:r>
        <w:rPr>
          <w:rFonts w:ascii="仿宋_GB2312" w:hAnsi="仿宋_GB2312" w:eastAsia="仿宋_GB2312"/>
          <w:b w:val="0"/>
          <w:color w:val="000000"/>
          <w:sz w:val="32"/>
        </w:rPr>
        <w:t>从省级产业投融资体系看，山东省已构建多层次资金支持工具。2024年12月，规模100亿元的省级绿色低碳高质量发展先行区建设引导基金完成注册，通过子基金和直接投资撬动不低于300亿元投资规模；省新旧动能转换基金累计投资“十强”产业项目1300多个、金额约1300亿元，带动社会资本投融资超5000亿元，其中绿色低碳相关项目355个、带动社会资本投资1824亿元。省级科技资金2024年达145.2亿元；人民银行济南分行每年安排再贷款专项额度100亿元扩大绿色信贷供给。对企业端，“技改专项贷”与设备更新补贴可对符合条件的项目给予最高2000万元贷款贴息、最高500万元设备更新补贴。（来源：山东省新动能基金管理有限公司/大众日报，2024—2025；山东省财政厅，2024；省发展改革委，2025）（省级框架参照）</w:t>
      </w:r>
    </w:p>
    <w:tbl>
      <w:tblPr>
        <w:tblStyle w:val="TableGrid"/>
        <w:tblW w:type="auto" w:w="0"/>
        <w:jc w:val="center"/>
        <w:tblLook w:firstColumn="1" w:firstRow="1" w:lastColumn="0" w:lastRow="0" w:noHBand="0" w:noVBand="1" w:val="04A0"/>
      </w:tblPr>
      <w:tblGrid>
        <w:gridCol w:w="2948"/>
        <w:gridCol w:w="2948"/>
        <w:gridCol w:w="2948"/>
      </w:tblGrid>
      <w:tr>
        <w:tc>
          <w:tcPr>
            <w:tcW w:type="dxa" w:w="4252"/>
          </w:tcPr>
          <w:p>
            <w:pPr>
              <w:spacing w:lineRule="exact" w:line="600"/>
              <w:jc w:val="center"/>
            </w:pPr>
            <w:r/>
            <w:r>
              <w:rPr>
                <w:rFonts w:ascii="黑体" w:hAnsi="黑体" w:eastAsia="黑体"/>
                <w:b/>
                <w:color w:val="000000"/>
                <w:sz w:val="32"/>
              </w:rPr>
              <w:t>省级金融工具</w:t>
            </w:r>
          </w:p>
        </w:tc>
        <w:tc>
          <w:tcPr>
            <w:tcW w:type="dxa" w:w="2551"/>
          </w:tcPr>
          <w:p>
            <w:pPr>
              <w:spacing w:lineRule="exact" w:line="600"/>
              <w:jc w:val="center"/>
            </w:pPr>
            <w:r/>
            <w:r>
              <w:rPr>
                <w:rFonts w:ascii="黑体" w:hAnsi="黑体" w:eastAsia="黑体"/>
                <w:b/>
                <w:color w:val="000000"/>
                <w:sz w:val="32"/>
              </w:rPr>
              <w:t>规模/力度</w:t>
            </w:r>
          </w:p>
        </w:tc>
        <w:tc>
          <w:tcPr>
            <w:tcW w:type="dxa" w:w="2551"/>
          </w:tcPr>
          <w:p>
            <w:pPr>
              <w:spacing w:lineRule="exact" w:line="600"/>
              <w:jc w:val="center"/>
            </w:pPr>
            <w:r/>
            <w:r>
              <w:rPr>
                <w:rFonts w:ascii="黑体" w:hAnsi="黑体" w:eastAsia="黑体"/>
                <w:b/>
                <w:color w:val="000000"/>
                <w:sz w:val="32"/>
              </w:rPr>
              <w:t>来源/年份</w:t>
            </w:r>
          </w:p>
        </w:tc>
      </w:tr>
      <w:tr>
        <w:tc>
          <w:tcPr>
            <w:tcW w:type="dxa" w:w="4252"/>
          </w:tcPr>
          <w:p>
            <w:pPr>
              <w:spacing w:lineRule="exact" w:line="600"/>
              <w:jc w:val="center"/>
            </w:pPr>
            <w:r/>
            <w:r>
              <w:rPr>
                <w:rFonts w:ascii="仿宋_GB2312" w:hAnsi="仿宋_GB2312" w:eastAsia="仿宋_GB2312"/>
                <w:b w:val="0"/>
                <w:color w:val="000000"/>
                <w:sz w:val="32"/>
              </w:rPr>
              <w:t>绿色低碳高质量发展先行区引导基金</w:t>
            </w:r>
          </w:p>
        </w:tc>
        <w:tc>
          <w:tcPr>
            <w:tcW w:type="dxa" w:w="2551"/>
          </w:tcPr>
          <w:p>
            <w:pPr>
              <w:spacing w:lineRule="exact" w:line="600"/>
              <w:jc w:val="center"/>
            </w:pPr>
            <w:r/>
            <w:r>
              <w:rPr>
                <w:rFonts w:ascii="仿宋_GB2312" w:hAnsi="仿宋_GB2312" w:eastAsia="仿宋_GB2312"/>
                <w:b w:val="0"/>
                <w:color w:val="000000"/>
                <w:sz w:val="32"/>
              </w:rPr>
              <w:t>100亿元（撬动≥300亿）</w:t>
            </w:r>
          </w:p>
        </w:tc>
        <w:tc>
          <w:tcPr>
            <w:tcW w:type="dxa" w:w="2551"/>
          </w:tcPr>
          <w:p>
            <w:pPr>
              <w:spacing w:lineRule="exact" w:line="600"/>
              <w:jc w:val="center"/>
            </w:pPr>
            <w:r/>
            <w:r>
              <w:rPr>
                <w:rFonts w:ascii="仿宋_GB2312" w:hAnsi="仿宋_GB2312" w:eastAsia="仿宋_GB2312"/>
                <w:b w:val="0"/>
                <w:color w:val="000000"/>
                <w:sz w:val="32"/>
              </w:rPr>
              <w:t>省新动能基金/大众日报，2024</w:t>
            </w:r>
          </w:p>
        </w:tc>
      </w:tr>
      <w:tr>
        <w:tc>
          <w:tcPr>
            <w:tcW w:type="dxa" w:w="4252"/>
          </w:tcPr>
          <w:p>
            <w:pPr>
              <w:spacing w:lineRule="exact" w:line="600"/>
              <w:jc w:val="center"/>
            </w:pPr>
            <w:r/>
            <w:r>
              <w:rPr>
                <w:rFonts w:ascii="仿宋_GB2312" w:hAnsi="仿宋_GB2312" w:eastAsia="仿宋_GB2312"/>
                <w:b w:val="0"/>
                <w:color w:val="000000"/>
                <w:sz w:val="32"/>
              </w:rPr>
              <w:t>新旧动能转换基金（十强产业）</w:t>
            </w:r>
          </w:p>
        </w:tc>
        <w:tc>
          <w:tcPr>
            <w:tcW w:type="dxa" w:w="2551"/>
          </w:tcPr>
          <w:p>
            <w:pPr>
              <w:spacing w:lineRule="exact" w:line="600"/>
              <w:jc w:val="center"/>
            </w:pPr>
            <w:r/>
            <w:r>
              <w:rPr>
                <w:rFonts w:ascii="仿宋_GB2312" w:hAnsi="仿宋_GB2312" w:eastAsia="仿宋_GB2312"/>
                <w:b w:val="0"/>
                <w:color w:val="000000"/>
                <w:sz w:val="32"/>
              </w:rPr>
              <w:t>投资约1300亿元、带动超5000亿</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绿色低碳相关项目投资</w:t>
            </w:r>
          </w:p>
        </w:tc>
        <w:tc>
          <w:tcPr>
            <w:tcW w:type="dxa" w:w="2551"/>
          </w:tcPr>
          <w:p>
            <w:pPr>
              <w:spacing w:lineRule="exact" w:line="600"/>
              <w:jc w:val="center"/>
            </w:pPr>
            <w:r/>
            <w:r>
              <w:rPr>
                <w:rFonts w:ascii="仿宋_GB2312" w:hAnsi="仿宋_GB2312" w:eastAsia="仿宋_GB2312"/>
                <w:b w:val="0"/>
                <w:color w:val="000000"/>
                <w:sz w:val="32"/>
              </w:rPr>
              <w:t>355个、带动1824亿元</w:t>
            </w:r>
          </w:p>
        </w:tc>
        <w:tc>
          <w:tcPr>
            <w:tcW w:type="dxa" w:w="2551"/>
          </w:tcPr>
          <w:p>
            <w:pPr>
              <w:spacing w:lineRule="exact" w:line="600"/>
              <w:jc w:val="center"/>
            </w:pPr>
            <w:r/>
            <w:r>
              <w:rPr>
                <w:rFonts w:ascii="仿宋_GB2312" w:hAnsi="仿宋_GB2312" w:eastAsia="仿宋_GB2312"/>
                <w:b w:val="0"/>
                <w:color w:val="000000"/>
                <w:sz w:val="32"/>
              </w:rPr>
              <w:t>省新动能基金，2024</w:t>
            </w:r>
          </w:p>
        </w:tc>
      </w:tr>
      <w:tr>
        <w:tc>
          <w:tcPr>
            <w:tcW w:type="dxa" w:w="4252"/>
          </w:tcPr>
          <w:p>
            <w:pPr>
              <w:spacing w:lineRule="exact" w:line="600"/>
              <w:jc w:val="center"/>
            </w:pPr>
            <w:r/>
            <w:r>
              <w:rPr>
                <w:rFonts w:ascii="仿宋_GB2312" w:hAnsi="仿宋_GB2312" w:eastAsia="仿宋_GB2312"/>
                <w:b w:val="0"/>
                <w:color w:val="000000"/>
                <w:sz w:val="32"/>
              </w:rPr>
              <w:t>省级科技资金</w:t>
            </w:r>
          </w:p>
        </w:tc>
        <w:tc>
          <w:tcPr>
            <w:tcW w:type="dxa" w:w="2551"/>
          </w:tcPr>
          <w:p>
            <w:pPr>
              <w:spacing w:lineRule="exact" w:line="600"/>
              <w:jc w:val="center"/>
            </w:pPr>
            <w:r/>
            <w:r>
              <w:rPr>
                <w:rFonts w:ascii="仿宋_GB2312" w:hAnsi="仿宋_GB2312" w:eastAsia="仿宋_GB2312"/>
                <w:b w:val="0"/>
                <w:color w:val="000000"/>
                <w:sz w:val="32"/>
              </w:rPr>
              <w:t>145.2亿元</w:t>
            </w:r>
          </w:p>
        </w:tc>
        <w:tc>
          <w:tcPr>
            <w:tcW w:type="dxa" w:w="2551"/>
          </w:tcPr>
          <w:p>
            <w:pPr>
              <w:spacing w:lineRule="exact" w:line="600"/>
              <w:jc w:val="center"/>
            </w:pPr>
            <w:r/>
            <w:r>
              <w:rPr>
                <w:rFonts w:ascii="仿宋_GB2312" w:hAnsi="仿宋_GB2312" w:eastAsia="仿宋_GB2312"/>
                <w:b w:val="0"/>
                <w:color w:val="000000"/>
                <w:sz w:val="32"/>
              </w:rPr>
              <w:t>省财政厅，2024</w:t>
            </w:r>
          </w:p>
        </w:tc>
      </w:tr>
      <w:tr>
        <w:tc>
          <w:tcPr>
            <w:tcW w:type="dxa" w:w="4252"/>
          </w:tcPr>
          <w:p>
            <w:pPr>
              <w:spacing w:lineRule="exact" w:line="600"/>
              <w:jc w:val="center"/>
            </w:pPr>
            <w:r/>
            <w:r>
              <w:rPr>
                <w:rFonts w:ascii="仿宋_GB2312" w:hAnsi="仿宋_GB2312" w:eastAsia="仿宋_GB2312"/>
                <w:b w:val="0"/>
                <w:color w:val="000000"/>
                <w:sz w:val="32"/>
              </w:rPr>
              <w:t>绿色再贷款专项额度</w:t>
            </w:r>
          </w:p>
        </w:tc>
        <w:tc>
          <w:tcPr>
            <w:tcW w:type="dxa" w:w="2551"/>
          </w:tcPr>
          <w:p>
            <w:pPr>
              <w:spacing w:lineRule="exact" w:line="600"/>
              <w:jc w:val="center"/>
            </w:pPr>
            <w:r/>
            <w:r>
              <w:rPr>
                <w:rFonts w:ascii="仿宋_GB2312" w:hAnsi="仿宋_GB2312" w:eastAsia="仿宋_GB2312"/>
                <w:b w:val="0"/>
                <w:color w:val="000000"/>
                <w:sz w:val="32"/>
              </w:rPr>
              <w:t>100亿元/年</w:t>
            </w:r>
          </w:p>
        </w:tc>
        <w:tc>
          <w:tcPr>
            <w:tcW w:type="dxa" w:w="2551"/>
          </w:tcPr>
          <w:p>
            <w:pPr>
              <w:spacing w:lineRule="exact" w:line="600"/>
              <w:jc w:val="center"/>
            </w:pPr>
            <w:r/>
            <w:r>
              <w:rPr>
                <w:rFonts w:ascii="仿宋_GB2312" w:hAnsi="仿宋_GB2312" w:eastAsia="仿宋_GB2312"/>
                <w:b w:val="0"/>
                <w:color w:val="000000"/>
                <w:sz w:val="32"/>
              </w:rPr>
              <w:t>人民银行济南分行，2024</w:t>
            </w:r>
          </w:p>
        </w:tc>
      </w:tr>
      <w:tr>
        <w:tc>
          <w:tcPr>
            <w:tcW w:type="dxa" w:w="4252"/>
          </w:tcPr>
          <w:p>
            <w:pPr>
              <w:spacing w:lineRule="exact" w:line="600"/>
              <w:jc w:val="center"/>
            </w:pPr>
            <w:r/>
            <w:r>
              <w:rPr>
                <w:rFonts w:ascii="仿宋_GB2312" w:hAnsi="仿宋_GB2312" w:eastAsia="仿宋_GB2312"/>
                <w:b w:val="0"/>
                <w:color w:val="000000"/>
                <w:sz w:val="32"/>
              </w:rPr>
              <w:t>技改专项贷/设备更新补贴</w:t>
            </w:r>
          </w:p>
        </w:tc>
        <w:tc>
          <w:tcPr>
            <w:tcW w:type="dxa" w:w="2551"/>
          </w:tcPr>
          <w:p>
            <w:pPr>
              <w:spacing w:lineRule="exact" w:line="600"/>
              <w:jc w:val="center"/>
            </w:pPr>
            <w:r/>
            <w:r>
              <w:rPr>
                <w:rFonts w:ascii="仿宋_GB2312" w:hAnsi="仿宋_GB2312" w:eastAsia="仿宋_GB2312"/>
                <w:b w:val="0"/>
                <w:color w:val="000000"/>
                <w:sz w:val="32"/>
              </w:rPr>
              <w:t>最高2000万贴息、500万补贴</w:t>
            </w:r>
          </w:p>
        </w:tc>
        <w:tc>
          <w:tcPr>
            <w:tcW w:type="dxa" w:w="2551"/>
          </w:tcPr>
          <w:p>
            <w:pPr>
              <w:spacing w:lineRule="exact" w:line="600"/>
              <w:jc w:val="center"/>
            </w:pPr>
            <w:r/>
            <w:r>
              <w:rPr>
                <w:rFonts w:ascii="仿宋_GB2312" w:hAnsi="仿宋_GB2312" w:eastAsia="仿宋_GB2312"/>
                <w:b w:val="0"/>
                <w:color w:val="000000"/>
                <w:sz w:val="32"/>
              </w:rPr>
              <w:t>省发展改革委，2025</w:t>
            </w:r>
          </w:p>
        </w:tc>
      </w:tr>
    </w:tbl>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金佰特商用厨具有限公司：商用厨房设备/智慧厨房解决方案龙头，成立于2006年，占地200余亩、职工1800余人、注册资本1.3亿元、年产厨具30万台套、年销售额突破10亿元、出口占比约30%、中国厨都纳税第一名；国家级高新技术企业、省专精特新、省级技术开发中心，参与制定《商用燃气燃烧器具》国家标准，获专利100多项、通过CE/UL认证、山东「隐形冠军」；产品用于人民大会堂、北京冬奥会、卡塔尔世界杯；位于兴福工业园。来源：金佰特官网、中国税务报、人民网。</w:t>
      </w:r>
    </w:p>
    <w:p>
      <w:pPr>
        <w:spacing w:lineRule="exact" w:line="600" w:before="0" w:after="0"/>
        <w:ind w:firstLine="420"/>
        <w:jc w:val="both"/>
      </w:pPr>
      <w:r>
        <w:rPr>
          <w:rFonts w:ascii="仿宋_GB2312" w:hAnsi="仿宋_GB2312" w:eastAsia="仿宋_GB2312"/>
          <w:b w:val="0"/>
          <w:color w:val="000000"/>
          <w:sz w:val="32"/>
        </w:rPr>
        <w:t>山东省鲁宝厨业有限公司：商用厨房设备/冷柜/中西餐设备标杆企业，创立40年、兴福镇「中国厨都」标杆企业；2016年作为7家发起企业之一成立山东省厨具协会，推动行业团体标准制定；位于兴福镇。来源：天眼查、人民网、腾讯新闻。</w:t>
      </w:r>
    </w:p>
    <w:p>
      <w:pPr>
        <w:spacing w:lineRule="exact" w:line="600" w:before="0" w:after="0"/>
        <w:ind w:firstLine="420"/>
        <w:jc w:val="both"/>
      </w:pPr>
      <w:r>
        <w:rPr>
          <w:rFonts w:ascii="仿宋_GB2312" w:hAnsi="仿宋_GB2312" w:eastAsia="仿宋_GB2312"/>
          <w:b w:val="0"/>
          <w:color w:val="000000"/>
          <w:sz w:val="32"/>
        </w:rPr>
        <w:t>山东省博兴县旺泉厨业有限公司：商用厨房设备/燃气电磁灶具等骨干配套企业，位于兴福镇，集群配套环节重要主体。来源：天眼查。</w:t>
      </w:r>
    </w:p>
    <w:p>
      <w:pPr>
        <w:spacing w:lineRule="exact" w:line="600" w:before="0" w:after="0"/>
        <w:jc w:val="left"/>
      </w:pPr>
      <w:r>
        <w:rPr>
          <w:rFonts w:ascii="仿宋_GB2312" w:hAnsi="仿宋_GB2312" w:eastAsia="仿宋_GB2312"/>
          <w:b w:val="0"/>
          <w:color w:val="000000"/>
          <w:sz w:val="28"/>
        </w:rPr>
        <w:t>主要数据来源：博兴县政府办公室《博兴县商用厨具行业质量提升与规范治理专项行动工作方案》（博政办发〔2026〕1号）；新华社《锅碗瓢盆，「烹」出300亿元「厨房产业」》（2025-11-05）；人民网/大众日报《全国每10台商用厨具，就有4台来自这个山东小镇》（2026-01-21）；齐鲁晚报《4万人的山东小镇拿下中国商用厨具40%市场》（2025-06-26）；中国税务报《博兴税务：精细服务「智慧厨都」》（2024-11-25）；中研产业研究院《2024年中国商用厨具行业深度调研报告》；金佰特官网、天眼查企业信息</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