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山东淄博临淄（化工新材料）特色产业集群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化工新材料单体合成行业深度分析报告</w:t>
      </w:r>
    </w:p>
    <w:p>
      <w:pPr>
        <w:spacing w:lineRule="exact" w:line="600" w:before="0" w:after="0"/>
        <w:jc w:val="left"/>
      </w:pPr>
      <w:r>
        <w:rPr>
          <w:rFonts w:ascii="仿宋_GB2312" w:hAnsi="仿宋_GB2312" w:eastAsia="仿宋_GB2312"/>
          <w:b w:val="0"/>
          <w:color w:val="000000"/>
          <w:sz w:val="28"/>
        </w:rPr>
        <w:t>本报告数据来源于临淄区政府官网、淄博市工信局、齐翔腾达年报（巨潮资讯网）、天辰齐翔官网及公开报道，数据截至2024—2026年；部分细分领域公开统计有限，已标注「行业共性研判」。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淄化工新材料集群的「化工新材料单体合成」环节以碳三碳四深加工单体（甲乙酮、顺酐、丙烯、MMA等）和高端尼龙单体己二腈为核心，齐翔腾达（002408）与天辰齐翔为双龙头。2024年临淄区高端化工产值约1700亿元、石化产业产值近2000亿元；齐翔腾达2024年营收252.19亿元，甲乙酮产能26万吨/年（国内份额约70%）、顺酐产能40万吨/年（全球最大）；天辰齐翔己二腈一期20万吨/年于2022年投产打破国外垄断，2025年12月全面达产、2026年5月二期投产后总产能达40万吨/年，纯度99.95%、成本低于进口20%—30%。行业呈周期波动与高端国产替代并存特征，需关注化工景气下行、原料价格及产能集中释放风险。</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临淄高端化工产值</w:t>
            </w:r>
          </w:p>
        </w:tc>
        <w:tc>
          <w:tcPr>
            <w:tcW w:type="dxa" w:w="2835"/>
          </w:tcPr>
          <w:p>
            <w:pPr>
              <w:spacing w:lineRule="exact" w:line="600"/>
              <w:jc w:val="center"/>
            </w:pPr>
            <w:r/>
            <w:r>
              <w:rPr>
                <w:rFonts w:ascii="仿宋_GB2312" w:hAnsi="仿宋_GB2312" w:eastAsia="仿宋_GB2312"/>
                <w:b w:val="0"/>
                <w:color w:val="000000"/>
                <w:sz w:val="32"/>
              </w:rPr>
              <w:t>约1700亿元</w:t>
            </w:r>
          </w:p>
        </w:tc>
        <w:tc>
          <w:tcPr>
            <w:tcW w:type="dxa" w:w="3118"/>
          </w:tcPr>
          <w:p>
            <w:pPr>
              <w:spacing w:lineRule="exact" w:line="600"/>
              <w:jc w:val="center"/>
            </w:pPr>
            <w:r/>
            <w:r>
              <w:rPr>
                <w:rFonts w:ascii="仿宋_GB2312" w:hAnsi="仿宋_GB2312" w:eastAsia="仿宋_GB2312"/>
                <w:b w:val="0"/>
                <w:color w:val="000000"/>
                <w:sz w:val="32"/>
              </w:rPr>
              <w:t>2024</w:t>
            </w:r>
          </w:p>
        </w:tc>
      </w:tr>
      <w:tr>
        <w:tc>
          <w:tcPr>
            <w:tcW w:type="dxa" w:w="2835"/>
          </w:tcPr>
          <w:p>
            <w:pPr>
              <w:spacing w:lineRule="exact" w:line="600"/>
              <w:jc w:val="center"/>
            </w:pPr>
            <w:r/>
            <w:r>
              <w:rPr>
                <w:rFonts w:ascii="仿宋_GB2312" w:hAnsi="仿宋_GB2312" w:eastAsia="仿宋_GB2312"/>
                <w:b w:val="0"/>
                <w:color w:val="000000"/>
                <w:sz w:val="32"/>
              </w:rPr>
              <w:t>临淄石化产值</w:t>
            </w:r>
          </w:p>
        </w:tc>
        <w:tc>
          <w:tcPr>
            <w:tcW w:type="dxa" w:w="2835"/>
          </w:tcPr>
          <w:p>
            <w:pPr>
              <w:spacing w:lineRule="exact" w:line="600"/>
              <w:jc w:val="center"/>
            </w:pPr>
            <w:r/>
            <w:r>
              <w:rPr>
                <w:rFonts w:ascii="仿宋_GB2312" w:hAnsi="仿宋_GB2312" w:eastAsia="仿宋_GB2312"/>
                <w:b w:val="0"/>
                <w:color w:val="000000"/>
                <w:sz w:val="32"/>
              </w:rPr>
              <w:t>近2000亿元</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齐鲁化工区规上收入</w:t>
            </w:r>
          </w:p>
        </w:tc>
        <w:tc>
          <w:tcPr>
            <w:tcW w:type="dxa" w:w="2835"/>
          </w:tcPr>
          <w:p>
            <w:pPr>
              <w:spacing w:lineRule="exact" w:line="600"/>
              <w:jc w:val="center"/>
            </w:pPr>
            <w:r/>
            <w:r>
              <w:rPr>
                <w:rFonts w:ascii="仿宋_GB2312" w:hAnsi="仿宋_GB2312" w:eastAsia="仿宋_GB2312"/>
                <w:b w:val="0"/>
                <w:color w:val="000000"/>
                <w:sz w:val="32"/>
              </w:rPr>
              <w:t>1349.84亿元</w:t>
            </w:r>
          </w:p>
        </w:tc>
        <w:tc>
          <w:tcPr>
            <w:tcW w:type="dxa" w:w="3118"/>
          </w:tcPr>
          <w:p>
            <w:pPr>
              <w:spacing w:lineRule="exact" w:line="600"/>
              <w:jc w:val="center"/>
            </w:pPr>
            <w:r/>
            <w:r>
              <w:rPr>
                <w:rFonts w:ascii="仿宋_GB2312" w:hAnsi="仿宋_GB2312" w:eastAsia="仿宋_GB2312"/>
                <w:b w:val="0"/>
                <w:color w:val="000000"/>
                <w:sz w:val="32"/>
              </w:rPr>
              <w:t>2024</w:t>
            </w:r>
          </w:p>
        </w:tc>
      </w:tr>
      <w:tr>
        <w:tc>
          <w:tcPr>
            <w:tcW w:type="dxa" w:w="2835"/>
          </w:tcPr>
          <w:p>
            <w:pPr>
              <w:spacing w:lineRule="exact" w:line="600"/>
              <w:jc w:val="center"/>
            </w:pPr>
            <w:r/>
            <w:r>
              <w:rPr>
                <w:rFonts w:ascii="仿宋_GB2312" w:hAnsi="仿宋_GB2312" w:eastAsia="仿宋_GB2312"/>
                <w:b w:val="0"/>
                <w:color w:val="000000"/>
                <w:sz w:val="32"/>
              </w:rPr>
              <w:t>齐翔腾达营收</w:t>
            </w:r>
          </w:p>
        </w:tc>
        <w:tc>
          <w:tcPr>
            <w:tcW w:type="dxa" w:w="2835"/>
          </w:tcPr>
          <w:p>
            <w:pPr>
              <w:spacing w:lineRule="exact" w:line="600"/>
              <w:jc w:val="center"/>
            </w:pPr>
            <w:r/>
            <w:r>
              <w:rPr>
                <w:rFonts w:ascii="仿宋_GB2312" w:hAnsi="仿宋_GB2312" w:eastAsia="仿宋_GB2312"/>
                <w:b w:val="0"/>
                <w:color w:val="000000"/>
                <w:sz w:val="32"/>
              </w:rPr>
              <w:t>252.19亿元</w:t>
            </w:r>
          </w:p>
        </w:tc>
        <w:tc>
          <w:tcPr>
            <w:tcW w:type="dxa" w:w="3118"/>
          </w:tcPr>
          <w:p>
            <w:pPr>
              <w:spacing w:lineRule="exact" w:line="600"/>
              <w:jc w:val="center"/>
            </w:pPr>
            <w:r/>
            <w:r>
              <w:rPr>
                <w:rFonts w:ascii="仿宋_GB2312" w:hAnsi="仿宋_GB2312" w:eastAsia="仿宋_GB2312"/>
                <w:b w:val="0"/>
                <w:color w:val="000000"/>
                <w:sz w:val="32"/>
              </w:rPr>
              <w:t>2024</w:t>
            </w:r>
          </w:p>
        </w:tc>
      </w:tr>
      <w:tr>
        <w:tc>
          <w:tcPr>
            <w:tcW w:type="dxa" w:w="2835"/>
          </w:tcPr>
          <w:p>
            <w:pPr>
              <w:spacing w:lineRule="exact" w:line="600"/>
              <w:jc w:val="center"/>
            </w:pPr>
            <w:r/>
            <w:r>
              <w:rPr>
                <w:rFonts w:ascii="仿宋_GB2312" w:hAnsi="仿宋_GB2312" w:eastAsia="仿宋_GB2312"/>
                <w:b w:val="0"/>
                <w:color w:val="000000"/>
                <w:sz w:val="32"/>
              </w:rPr>
              <w:t>齐翔腾达甲乙酮产能</w:t>
            </w:r>
          </w:p>
        </w:tc>
        <w:tc>
          <w:tcPr>
            <w:tcW w:type="dxa" w:w="2835"/>
          </w:tcPr>
          <w:p>
            <w:pPr>
              <w:spacing w:lineRule="exact" w:line="600"/>
              <w:jc w:val="center"/>
            </w:pPr>
            <w:r/>
            <w:r>
              <w:rPr>
                <w:rFonts w:ascii="仿宋_GB2312" w:hAnsi="仿宋_GB2312" w:eastAsia="仿宋_GB2312"/>
                <w:b w:val="0"/>
                <w:color w:val="000000"/>
                <w:sz w:val="32"/>
              </w:rPr>
              <w:t>26万吨/年（国内70%）</w:t>
            </w:r>
          </w:p>
        </w:tc>
        <w:tc>
          <w:tcPr>
            <w:tcW w:type="dxa" w:w="3118"/>
          </w:tcPr>
          <w:p>
            <w:pPr>
              <w:spacing w:lineRule="exact" w:line="600"/>
              <w:jc w:val="center"/>
            </w:pPr>
            <w:r/>
            <w:r>
              <w:rPr>
                <w:rFonts w:ascii="仿宋_GB2312" w:hAnsi="仿宋_GB2312" w:eastAsia="仿宋_GB2312"/>
                <w:b w:val="0"/>
                <w:color w:val="000000"/>
                <w:sz w:val="32"/>
              </w:rPr>
              <w:t>2023年报</w:t>
            </w:r>
          </w:p>
        </w:tc>
      </w:tr>
      <w:tr>
        <w:tc>
          <w:tcPr>
            <w:tcW w:type="dxa" w:w="2835"/>
          </w:tcPr>
          <w:p>
            <w:pPr>
              <w:spacing w:lineRule="exact" w:line="600"/>
              <w:jc w:val="center"/>
            </w:pPr>
            <w:r/>
            <w:r>
              <w:rPr>
                <w:rFonts w:ascii="仿宋_GB2312" w:hAnsi="仿宋_GB2312" w:eastAsia="仿宋_GB2312"/>
                <w:b w:val="0"/>
                <w:color w:val="000000"/>
                <w:sz w:val="32"/>
              </w:rPr>
              <w:t>齐翔腾达顺酐产能</w:t>
            </w:r>
          </w:p>
        </w:tc>
        <w:tc>
          <w:tcPr>
            <w:tcW w:type="dxa" w:w="2835"/>
          </w:tcPr>
          <w:p>
            <w:pPr>
              <w:spacing w:lineRule="exact" w:line="600"/>
              <w:jc w:val="center"/>
            </w:pPr>
            <w:r/>
            <w:r>
              <w:rPr>
                <w:rFonts w:ascii="仿宋_GB2312" w:hAnsi="仿宋_GB2312" w:eastAsia="仿宋_GB2312"/>
                <w:b w:val="0"/>
                <w:color w:val="000000"/>
                <w:sz w:val="32"/>
              </w:rPr>
              <w:t>40万吨/年（全球最大）</w:t>
            </w:r>
          </w:p>
        </w:tc>
        <w:tc>
          <w:tcPr>
            <w:tcW w:type="dxa" w:w="3118"/>
          </w:tcPr>
          <w:p>
            <w:pPr>
              <w:spacing w:lineRule="exact" w:line="600"/>
              <w:jc w:val="center"/>
            </w:pPr>
            <w:r/>
            <w:r>
              <w:rPr>
                <w:rFonts w:ascii="仿宋_GB2312" w:hAnsi="仿宋_GB2312" w:eastAsia="仿宋_GB2312"/>
                <w:b w:val="0"/>
                <w:color w:val="000000"/>
                <w:sz w:val="32"/>
              </w:rPr>
              <w:t>2023年报</w:t>
            </w:r>
          </w:p>
        </w:tc>
      </w:tr>
      <w:tr>
        <w:tc>
          <w:tcPr>
            <w:tcW w:type="dxa" w:w="2835"/>
          </w:tcPr>
          <w:p>
            <w:pPr>
              <w:spacing w:lineRule="exact" w:line="600"/>
              <w:jc w:val="center"/>
            </w:pPr>
            <w:r/>
            <w:r>
              <w:rPr>
                <w:rFonts w:ascii="仿宋_GB2312" w:hAnsi="仿宋_GB2312" w:eastAsia="仿宋_GB2312"/>
                <w:b w:val="0"/>
                <w:color w:val="000000"/>
                <w:sz w:val="32"/>
              </w:rPr>
              <w:t>天辰齐翔己二腈总产能</w:t>
            </w:r>
          </w:p>
        </w:tc>
        <w:tc>
          <w:tcPr>
            <w:tcW w:type="dxa" w:w="2835"/>
          </w:tcPr>
          <w:p>
            <w:pPr>
              <w:spacing w:lineRule="exact" w:line="600"/>
              <w:jc w:val="center"/>
            </w:pPr>
            <w:r/>
            <w:r>
              <w:rPr>
                <w:rFonts w:ascii="仿宋_GB2312" w:hAnsi="仿宋_GB2312" w:eastAsia="仿宋_GB2312"/>
                <w:b w:val="0"/>
                <w:color w:val="000000"/>
                <w:sz w:val="32"/>
              </w:rPr>
              <w:t>40万吨/年</w:t>
            </w:r>
          </w:p>
        </w:tc>
        <w:tc>
          <w:tcPr>
            <w:tcW w:type="dxa" w:w="3118"/>
          </w:tcPr>
          <w:p>
            <w:pPr>
              <w:spacing w:lineRule="exact" w:line="600"/>
              <w:jc w:val="center"/>
            </w:pPr>
            <w:r/>
            <w:r>
              <w:rPr>
                <w:rFonts w:ascii="仿宋_GB2312" w:hAnsi="仿宋_GB2312" w:eastAsia="仿宋_GB2312"/>
                <w:b w:val="0"/>
                <w:color w:val="000000"/>
                <w:sz w:val="32"/>
              </w:rPr>
              <w:t>2026.5</w:t>
            </w:r>
          </w:p>
        </w:tc>
      </w:tr>
      <w:tr>
        <w:tc>
          <w:tcPr>
            <w:tcW w:type="dxa" w:w="2835"/>
          </w:tcPr>
          <w:p>
            <w:pPr>
              <w:spacing w:lineRule="exact" w:line="600"/>
              <w:jc w:val="center"/>
            </w:pPr>
            <w:r/>
            <w:r>
              <w:rPr>
                <w:rFonts w:ascii="仿宋_GB2312" w:hAnsi="仿宋_GB2312" w:eastAsia="仿宋_GB2312"/>
                <w:b w:val="0"/>
                <w:color w:val="000000"/>
                <w:sz w:val="32"/>
              </w:rPr>
              <w:t>临淄经开区规上产值</w:t>
            </w:r>
          </w:p>
        </w:tc>
        <w:tc>
          <w:tcPr>
            <w:tcW w:type="dxa" w:w="2835"/>
          </w:tcPr>
          <w:p>
            <w:pPr>
              <w:spacing w:lineRule="exact" w:line="600"/>
              <w:jc w:val="center"/>
            </w:pPr>
            <w:r/>
            <w:r>
              <w:rPr>
                <w:rFonts w:ascii="仿宋_GB2312" w:hAnsi="仿宋_GB2312" w:eastAsia="仿宋_GB2312"/>
                <w:b w:val="0"/>
                <w:color w:val="000000"/>
                <w:sz w:val="32"/>
              </w:rPr>
              <w:t>683.5亿元</w:t>
            </w:r>
          </w:p>
        </w:tc>
        <w:tc>
          <w:tcPr>
            <w:tcW w:type="dxa" w:w="3118"/>
          </w:tcPr>
          <w:p>
            <w:pPr>
              <w:spacing w:lineRule="exact" w:line="600"/>
              <w:jc w:val="center"/>
            </w:pPr>
            <w:r/>
            <w:r>
              <w:rPr>
                <w:rFonts w:ascii="仿宋_GB2312" w:hAnsi="仿宋_GB2312" w:eastAsia="仿宋_GB2312"/>
                <w:b w:val="0"/>
                <w:color w:val="000000"/>
                <w:sz w:val="32"/>
              </w:rPr>
              <w:t>2024</w:t>
            </w:r>
          </w:p>
        </w:tc>
      </w:tr>
      <w:tr>
        <w:tc>
          <w:tcPr>
            <w:tcW w:type="dxa" w:w="2835"/>
          </w:tcPr>
          <w:p>
            <w:pPr>
              <w:spacing w:lineRule="exact" w:line="600"/>
              <w:jc w:val="center"/>
            </w:pPr>
            <w:r/>
            <w:r>
              <w:rPr>
                <w:rFonts w:ascii="仿宋_GB2312" w:hAnsi="仿宋_GB2312" w:eastAsia="仿宋_GB2312"/>
                <w:b w:val="0"/>
                <w:color w:val="000000"/>
                <w:sz w:val="32"/>
              </w:rPr>
              <w:t>淄博新材料营收</w:t>
            </w:r>
          </w:p>
        </w:tc>
        <w:tc>
          <w:tcPr>
            <w:tcW w:type="dxa" w:w="2835"/>
          </w:tcPr>
          <w:p>
            <w:pPr>
              <w:spacing w:lineRule="exact" w:line="600"/>
              <w:jc w:val="center"/>
            </w:pPr>
            <w:r/>
            <w:r>
              <w:rPr>
                <w:rFonts w:ascii="仿宋_GB2312" w:hAnsi="仿宋_GB2312" w:eastAsia="仿宋_GB2312"/>
                <w:b w:val="0"/>
                <w:color w:val="000000"/>
                <w:sz w:val="32"/>
              </w:rPr>
              <w:t>2456.38亿元</w:t>
            </w:r>
          </w:p>
        </w:tc>
        <w:tc>
          <w:tcPr>
            <w:tcW w:type="dxa" w:w="3118"/>
          </w:tcPr>
          <w:p>
            <w:pPr>
              <w:spacing w:lineRule="exact" w:line="600"/>
              <w:jc w:val="center"/>
            </w:pPr>
            <w:r/>
            <w:r>
              <w:rPr>
                <w:rFonts w:ascii="仿宋_GB2312" w:hAnsi="仿宋_GB2312" w:eastAsia="仿宋_GB2312"/>
                <w:b w:val="0"/>
                <w:color w:val="000000"/>
                <w:sz w:val="32"/>
              </w:rPr>
              <w:t>2023</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高端化工是山东省「十强产业」之一，也是临淄区「456」产业链群的主导产业链。临淄区按照「紧盯前沿、打造生态、沿链聚合、集群发展」理念，以齐鲁化工区、临淄经开区为产业平台推进建链延链强链。据临淄区政府园区概况（2026年4月发布），齐鲁化学工业区2024年规模以上企业累计完成主营业务收入1349.84亿元，实现税收113.96亿元，在全国化工园区高质量发展综合排名中位列第6；园区主导产业为炼化一体化、碳三碳四、聚氨酯、尼龙新材料。淄博市新材料产业作为「四强」产业之一，2023年规上工业企业780家，实现营业收入2456.38亿元，利润总额136.45亿元；截至2024年5月底营收1045.38亿元、同比增长8.1%（来源：淄博市工信局《关于发挥企业转型升级主体作用助推新材料产业高质量发展的建议办理答复》）。</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临淄区「456」产业链群明确4条化工产业链为炼化一体化、碳三碳四、尼龙新材料、聚氨酯；其中碳三碳四与尼龙新材料两大链条均指向化工新材料单体合成。据2024华东石油化工装备采购大会临淄区发布信息，全区高端化工产值达1700亿元，获评国家火炬精细化工特色产业基地；策划实施总投资1075亿元的154个重大项目，含齐鲁石化鲁油鲁炼、鑫泰石化延链提升、天辰齐翔己二腈二期3个过百亿元项目，建成达产后工业总产值将突破5000亿元。临淄周边200公里范围内石化产业年产值近2万亿元，为单体合成提供了广阔的原料与市场腹地（来源：临淄经开区管委会、同花顺财经）。</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临淄区高端化工产值</w:t>
            </w:r>
          </w:p>
        </w:tc>
        <w:tc>
          <w:tcPr>
            <w:tcW w:type="dxa" w:w="2835"/>
          </w:tcPr>
          <w:p>
            <w:pPr>
              <w:spacing w:lineRule="exact" w:line="600"/>
              <w:jc w:val="center"/>
            </w:pPr>
            <w:r/>
            <w:r>
              <w:rPr>
                <w:rFonts w:ascii="仿宋_GB2312" w:hAnsi="仿宋_GB2312" w:eastAsia="仿宋_GB2312"/>
                <w:b w:val="0"/>
                <w:color w:val="000000"/>
                <w:sz w:val="32"/>
              </w:rPr>
              <w:t>约1700亿元</w:t>
            </w:r>
          </w:p>
        </w:tc>
        <w:tc>
          <w:tcPr>
            <w:tcW w:type="dxa" w:w="2551"/>
          </w:tcPr>
          <w:p>
            <w:pPr>
              <w:spacing w:lineRule="exact" w:line="600"/>
              <w:jc w:val="center"/>
            </w:pPr>
            <w:r/>
            <w:r>
              <w:rPr>
                <w:rFonts w:ascii="仿宋_GB2312" w:hAnsi="仿宋_GB2312" w:eastAsia="仿宋_GB2312"/>
                <w:b w:val="0"/>
                <w:color w:val="000000"/>
                <w:sz w:val="32"/>
              </w:rPr>
              <w:t>临淄区（2024装备采购大会）</w:t>
            </w:r>
          </w:p>
        </w:tc>
      </w:tr>
      <w:tr>
        <w:tc>
          <w:tcPr>
            <w:tcW w:type="dxa" w:w="3118"/>
          </w:tcPr>
          <w:p>
            <w:pPr>
              <w:spacing w:lineRule="exact" w:line="600"/>
              <w:jc w:val="center"/>
            </w:pPr>
            <w:r/>
            <w:r>
              <w:rPr>
                <w:rFonts w:ascii="仿宋_GB2312" w:hAnsi="仿宋_GB2312" w:eastAsia="仿宋_GB2312"/>
                <w:b w:val="0"/>
                <w:color w:val="000000"/>
                <w:sz w:val="32"/>
              </w:rPr>
              <w:t>临淄区石化产业产值</w:t>
            </w:r>
          </w:p>
        </w:tc>
        <w:tc>
          <w:tcPr>
            <w:tcW w:type="dxa" w:w="2835"/>
          </w:tcPr>
          <w:p>
            <w:pPr>
              <w:spacing w:lineRule="exact" w:line="600"/>
              <w:jc w:val="center"/>
            </w:pPr>
            <w:r/>
            <w:r>
              <w:rPr>
                <w:rFonts w:ascii="仿宋_GB2312" w:hAnsi="仿宋_GB2312" w:eastAsia="仿宋_GB2312"/>
                <w:b w:val="0"/>
                <w:color w:val="000000"/>
                <w:sz w:val="32"/>
              </w:rPr>
              <w:t>近2000亿元</w:t>
            </w:r>
          </w:p>
        </w:tc>
        <w:tc>
          <w:tcPr>
            <w:tcW w:type="dxa" w:w="2551"/>
          </w:tcPr>
          <w:p>
            <w:pPr>
              <w:spacing w:lineRule="exact" w:line="600"/>
              <w:jc w:val="center"/>
            </w:pPr>
            <w:r/>
            <w:r>
              <w:rPr>
                <w:rFonts w:ascii="仿宋_GB2312" w:hAnsi="仿宋_GB2312" w:eastAsia="仿宋_GB2312"/>
                <w:b w:val="0"/>
                <w:color w:val="000000"/>
                <w:sz w:val="32"/>
              </w:rPr>
              <w:t>临淄经开区（2025）</w:t>
            </w:r>
          </w:p>
        </w:tc>
      </w:tr>
      <w:tr>
        <w:tc>
          <w:tcPr>
            <w:tcW w:type="dxa" w:w="3118"/>
          </w:tcPr>
          <w:p>
            <w:pPr>
              <w:spacing w:lineRule="exact" w:line="600"/>
              <w:jc w:val="center"/>
            </w:pPr>
            <w:r/>
            <w:r>
              <w:rPr>
                <w:rFonts w:ascii="仿宋_GB2312" w:hAnsi="仿宋_GB2312" w:eastAsia="仿宋_GB2312"/>
                <w:b w:val="0"/>
                <w:color w:val="000000"/>
                <w:sz w:val="32"/>
              </w:rPr>
              <w:t>齐鲁化工区规上主营收入</w:t>
            </w:r>
          </w:p>
        </w:tc>
        <w:tc>
          <w:tcPr>
            <w:tcW w:type="dxa" w:w="2835"/>
          </w:tcPr>
          <w:p>
            <w:pPr>
              <w:spacing w:lineRule="exact" w:line="600"/>
              <w:jc w:val="center"/>
            </w:pPr>
            <w:r/>
            <w:r>
              <w:rPr>
                <w:rFonts w:ascii="仿宋_GB2312" w:hAnsi="仿宋_GB2312" w:eastAsia="仿宋_GB2312"/>
                <w:b w:val="0"/>
                <w:color w:val="000000"/>
                <w:sz w:val="32"/>
              </w:rPr>
              <w:t>1349.84亿元</w:t>
            </w:r>
          </w:p>
        </w:tc>
        <w:tc>
          <w:tcPr>
            <w:tcW w:type="dxa" w:w="2551"/>
          </w:tcPr>
          <w:p>
            <w:pPr>
              <w:spacing w:lineRule="exact" w:line="600"/>
              <w:jc w:val="center"/>
            </w:pPr>
            <w:r/>
            <w:r>
              <w:rPr>
                <w:rFonts w:ascii="仿宋_GB2312" w:hAnsi="仿宋_GB2312" w:eastAsia="仿宋_GB2312"/>
                <w:b w:val="0"/>
                <w:color w:val="000000"/>
                <w:sz w:val="32"/>
              </w:rPr>
              <w:t>临淄区政府园区概况（2024）</w:t>
            </w:r>
          </w:p>
        </w:tc>
      </w:tr>
      <w:tr>
        <w:tc>
          <w:tcPr>
            <w:tcW w:type="dxa" w:w="3118"/>
          </w:tcPr>
          <w:p>
            <w:pPr>
              <w:spacing w:lineRule="exact" w:line="600"/>
              <w:jc w:val="center"/>
            </w:pPr>
            <w:r/>
            <w:r>
              <w:rPr>
                <w:rFonts w:ascii="仿宋_GB2312" w:hAnsi="仿宋_GB2312" w:eastAsia="仿宋_GB2312"/>
                <w:b w:val="0"/>
                <w:color w:val="000000"/>
                <w:sz w:val="32"/>
              </w:rPr>
              <w:t>淄博市新材料营收</w:t>
            </w:r>
          </w:p>
        </w:tc>
        <w:tc>
          <w:tcPr>
            <w:tcW w:type="dxa" w:w="2835"/>
          </w:tcPr>
          <w:p>
            <w:pPr>
              <w:spacing w:lineRule="exact" w:line="600"/>
              <w:jc w:val="center"/>
            </w:pPr>
            <w:r/>
            <w:r>
              <w:rPr>
                <w:rFonts w:ascii="仿宋_GB2312" w:hAnsi="仿宋_GB2312" w:eastAsia="仿宋_GB2312"/>
                <w:b w:val="0"/>
                <w:color w:val="000000"/>
                <w:sz w:val="32"/>
              </w:rPr>
              <w:t>2456.38亿元</w:t>
            </w:r>
          </w:p>
        </w:tc>
        <w:tc>
          <w:tcPr>
            <w:tcW w:type="dxa" w:w="2551"/>
          </w:tcPr>
          <w:p>
            <w:pPr>
              <w:spacing w:lineRule="exact" w:line="600"/>
              <w:jc w:val="center"/>
            </w:pPr>
            <w:r/>
            <w:r>
              <w:rPr>
                <w:rFonts w:ascii="仿宋_GB2312" w:hAnsi="仿宋_GB2312" w:eastAsia="仿宋_GB2312"/>
                <w:b w:val="0"/>
                <w:color w:val="000000"/>
                <w:sz w:val="32"/>
              </w:rPr>
              <w:t>淄博市工信局（2023）</w:t>
            </w:r>
          </w:p>
        </w:tc>
      </w:tr>
      <w:tr>
        <w:tc>
          <w:tcPr>
            <w:tcW w:type="dxa" w:w="3118"/>
          </w:tcPr>
          <w:p>
            <w:pPr>
              <w:spacing w:lineRule="exact" w:line="600"/>
              <w:jc w:val="center"/>
            </w:pPr>
            <w:r/>
            <w:r>
              <w:rPr>
                <w:rFonts w:ascii="仿宋_GB2312" w:hAnsi="仿宋_GB2312" w:eastAsia="仿宋_GB2312"/>
                <w:b w:val="0"/>
                <w:color w:val="000000"/>
                <w:sz w:val="32"/>
              </w:rPr>
              <w:t>化工新材料重大项目投资</w:t>
            </w:r>
          </w:p>
        </w:tc>
        <w:tc>
          <w:tcPr>
            <w:tcW w:type="dxa" w:w="2835"/>
          </w:tcPr>
          <w:p>
            <w:pPr>
              <w:spacing w:lineRule="exact" w:line="600"/>
              <w:jc w:val="center"/>
            </w:pPr>
            <w:r/>
            <w:r>
              <w:rPr>
                <w:rFonts w:ascii="仿宋_GB2312" w:hAnsi="仿宋_GB2312" w:eastAsia="仿宋_GB2312"/>
                <w:b w:val="0"/>
                <w:color w:val="000000"/>
                <w:sz w:val="32"/>
              </w:rPr>
              <w:t>1075亿元/154个</w:t>
            </w:r>
          </w:p>
        </w:tc>
        <w:tc>
          <w:tcPr>
            <w:tcW w:type="dxa" w:w="2551"/>
          </w:tcPr>
          <w:p>
            <w:pPr>
              <w:spacing w:lineRule="exact" w:line="600"/>
              <w:jc w:val="center"/>
            </w:pPr>
            <w:r/>
            <w:r>
              <w:rPr>
                <w:rFonts w:ascii="仿宋_GB2312" w:hAnsi="仿宋_GB2312" w:eastAsia="仿宋_GB2312"/>
                <w:b w:val="0"/>
                <w:color w:val="000000"/>
                <w:sz w:val="32"/>
              </w:rPr>
              <w:t>临淄区（2024）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（一）碳三碳四单体合成链条</w:t>
      </w:r>
    </w:p>
    <w:p>
      <w:pPr>
        <w:spacing w:lineRule="exact" w:line="600" w:before="0" w:after="0"/>
        <w:ind w:firstLine="420"/>
        <w:jc w:val="both"/>
      </w:pPr>
      <w:r>
        <w:rPr>
          <w:rFonts w:ascii="仿宋_GB2312" w:hAnsi="仿宋_GB2312" w:eastAsia="仿宋_GB2312"/>
          <w:b w:val="0"/>
          <w:color w:val="000000"/>
          <w:sz w:val="32"/>
        </w:rPr>
        <w:t>碳三碳四深加工是临淄单体合成的基石。齐翔腾达（002408）专注碳四组分综合利用，形成甲乙酮、丁二烯、顺酐、异辛烷、MTBE、MMA等产品线；碳三产业链按丙烷—丙烯—环氧丙烷布局，70万吨/年丙烷脱氢、30万吨/年环氧丙烷、8万吨/年丙烯酸及6万吨/年丙烯酸丁酯项目已全面建成投产。据公司年报，甲乙酮装置设计产能26万吨/年，为国内乃至世界产能最大；顺酐装置设计产能40万吨/年，为全球最大顺酐生产企业，正丁烷氧化法工艺较传统苯氧化法更具成本与环保优势。</w:t>
      </w:r>
    </w:p>
    <w:p>
      <w:pPr>
        <w:spacing w:lineRule="exact" w:line="600" w:before="120" w:after="120"/>
        <w:ind w:firstLine="420"/>
        <w:jc w:val="left"/>
      </w:pPr>
      <w:r>
        <w:rPr>
          <w:rFonts w:ascii="楷体_GB2312" w:hAnsi="楷体_GB2312" w:eastAsia="楷体_GB2312"/>
          <w:b w:val="0"/>
          <w:color w:val="000000"/>
          <w:sz w:val="32"/>
        </w:rPr>
        <w:t>（二）己二腈—尼龙66高端单体链条</w:t>
      </w:r>
    </w:p>
    <w:p>
      <w:pPr>
        <w:spacing w:lineRule="exact" w:line="600" w:before="0" w:after="0"/>
        <w:ind w:firstLine="420"/>
        <w:jc w:val="both"/>
      </w:pPr>
      <w:r>
        <w:rPr>
          <w:rFonts w:ascii="仿宋_GB2312" w:hAnsi="仿宋_GB2312" w:eastAsia="仿宋_GB2312"/>
          <w:b w:val="0"/>
          <w:color w:val="000000"/>
          <w:sz w:val="32"/>
        </w:rPr>
        <w:t>天辰齐翔（中国化学旗下）攻克丁二烯法合成己二腈技术，一期项目投资104亿元、占地1800亩，建设15万吨/年丙烯腈联产氢氰酸、20万吨/年己二腈、20万吨/年己二胺、5万吨/年尼龙66成盐及切片装置。该技术2015年9月通过中国石化联合会鉴定，2022年首台套投产打破国外垄断，填补国内空白；己二腈被称为「尼龙产业链的咽喉」，长期被国外企业配给制垄断。2026年5月底二期20万吨/年己二腈投产后，天辰齐翔总产能达40万吨/年，成为全球最大己二腈生产基地之一（来源：天辰齐翔官网、大众日报、头条新闻）。</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产业链环节</w:t>
            </w:r>
          </w:p>
        </w:tc>
        <w:tc>
          <w:tcPr>
            <w:tcW w:type="dxa" w:w="3685"/>
          </w:tcPr>
          <w:p>
            <w:pPr>
              <w:spacing w:lineRule="exact" w:line="600"/>
              <w:jc w:val="center"/>
            </w:pPr>
            <w:r/>
            <w:r>
              <w:rPr>
                <w:rFonts w:ascii="黑体" w:hAnsi="黑体" w:eastAsia="黑体"/>
                <w:b/>
                <w:color w:val="000000"/>
                <w:sz w:val="32"/>
              </w:rPr>
              <w:t>代表产品/产能</w:t>
            </w:r>
          </w:p>
        </w:tc>
        <w:tc>
          <w:tcPr>
            <w:tcW w:type="dxa" w:w="2268"/>
          </w:tcPr>
          <w:p>
            <w:pPr>
              <w:spacing w:lineRule="exact" w:line="600"/>
              <w:jc w:val="center"/>
            </w:pPr>
            <w:r/>
            <w:r>
              <w:rPr>
                <w:rFonts w:ascii="黑体" w:hAnsi="黑体" w:eastAsia="黑体"/>
                <w:b/>
                <w:color w:val="000000"/>
                <w:sz w:val="32"/>
              </w:rPr>
              <w:t>龙头企业</w:t>
            </w:r>
          </w:p>
        </w:tc>
      </w:tr>
      <w:tr>
        <w:tc>
          <w:tcPr>
            <w:tcW w:type="dxa" w:w="2551"/>
          </w:tcPr>
          <w:p>
            <w:pPr>
              <w:spacing w:lineRule="exact" w:line="600"/>
              <w:jc w:val="center"/>
            </w:pPr>
            <w:r/>
            <w:r>
              <w:rPr>
                <w:rFonts w:ascii="仿宋_GB2312" w:hAnsi="仿宋_GB2312" w:eastAsia="仿宋_GB2312"/>
                <w:b w:val="0"/>
                <w:color w:val="000000"/>
                <w:sz w:val="32"/>
              </w:rPr>
              <w:t>碳四单体</w:t>
            </w:r>
          </w:p>
        </w:tc>
        <w:tc>
          <w:tcPr>
            <w:tcW w:type="dxa" w:w="3685"/>
          </w:tcPr>
          <w:p>
            <w:pPr>
              <w:spacing w:lineRule="exact" w:line="600"/>
              <w:jc w:val="center"/>
            </w:pPr>
            <w:r/>
            <w:r>
              <w:rPr>
                <w:rFonts w:ascii="仿宋_GB2312" w:hAnsi="仿宋_GB2312" w:eastAsia="仿宋_GB2312"/>
                <w:b w:val="0"/>
                <w:color w:val="000000"/>
                <w:sz w:val="32"/>
              </w:rPr>
              <w:t>甲乙酮26万吨/年、顺酐40万吨/年</w:t>
            </w:r>
          </w:p>
        </w:tc>
        <w:tc>
          <w:tcPr>
            <w:tcW w:type="dxa" w:w="2268"/>
          </w:tcPr>
          <w:p>
            <w:pPr>
              <w:spacing w:lineRule="exact" w:line="600"/>
              <w:jc w:val="center"/>
            </w:pPr>
            <w:r/>
            <w:r>
              <w:rPr>
                <w:rFonts w:ascii="仿宋_GB2312" w:hAnsi="仿宋_GB2312" w:eastAsia="仿宋_GB2312"/>
                <w:b w:val="0"/>
                <w:color w:val="000000"/>
                <w:sz w:val="32"/>
              </w:rPr>
              <w:t>齐翔腾达</w:t>
            </w:r>
          </w:p>
        </w:tc>
      </w:tr>
      <w:tr>
        <w:tc>
          <w:tcPr>
            <w:tcW w:type="dxa" w:w="2551"/>
          </w:tcPr>
          <w:p>
            <w:pPr>
              <w:spacing w:lineRule="exact" w:line="600"/>
              <w:jc w:val="center"/>
            </w:pPr>
            <w:r/>
            <w:r>
              <w:rPr>
                <w:rFonts w:ascii="仿宋_GB2312" w:hAnsi="仿宋_GB2312" w:eastAsia="仿宋_GB2312"/>
                <w:b w:val="0"/>
                <w:color w:val="000000"/>
                <w:sz w:val="32"/>
              </w:rPr>
              <w:t>碳三单体</w:t>
            </w:r>
          </w:p>
        </w:tc>
        <w:tc>
          <w:tcPr>
            <w:tcW w:type="dxa" w:w="3685"/>
          </w:tcPr>
          <w:p>
            <w:pPr>
              <w:spacing w:lineRule="exact" w:line="600"/>
              <w:jc w:val="center"/>
            </w:pPr>
            <w:r/>
            <w:r>
              <w:rPr>
                <w:rFonts w:ascii="仿宋_GB2312" w:hAnsi="仿宋_GB2312" w:eastAsia="仿宋_GB2312"/>
                <w:b w:val="0"/>
                <w:color w:val="000000"/>
                <w:sz w:val="32"/>
              </w:rPr>
              <w:t>环氧丙烷30万吨/年、丙烯酸8万吨/年</w:t>
            </w:r>
          </w:p>
        </w:tc>
        <w:tc>
          <w:tcPr>
            <w:tcW w:type="dxa" w:w="2268"/>
          </w:tcPr>
          <w:p>
            <w:pPr>
              <w:spacing w:lineRule="exact" w:line="600"/>
              <w:jc w:val="center"/>
            </w:pPr>
            <w:r/>
            <w:r>
              <w:rPr>
                <w:rFonts w:ascii="仿宋_GB2312" w:hAnsi="仿宋_GB2312" w:eastAsia="仿宋_GB2312"/>
                <w:b w:val="0"/>
                <w:color w:val="000000"/>
                <w:sz w:val="32"/>
              </w:rPr>
              <w:t>齐翔腾达</w:t>
            </w:r>
          </w:p>
        </w:tc>
      </w:tr>
      <w:tr>
        <w:tc>
          <w:tcPr>
            <w:tcW w:type="dxa" w:w="2551"/>
          </w:tcPr>
          <w:p>
            <w:pPr>
              <w:spacing w:lineRule="exact" w:line="600"/>
              <w:jc w:val="center"/>
            </w:pPr>
            <w:r/>
            <w:r>
              <w:rPr>
                <w:rFonts w:ascii="仿宋_GB2312" w:hAnsi="仿宋_GB2312" w:eastAsia="仿宋_GB2312"/>
                <w:b w:val="0"/>
                <w:color w:val="000000"/>
                <w:sz w:val="32"/>
              </w:rPr>
              <w:t>尼龙关键单体</w:t>
            </w:r>
          </w:p>
        </w:tc>
        <w:tc>
          <w:tcPr>
            <w:tcW w:type="dxa" w:w="3685"/>
          </w:tcPr>
          <w:p>
            <w:pPr>
              <w:spacing w:lineRule="exact" w:line="600"/>
              <w:jc w:val="center"/>
            </w:pPr>
            <w:r/>
            <w:r>
              <w:rPr>
                <w:rFonts w:ascii="仿宋_GB2312" w:hAnsi="仿宋_GB2312" w:eastAsia="仿宋_GB2312"/>
                <w:b w:val="0"/>
                <w:color w:val="000000"/>
                <w:sz w:val="32"/>
              </w:rPr>
              <w:t>己二腈40万吨/年（一期满产+二期）</w:t>
            </w:r>
          </w:p>
        </w:tc>
        <w:tc>
          <w:tcPr>
            <w:tcW w:type="dxa" w:w="2268"/>
          </w:tcPr>
          <w:p>
            <w:pPr>
              <w:spacing w:lineRule="exact" w:line="600"/>
              <w:jc w:val="center"/>
            </w:pPr>
            <w:r/>
            <w:r>
              <w:rPr>
                <w:rFonts w:ascii="仿宋_GB2312" w:hAnsi="仿宋_GB2312" w:eastAsia="仿宋_GB2312"/>
                <w:b w:val="0"/>
                <w:color w:val="000000"/>
                <w:sz w:val="32"/>
              </w:rPr>
              <w:t>天辰齐翔</w:t>
            </w:r>
          </w:p>
        </w:tc>
      </w:tr>
      <w:tr>
        <w:tc>
          <w:tcPr>
            <w:tcW w:type="dxa" w:w="2551"/>
          </w:tcPr>
          <w:p>
            <w:pPr>
              <w:spacing w:lineRule="exact" w:line="600"/>
              <w:jc w:val="center"/>
            </w:pPr>
            <w:r/>
            <w:r>
              <w:rPr>
                <w:rFonts w:ascii="仿宋_GB2312" w:hAnsi="仿宋_GB2312" w:eastAsia="仿宋_GB2312"/>
                <w:b w:val="0"/>
                <w:color w:val="000000"/>
                <w:sz w:val="32"/>
              </w:rPr>
              <w:t>丙烯腈</w:t>
            </w:r>
          </w:p>
        </w:tc>
        <w:tc>
          <w:tcPr>
            <w:tcW w:type="dxa" w:w="3685"/>
          </w:tcPr>
          <w:p>
            <w:pPr>
              <w:spacing w:lineRule="exact" w:line="600"/>
              <w:jc w:val="center"/>
            </w:pPr>
            <w:r/>
            <w:r>
              <w:rPr>
                <w:rFonts w:ascii="仿宋_GB2312" w:hAnsi="仿宋_GB2312" w:eastAsia="仿宋_GB2312"/>
                <w:b w:val="0"/>
                <w:color w:val="000000"/>
                <w:sz w:val="32"/>
              </w:rPr>
              <w:t>15万吨/年（联产氢氰酸）</w:t>
            </w:r>
          </w:p>
        </w:tc>
        <w:tc>
          <w:tcPr>
            <w:tcW w:type="dxa" w:w="2268"/>
          </w:tcPr>
          <w:p>
            <w:pPr>
              <w:spacing w:lineRule="exact" w:line="600"/>
              <w:jc w:val="center"/>
            </w:pPr>
            <w:r/>
            <w:r>
              <w:rPr>
                <w:rFonts w:ascii="仿宋_GB2312" w:hAnsi="仿宋_GB2312" w:eastAsia="仿宋_GB2312"/>
                <w:b w:val="0"/>
                <w:color w:val="000000"/>
                <w:sz w:val="32"/>
              </w:rPr>
              <w:t>天辰齐翔</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（一）甲乙酮、顺酐国内领先地位</w:t>
      </w:r>
    </w:p>
    <w:p>
      <w:pPr>
        <w:spacing w:lineRule="exact" w:line="600" w:before="0" w:after="0"/>
        <w:ind w:firstLine="420"/>
        <w:jc w:val="both"/>
      </w:pPr>
      <w:r>
        <w:rPr>
          <w:rFonts w:ascii="仿宋_GB2312" w:hAnsi="仿宋_GB2312" w:eastAsia="仿宋_GB2312"/>
          <w:b w:val="0"/>
          <w:color w:val="000000"/>
          <w:sz w:val="32"/>
        </w:rPr>
        <w:t>据齐翔腾达年报，公司甲乙酮国内产销份额占比约70%，顺酐国内产销份额占比35%以上，在高度集中的细分市场具备较强议价与成本转嫁能力。2023年顺酐化工类收入128.12亿元（同比增长13.91%），占营收47.59%；甲乙酮类收入26.48亿元。行业供给端集中度提升，正丁烷氧化法逐步替代传统苯氧化法，公司作为全球最大顺酐生产商持续受益成本曲线优势。</w:t>
      </w:r>
    </w:p>
    <w:p>
      <w:pPr>
        <w:spacing w:lineRule="exact" w:line="600" w:before="120" w:after="120"/>
        <w:ind w:firstLine="420"/>
        <w:jc w:val="left"/>
      </w:pPr>
      <w:r>
        <w:rPr>
          <w:rFonts w:ascii="楷体_GB2312" w:hAnsi="楷体_GB2312" w:eastAsia="楷体_GB2312"/>
          <w:b w:val="0"/>
          <w:color w:val="000000"/>
          <w:sz w:val="32"/>
        </w:rPr>
        <w:t>（二）出口与国际市场竞争力</w:t>
      </w:r>
    </w:p>
    <w:p>
      <w:pPr>
        <w:spacing w:lineRule="exact" w:line="600" w:before="0" w:after="0"/>
        <w:ind w:firstLine="420"/>
        <w:jc w:val="both"/>
      </w:pPr>
      <w:r>
        <w:rPr>
          <w:rFonts w:ascii="仿宋_GB2312" w:hAnsi="仿宋_GB2312" w:eastAsia="仿宋_GB2312"/>
          <w:b w:val="0"/>
          <w:color w:val="000000"/>
          <w:sz w:val="32"/>
        </w:rPr>
        <w:t>齐翔腾达2023年出口总量48.4万吨，占总销量19%，出口创汇3.7亿美元，位列淄博市出口创汇第一名；出口产品涵盖甲乙酮、顺酐、MTBE、橡胶、环氧丙烷、丁腈胶乳、丙烯酸等。2024年一季度出口量13.5万吨、同比增长32.05%，出口创汇1.22亿美元，国内外均衡供应提升盈利能力。天辰齐翔己二腈纯度达99.95%、成本较进口低20%—30%，从根本上改变国内尼龙66原料供给格局（来源：齐翔腾达投关记录、天辰齐翔官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产品</w:t>
            </w:r>
          </w:p>
        </w:tc>
        <w:tc>
          <w:tcPr>
            <w:tcW w:type="dxa" w:w="3118"/>
          </w:tcPr>
          <w:p>
            <w:pPr>
              <w:spacing w:lineRule="exact" w:line="600"/>
              <w:jc w:val="center"/>
            </w:pPr>
            <w:r/>
            <w:r>
              <w:rPr>
                <w:rFonts w:ascii="黑体" w:hAnsi="黑体" w:eastAsia="黑体"/>
                <w:b/>
                <w:color w:val="000000"/>
                <w:sz w:val="32"/>
              </w:rPr>
              <w:t>产能/产量</w:t>
            </w:r>
          </w:p>
        </w:tc>
        <w:tc>
          <w:tcPr>
            <w:tcW w:type="dxa" w:w="3118"/>
          </w:tcPr>
          <w:p>
            <w:pPr>
              <w:spacing w:lineRule="exact" w:line="600"/>
              <w:jc w:val="center"/>
            </w:pPr>
            <w:r/>
            <w:r>
              <w:rPr>
                <w:rFonts w:ascii="黑体" w:hAnsi="黑体" w:eastAsia="黑体"/>
                <w:b/>
                <w:color w:val="000000"/>
                <w:sz w:val="32"/>
              </w:rPr>
              <w:t>市场地位</w:t>
            </w:r>
          </w:p>
        </w:tc>
      </w:tr>
      <w:tr>
        <w:tc>
          <w:tcPr>
            <w:tcW w:type="dxa" w:w="2268"/>
          </w:tcPr>
          <w:p>
            <w:pPr>
              <w:spacing w:lineRule="exact" w:line="600"/>
              <w:jc w:val="center"/>
            </w:pPr>
            <w:r/>
            <w:r>
              <w:rPr>
                <w:rFonts w:ascii="仿宋_GB2312" w:hAnsi="仿宋_GB2312" w:eastAsia="仿宋_GB2312"/>
                <w:b w:val="0"/>
                <w:color w:val="000000"/>
                <w:sz w:val="32"/>
              </w:rPr>
              <w:t>甲乙酮</w:t>
            </w:r>
          </w:p>
        </w:tc>
        <w:tc>
          <w:tcPr>
            <w:tcW w:type="dxa" w:w="3118"/>
          </w:tcPr>
          <w:p>
            <w:pPr>
              <w:spacing w:lineRule="exact" w:line="600"/>
              <w:jc w:val="center"/>
            </w:pPr>
            <w:r/>
            <w:r>
              <w:rPr>
                <w:rFonts w:ascii="仿宋_GB2312" w:hAnsi="仿宋_GB2312" w:eastAsia="仿宋_GB2312"/>
                <w:b w:val="0"/>
                <w:color w:val="000000"/>
                <w:sz w:val="32"/>
              </w:rPr>
              <w:t>26万吨/年</w:t>
            </w:r>
          </w:p>
        </w:tc>
        <w:tc>
          <w:tcPr>
            <w:tcW w:type="dxa" w:w="3118"/>
          </w:tcPr>
          <w:p>
            <w:pPr>
              <w:spacing w:lineRule="exact" w:line="600"/>
              <w:jc w:val="center"/>
            </w:pPr>
            <w:r/>
            <w:r>
              <w:rPr>
                <w:rFonts w:ascii="仿宋_GB2312" w:hAnsi="仿宋_GB2312" w:eastAsia="仿宋_GB2312"/>
                <w:b w:val="0"/>
                <w:color w:val="000000"/>
                <w:sz w:val="32"/>
              </w:rPr>
              <w:t>国内份额约70%</w:t>
            </w:r>
          </w:p>
        </w:tc>
      </w:tr>
      <w:tr>
        <w:tc>
          <w:tcPr>
            <w:tcW w:type="dxa" w:w="2268"/>
          </w:tcPr>
          <w:p>
            <w:pPr>
              <w:spacing w:lineRule="exact" w:line="600"/>
              <w:jc w:val="center"/>
            </w:pPr>
            <w:r/>
            <w:r>
              <w:rPr>
                <w:rFonts w:ascii="仿宋_GB2312" w:hAnsi="仿宋_GB2312" w:eastAsia="仿宋_GB2312"/>
                <w:b w:val="0"/>
                <w:color w:val="000000"/>
                <w:sz w:val="32"/>
              </w:rPr>
              <w:t>顺酐</w:t>
            </w:r>
          </w:p>
        </w:tc>
        <w:tc>
          <w:tcPr>
            <w:tcW w:type="dxa" w:w="3118"/>
          </w:tcPr>
          <w:p>
            <w:pPr>
              <w:spacing w:lineRule="exact" w:line="600"/>
              <w:jc w:val="center"/>
            </w:pPr>
            <w:r/>
            <w:r>
              <w:rPr>
                <w:rFonts w:ascii="仿宋_GB2312" w:hAnsi="仿宋_GB2312" w:eastAsia="仿宋_GB2312"/>
                <w:b w:val="0"/>
                <w:color w:val="000000"/>
                <w:sz w:val="32"/>
              </w:rPr>
              <w:t>40万吨/年</w:t>
            </w:r>
          </w:p>
        </w:tc>
        <w:tc>
          <w:tcPr>
            <w:tcW w:type="dxa" w:w="3118"/>
          </w:tcPr>
          <w:p>
            <w:pPr>
              <w:spacing w:lineRule="exact" w:line="600"/>
              <w:jc w:val="center"/>
            </w:pPr>
            <w:r/>
            <w:r>
              <w:rPr>
                <w:rFonts w:ascii="仿宋_GB2312" w:hAnsi="仿宋_GB2312" w:eastAsia="仿宋_GB2312"/>
                <w:b w:val="0"/>
                <w:color w:val="000000"/>
                <w:sz w:val="32"/>
              </w:rPr>
              <w:t>全球最大、国内份额35%+</w:t>
            </w:r>
          </w:p>
        </w:tc>
      </w:tr>
      <w:tr>
        <w:tc>
          <w:tcPr>
            <w:tcW w:type="dxa" w:w="2268"/>
          </w:tcPr>
          <w:p>
            <w:pPr>
              <w:spacing w:lineRule="exact" w:line="600"/>
              <w:jc w:val="center"/>
            </w:pPr>
            <w:r/>
            <w:r>
              <w:rPr>
                <w:rFonts w:ascii="仿宋_GB2312" w:hAnsi="仿宋_GB2312" w:eastAsia="仿宋_GB2312"/>
                <w:b w:val="0"/>
                <w:color w:val="000000"/>
                <w:sz w:val="32"/>
              </w:rPr>
              <w:t>己二腈</w:t>
            </w:r>
          </w:p>
        </w:tc>
        <w:tc>
          <w:tcPr>
            <w:tcW w:type="dxa" w:w="3118"/>
          </w:tcPr>
          <w:p>
            <w:pPr>
              <w:spacing w:lineRule="exact" w:line="600"/>
              <w:jc w:val="center"/>
            </w:pPr>
            <w:r/>
            <w:r>
              <w:rPr>
                <w:rFonts w:ascii="仿宋_GB2312" w:hAnsi="仿宋_GB2312" w:eastAsia="仿宋_GB2312"/>
                <w:b w:val="0"/>
                <w:color w:val="000000"/>
                <w:sz w:val="32"/>
              </w:rPr>
              <w:t>40万吨/年（2026）</w:t>
            </w:r>
          </w:p>
        </w:tc>
        <w:tc>
          <w:tcPr>
            <w:tcW w:type="dxa" w:w="3118"/>
          </w:tcPr>
          <w:p>
            <w:pPr>
              <w:spacing w:lineRule="exact" w:line="600"/>
              <w:jc w:val="center"/>
            </w:pPr>
            <w:r/>
            <w:r>
              <w:rPr>
                <w:rFonts w:ascii="仿宋_GB2312" w:hAnsi="仿宋_GB2312" w:eastAsia="仿宋_GB2312"/>
                <w:b w:val="0"/>
                <w:color w:val="000000"/>
                <w:sz w:val="32"/>
              </w:rPr>
              <w:t>全球最大基地之一</w:t>
            </w:r>
          </w:p>
        </w:tc>
      </w:tr>
      <w:tr>
        <w:tc>
          <w:tcPr>
            <w:tcW w:type="dxa" w:w="2268"/>
          </w:tcPr>
          <w:p>
            <w:pPr>
              <w:spacing w:lineRule="exact" w:line="600"/>
              <w:jc w:val="center"/>
            </w:pPr>
            <w:r/>
            <w:r>
              <w:rPr>
                <w:rFonts w:ascii="仿宋_GB2312" w:hAnsi="仿宋_GB2312" w:eastAsia="仿宋_GB2312"/>
                <w:b w:val="0"/>
                <w:color w:val="000000"/>
                <w:sz w:val="32"/>
              </w:rPr>
              <w:t>2023年出口量</w:t>
            </w:r>
          </w:p>
        </w:tc>
        <w:tc>
          <w:tcPr>
            <w:tcW w:type="dxa" w:w="3118"/>
          </w:tcPr>
          <w:p>
            <w:pPr>
              <w:spacing w:lineRule="exact" w:line="600"/>
              <w:jc w:val="center"/>
            </w:pPr>
            <w:r/>
            <w:r>
              <w:rPr>
                <w:rFonts w:ascii="仿宋_GB2312" w:hAnsi="仿宋_GB2312" w:eastAsia="仿宋_GB2312"/>
                <w:b w:val="0"/>
                <w:color w:val="000000"/>
                <w:sz w:val="32"/>
              </w:rPr>
              <w:t>48.4万吨</w:t>
            </w:r>
          </w:p>
        </w:tc>
        <w:tc>
          <w:tcPr>
            <w:tcW w:type="dxa" w:w="3118"/>
          </w:tcPr>
          <w:p>
            <w:pPr>
              <w:spacing w:lineRule="exact" w:line="600"/>
              <w:jc w:val="center"/>
            </w:pPr>
            <w:r/>
            <w:r>
              <w:rPr>
                <w:rFonts w:ascii="仿宋_GB2312" w:hAnsi="仿宋_GB2312" w:eastAsia="仿宋_GB2312"/>
                <w:b w:val="0"/>
                <w:color w:val="000000"/>
                <w:sz w:val="32"/>
              </w:rPr>
              <w:t>淄博出口创汇第一</w:t>
            </w:r>
          </w:p>
        </w:tc>
      </w:tr>
      <w:tr>
        <w:tc>
          <w:tcPr>
            <w:tcW w:type="dxa" w:w="2268"/>
          </w:tcPr>
          <w:p>
            <w:pPr>
              <w:spacing w:lineRule="exact" w:line="600"/>
              <w:jc w:val="center"/>
            </w:pPr>
            <w:r/>
            <w:r>
              <w:rPr>
                <w:rFonts w:ascii="仿宋_GB2312" w:hAnsi="仿宋_GB2312" w:eastAsia="仿宋_GB2312"/>
                <w:b w:val="0"/>
                <w:color w:val="000000"/>
                <w:sz w:val="32"/>
              </w:rPr>
              <w:t>2024Q1出口</w:t>
            </w:r>
          </w:p>
        </w:tc>
        <w:tc>
          <w:tcPr>
            <w:tcW w:type="dxa" w:w="3118"/>
          </w:tcPr>
          <w:p>
            <w:pPr>
              <w:spacing w:lineRule="exact" w:line="600"/>
              <w:jc w:val="center"/>
            </w:pPr>
            <w:r/>
            <w:r>
              <w:rPr>
                <w:rFonts w:ascii="仿宋_GB2312" w:hAnsi="仿宋_GB2312" w:eastAsia="仿宋_GB2312"/>
                <w:b w:val="0"/>
                <w:color w:val="000000"/>
                <w:sz w:val="32"/>
              </w:rPr>
              <w:t>13.5万吨、+32.05%</w:t>
            </w:r>
          </w:p>
        </w:tc>
        <w:tc>
          <w:tcPr>
            <w:tcW w:type="dxa" w:w="3118"/>
          </w:tcPr>
          <w:p>
            <w:pPr>
              <w:spacing w:lineRule="exact" w:line="600"/>
              <w:jc w:val="center"/>
            </w:pPr>
            <w:r/>
            <w:r>
              <w:rPr>
                <w:rFonts w:ascii="仿宋_GB2312" w:hAnsi="仿宋_GB2312" w:eastAsia="仿宋_GB2312"/>
                <w:b w:val="0"/>
                <w:color w:val="000000"/>
                <w:sz w:val="32"/>
              </w:rPr>
              <w:t>出口加速</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（一）龙头企业矩阵</w:t>
      </w:r>
    </w:p>
    <w:p>
      <w:pPr>
        <w:spacing w:lineRule="exact" w:line="600" w:before="0" w:after="0"/>
        <w:ind w:firstLine="420"/>
        <w:jc w:val="both"/>
      </w:pPr>
      <w:r>
        <w:rPr>
          <w:rFonts w:ascii="仿宋_GB2312" w:hAnsi="仿宋_GB2312" w:eastAsia="仿宋_GB2312"/>
          <w:b w:val="0"/>
          <w:color w:val="000000"/>
          <w:sz w:val="32"/>
        </w:rPr>
        <w:t>临淄化工新材料单体合成环节形成「央企+省属控股+民企」梯队：天辰齐翔为中国化学旗下混合所有制企业、山东省制造业重点产业链双链主；齐翔腾达由山东能源集团新材料有限公司控股（2023年山能入主），为碳三碳四深加工龙头；二者分别在高端单体和基础单体领域引领集群。临淄经开区2024年77家规上工业企业实现总产值683.5亿元、全口径税收41.7亿元，拥有A股上市企业4家、国家级专精特新「小巨人」4家、制造业单项冠军9家（来源：临淄经开区概况）。</w:t>
      </w:r>
    </w:p>
    <w:p>
      <w:pPr>
        <w:spacing w:lineRule="exact" w:line="600" w:before="120" w:after="120"/>
        <w:ind w:firstLine="420"/>
        <w:jc w:val="left"/>
      </w:pPr>
      <w:r>
        <w:rPr>
          <w:rFonts w:ascii="楷体_GB2312" w:hAnsi="楷体_GB2312" w:eastAsia="楷体_GB2312"/>
          <w:b w:val="0"/>
          <w:color w:val="000000"/>
          <w:sz w:val="32"/>
        </w:rPr>
        <w:t>（二）配套与产业生态</w:t>
      </w:r>
    </w:p>
    <w:p>
      <w:pPr>
        <w:spacing w:lineRule="exact" w:line="600" w:before="0" w:after="0"/>
        <w:ind w:firstLine="420"/>
        <w:jc w:val="both"/>
      </w:pPr>
      <w:r>
        <w:rPr>
          <w:rFonts w:ascii="仿宋_GB2312" w:hAnsi="仿宋_GB2312" w:eastAsia="仿宋_GB2312"/>
          <w:b w:val="0"/>
          <w:color w:val="000000"/>
          <w:sz w:val="32"/>
        </w:rPr>
        <w:t>金山镇作为齐鲁化工区核心承载地，连续4年入选全国千强镇并稳居第44名，2023年实现工业总产值477亿元，5年来实施总投资697亿元的80个重点项目，培育碳三碳四、聚氨酯、尼龙、稀土四大产业链。镇内集聚齐翔腾达、天辰齐翔等链主，在建天辰己二腈二期、聚合顺尼龙新材料等41个年度重点项目，全部达产预计年新增产值500亿元（来源：淄博日报《解构「金山」之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市场主体类别</w:t>
            </w:r>
          </w:p>
        </w:tc>
        <w:tc>
          <w:tcPr>
            <w:tcW w:type="dxa" w:w="3118"/>
          </w:tcPr>
          <w:p>
            <w:pPr>
              <w:spacing w:lineRule="exact" w:line="600"/>
              <w:jc w:val="center"/>
            </w:pPr>
            <w:r/>
            <w:r>
              <w:rPr>
                <w:rFonts w:ascii="黑体" w:hAnsi="黑体" w:eastAsia="黑体"/>
                <w:b/>
                <w:color w:val="000000"/>
                <w:sz w:val="32"/>
              </w:rPr>
              <w:t>数量/规模</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临淄经开区规上工业企业</w:t>
            </w:r>
          </w:p>
        </w:tc>
        <w:tc>
          <w:tcPr>
            <w:tcW w:type="dxa" w:w="3118"/>
          </w:tcPr>
          <w:p>
            <w:pPr>
              <w:spacing w:lineRule="exact" w:line="600"/>
              <w:jc w:val="center"/>
            </w:pPr>
            <w:r/>
            <w:r>
              <w:rPr>
                <w:rFonts w:ascii="仿宋_GB2312" w:hAnsi="仿宋_GB2312" w:eastAsia="仿宋_GB2312"/>
                <w:b w:val="0"/>
                <w:color w:val="000000"/>
                <w:sz w:val="32"/>
              </w:rPr>
              <w:t>77家、产值683.5亿元</w:t>
            </w:r>
          </w:p>
        </w:tc>
        <w:tc>
          <w:tcPr>
            <w:tcW w:type="dxa" w:w="2551"/>
          </w:tcPr>
          <w:p>
            <w:pPr>
              <w:spacing w:lineRule="exact" w:line="600"/>
              <w:jc w:val="center"/>
            </w:pPr>
            <w:r/>
            <w:r>
              <w:rPr>
                <w:rFonts w:ascii="仿宋_GB2312" w:hAnsi="仿宋_GB2312" w:eastAsia="仿宋_GB2312"/>
                <w:b w:val="0"/>
                <w:color w:val="000000"/>
                <w:sz w:val="32"/>
              </w:rPr>
              <w:t>临淄经开区（2024）</w:t>
            </w:r>
          </w:p>
        </w:tc>
      </w:tr>
      <w:tr>
        <w:tc>
          <w:tcPr>
            <w:tcW w:type="dxa" w:w="2835"/>
          </w:tcPr>
          <w:p>
            <w:pPr>
              <w:spacing w:lineRule="exact" w:line="600"/>
              <w:jc w:val="center"/>
            </w:pPr>
            <w:r/>
            <w:r>
              <w:rPr>
                <w:rFonts w:ascii="仿宋_GB2312" w:hAnsi="仿宋_GB2312" w:eastAsia="仿宋_GB2312"/>
                <w:b w:val="0"/>
                <w:color w:val="000000"/>
                <w:sz w:val="32"/>
              </w:rPr>
              <w:t>A股上市企业</w:t>
            </w:r>
          </w:p>
        </w:tc>
        <w:tc>
          <w:tcPr>
            <w:tcW w:type="dxa" w:w="3118"/>
          </w:tcPr>
          <w:p>
            <w:pPr>
              <w:spacing w:lineRule="exact" w:line="600"/>
              <w:jc w:val="center"/>
            </w:pPr>
            <w:r/>
            <w:r>
              <w:rPr>
                <w:rFonts w:ascii="仿宋_GB2312" w:hAnsi="仿宋_GB2312" w:eastAsia="仿宋_GB2312"/>
                <w:b w:val="0"/>
                <w:color w:val="000000"/>
                <w:sz w:val="32"/>
              </w:rPr>
              <w:t>4家</w:t>
            </w:r>
          </w:p>
        </w:tc>
        <w:tc>
          <w:tcPr>
            <w:tcW w:type="dxa" w:w="2551"/>
          </w:tcPr>
          <w:p>
            <w:pPr>
              <w:spacing w:lineRule="exact" w:line="600"/>
              <w:jc w:val="center"/>
            </w:pPr>
            <w:r/>
            <w:r>
              <w:rPr>
                <w:rFonts w:ascii="仿宋_GB2312" w:hAnsi="仿宋_GB2312" w:eastAsia="仿宋_GB2312"/>
                <w:b w:val="0"/>
                <w:color w:val="000000"/>
                <w:sz w:val="32"/>
              </w:rPr>
              <w:t>临淄经开区概况</w:t>
            </w:r>
          </w:p>
        </w:tc>
      </w:tr>
      <w:tr>
        <w:tc>
          <w:tcPr>
            <w:tcW w:type="dxa" w:w="2835"/>
          </w:tcPr>
          <w:p>
            <w:pPr>
              <w:spacing w:lineRule="exact" w:line="600"/>
              <w:jc w:val="center"/>
            </w:pPr>
            <w:r/>
            <w:r>
              <w:rPr>
                <w:rFonts w:ascii="仿宋_GB2312" w:hAnsi="仿宋_GB2312" w:eastAsia="仿宋_GB2312"/>
                <w:b w:val="0"/>
                <w:color w:val="000000"/>
                <w:sz w:val="32"/>
              </w:rPr>
              <w:t>国家级专精特新小巨人</w:t>
            </w:r>
          </w:p>
        </w:tc>
        <w:tc>
          <w:tcPr>
            <w:tcW w:type="dxa" w:w="3118"/>
          </w:tcPr>
          <w:p>
            <w:pPr>
              <w:spacing w:lineRule="exact" w:line="600"/>
              <w:jc w:val="center"/>
            </w:pPr>
            <w:r/>
            <w:r>
              <w:rPr>
                <w:rFonts w:ascii="仿宋_GB2312" w:hAnsi="仿宋_GB2312" w:eastAsia="仿宋_GB2312"/>
                <w:b w:val="0"/>
                <w:color w:val="000000"/>
                <w:sz w:val="32"/>
              </w:rPr>
              <w:t>4家</w:t>
            </w:r>
          </w:p>
        </w:tc>
        <w:tc>
          <w:tcPr>
            <w:tcW w:type="dxa" w:w="2551"/>
          </w:tcPr>
          <w:p>
            <w:pPr>
              <w:spacing w:lineRule="exact" w:line="600"/>
              <w:jc w:val="center"/>
            </w:pPr>
            <w:r/>
            <w:r>
              <w:rPr>
                <w:rFonts w:ascii="仿宋_GB2312" w:hAnsi="仿宋_GB2312" w:eastAsia="仿宋_GB2312"/>
                <w:b w:val="0"/>
                <w:color w:val="000000"/>
                <w:sz w:val="32"/>
              </w:rPr>
              <w:t>临淄经开区概况</w:t>
            </w:r>
          </w:p>
        </w:tc>
      </w:tr>
      <w:tr>
        <w:tc>
          <w:tcPr>
            <w:tcW w:type="dxa" w:w="2835"/>
          </w:tcPr>
          <w:p>
            <w:pPr>
              <w:spacing w:lineRule="exact" w:line="600"/>
              <w:jc w:val="center"/>
            </w:pPr>
            <w:r/>
            <w:r>
              <w:rPr>
                <w:rFonts w:ascii="仿宋_GB2312" w:hAnsi="仿宋_GB2312" w:eastAsia="仿宋_GB2312"/>
                <w:b w:val="0"/>
                <w:color w:val="000000"/>
                <w:sz w:val="32"/>
              </w:rPr>
              <w:t>制造业单项冠军</w:t>
            </w:r>
          </w:p>
        </w:tc>
        <w:tc>
          <w:tcPr>
            <w:tcW w:type="dxa" w:w="3118"/>
          </w:tcPr>
          <w:p>
            <w:pPr>
              <w:spacing w:lineRule="exact" w:line="600"/>
              <w:jc w:val="center"/>
            </w:pPr>
            <w:r/>
            <w:r>
              <w:rPr>
                <w:rFonts w:ascii="仿宋_GB2312" w:hAnsi="仿宋_GB2312" w:eastAsia="仿宋_GB2312"/>
                <w:b w:val="0"/>
                <w:color w:val="000000"/>
                <w:sz w:val="32"/>
              </w:rPr>
              <w:t>9家</w:t>
            </w:r>
          </w:p>
        </w:tc>
        <w:tc>
          <w:tcPr>
            <w:tcW w:type="dxa" w:w="2551"/>
          </w:tcPr>
          <w:p>
            <w:pPr>
              <w:spacing w:lineRule="exact" w:line="600"/>
              <w:jc w:val="center"/>
            </w:pPr>
            <w:r/>
            <w:r>
              <w:rPr>
                <w:rFonts w:ascii="仿宋_GB2312" w:hAnsi="仿宋_GB2312" w:eastAsia="仿宋_GB2312"/>
                <w:b w:val="0"/>
                <w:color w:val="000000"/>
                <w:sz w:val="32"/>
              </w:rPr>
              <w:t>临淄经开区概况</w:t>
            </w:r>
          </w:p>
        </w:tc>
      </w:tr>
      <w:tr>
        <w:tc>
          <w:tcPr>
            <w:tcW w:type="dxa" w:w="2835"/>
          </w:tcPr>
          <w:p>
            <w:pPr>
              <w:spacing w:lineRule="exact" w:line="600"/>
              <w:jc w:val="center"/>
            </w:pPr>
            <w:r/>
            <w:r>
              <w:rPr>
                <w:rFonts w:ascii="仿宋_GB2312" w:hAnsi="仿宋_GB2312" w:eastAsia="仿宋_GB2312"/>
                <w:b w:val="0"/>
                <w:color w:val="000000"/>
                <w:sz w:val="32"/>
              </w:rPr>
              <w:t>金山镇规上工业产值</w:t>
            </w:r>
          </w:p>
        </w:tc>
        <w:tc>
          <w:tcPr>
            <w:tcW w:type="dxa" w:w="3118"/>
          </w:tcPr>
          <w:p>
            <w:pPr>
              <w:spacing w:lineRule="exact" w:line="600"/>
              <w:jc w:val="center"/>
            </w:pPr>
            <w:r/>
            <w:r>
              <w:rPr>
                <w:rFonts w:ascii="仿宋_GB2312" w:hAnsi="仿宋_GB2312" w:eastAsia="仿宋_GB2312"/>
                <w:b w:val="0"/>
                <w:color w:val="000000"/>
                <w:sz w:val="32"/>
              </w:rPr>
              <w:t>477亿元（2023）</w:t>
            </w:r>
          </w:p>
        </w:tc>
        <w:tc>
          <w:tcPr>
            <w:tcW w:type="dxa" w:w="2551"/>
          </w:tcPr>
          <w:p>
            <w:pPr>
              <w:spacing w:lineRule="exact" w:line="600"/>
              <w:jc w:val="center"/>
            </w:pPr>
            <w:r/>
            <w:r>
              <w:rPr>
                <w:rFonts w:ascii="仿宋_GB2312" w:hAnsi="仿宋_GB2312" w:eastAsia="仿宋_GB2312"/>
                <w:b w:val="0"/>
                <w:color w:val="000000"/>
                <w:sz w:val="32"/>
              </w:rPr>
              <w:t>淄博日报</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（一）齐翔腾达工艺与研发</w:t>
      </w:r>
    </w:p>
    <w:p>
      <w:pPr>
        <w:spacing w:lineRule="exact" w:line="600" w:before="0" w:after="0"/>
        <w:ind w:firstLine="420"/>
        <w:jc w:val="both"/>
      </w:pPr>
      <w:r>
        <w:rPr>
          <w:rFonts w:ascii="仿宋_GB2312" w:hAnsi="仿宋_GB2312" w:eastAsia="仿宋_GB2312"/>
          <w:b w:val="0"/>
          <w:color w:val="000000"/>
          <w:sz w:val="32"/>
        </w:rPr>
        <w:t>齐翔腾达采用国内规模最大的丁烯氧化法工艺制丁二烯，不受乙烯装置规模限制；顺酐采用正丁烷氧化法，单位成本持续优化。2023年研发投入6.55亿元，占营业收入2.43%；催化剂业务（齐鲁科力）拥有耐硫变换、制氢、硫磺回收、加氢四大系列80余种产品，并建成360吨/年顺酐催化剂装置。公司装置柔性设计可随市场调节盈利产品产能，抗周期能力突出（来源：齐翔腾达2023年年报）。</w:t>
      </w:r>
    </w:p>
    <w:p>
      <w:pPr>
        <w:spacing w:lineRule="exact" w:line="600" w:before="120" w:after="120"/>
        <w:ind w:firstLine="420"/>
        <w:jc w:val="left"/>
      </w:pPr>
      <w:r>
        <w:rPr>
          <w:rFonts w:ascii="楷体_GB2312" w:hAnsi="楷体_GB2312" w:eastAsia="楷体_GB2312"/>
          <w:b w:val="0"/>
          <w:color w:val="000000"/>
          <w:sz w:val="32"/>
        </w:rPr>
        <w:t>（二）天辰齐翔「卡脖子」技术突破</w:t>
      </w:r>
    </w:p>
    <w:p>
      <w:pPr>
        <w:spacing w:lineRule="exact" w:line="600" w:before="0" w:after="0"/>
        <w:ind w:firstLine="420"/>
        <w:jc w:val="both"/>
      </w:pPr>
      <w:r>
        <w:rPr>
          <w:rFonts w:ascii="仿宋_GB2312" w:hAnsi="仿宋_GB2312" w:eastAsia="仿宋_GB2312"/>
          <w:b w:val="0"/>
          <w:color w:val="000000"/>
          <w:sz w:val="32"/>
        </w:rPr>
        <w:t>天辰齐翔自2011年起研发丁二烯直接氢氰化法合成己二腈，2015年50吨/年中试、2017年2000吨/年全流程中试成功，2022年20万吨/年工业化装置投产。该装置2025年12月5日全面达产，产品纯度99.95%。公司依托中化学天辰创新平台推动高端尼龙技术突破，并招引聚合顺落地园区（总投资26.6亿元、一期年产8万吨尼龙66），构建尼龙66产业集群（来源：天辰齐翔官网、大众日报）。</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技术/平台</w:t>
            </w:r>
          </w:p>
        </w:tc>
        <w:tc>
          <w:tcPr>
            <w:tcW w:type="dxa" w:w="2835"/>
          </w:tcPr>
          <w:p>
            <w:pPr>
              <w:spacing w:lineRule="exact" w:line="600"/>
              <w:jc w:val="center"/>
            </w:pPr>
            <w:r/>
            <w:r>
              <w:rPr>
                <w:rFonts w:ascii="黑体" w:hAnsi="黑体" w:eastAsia="黑体"/>
                <w:b/>
                <w:color w:val="000000"/>
                <w:sz w:val="32"/>
              </w:rPr>
              <w:t>关键参数</w:t>
            </w:r>
          </w:p>
        </w:tc>
        <w:tc>
          <w:tcPr>
            <w:tcW w:type="dxa" w:w="2835"/>
          </w:tcPr>
          <w:p>
            <w:pPr>
              <w:spacing w:lineRule="exact" w:line="600"/>
              <w:jc w:val="center"/>
            </w:pPr>
            <w:r/>
            <w:r>
              <w:rPr>
                <w:rFonts w:ascii="黑体" w:hAnsi="黑体" w:eastAsia="黑体"/>
                <w:b/>
                <w:color w:val="000000"/>
                <w:sz w:val="32"/>
              </w:rPr>
              <w:t>意义</w:t>
            </w:r>
          </w:p>
        </w:tc>
      </w:tr>
      <w:tr>
        <w:tc>
          <w:tcPr>
            <w:tcW w:type="dxa" w:w="2835"/>
          </w:tcPr>
          <w:p>
            <w:pPr>
              <w:spacing w:lineRule="exact" w:line="600"/>
              <w:jc w:val="center"/>
            </w:pPr>
            <w:r/>
            <w:r>
              <w:rPr>
                <w:rFonts w:ascii="仿宋_GB2312" w:hAnsi="仿宋_GB2312" w:eastAsia="仿宋_GB2312"/>
                <w:b w:val="0"/>
                <w:color w:val="000000"/>
                <w:sz w:val="32"/>
              </w:rPr>
              <w:t>丁烯氧化法丁二烯</w:t>
            </w:r>
          </w:p>
        </w:tc>
        <w:tc>
          <w:tcPr>
            <w:tcW w:type="dxa" w:w="2835"/>
          </w:tcPr>
          <w:p>
            <w:pPr>
              <w:spacing w:lineRule="exact" w:line="600"/>
              <w:jc w:val="center"/>
            </w:pPr>
            <w:r/>
            <w:r>
              <w:rPr>
                <w:rFonts w:ascii="仿宋_GB2312" w:hAnsi="仿宋_GB2312" w:eastAsia="仿宋_GB2312"/>
                <w:b w:val="0"/>
                <w:color w:val="000000"/>
                <w:sz w:val="32"/>
              </w:rPr>
              <w:t>国内最大规模</w:t>
            </w:r>
          </w:p>
        </w:tc>
        <w:tc>
          <w:tcPr>
            <w:tcW w:type="dxa" w:w="2835"/>
          </w:tcPr>
          <w:p>
            <w:pPr>
              <w:spacing w:lineRule="exact" w:line="600"/>
              <w:jc w:val="center"/>
            </w:pPr>
            <w:r/>
            <w:r>
              <w:rPr>
                <w:rFonts w:ascii="仿宋_GB2312" w:hAnsi="仿宋_GB2312" w:eastAsia="仿宋_GB2312"/>
                <w:b w:val="0"/>
                <w:color w:val="000000"/>
                <w:sz w:val="32"/>
              </w:rPr>
              <w:t>不受乙烯装置限制</w:t>
            </w:r>
          </w:p>
        </w:tc>
      </w:tr>
      <w:tr>
        <w:tc>
          <w:tcPr>
            <w:tcW w:type="dxa" w:w="2835"/>
          </w:tcPr>
          <w:p>
            <w:pPr>
              <w:spacing w:lineRule="exact" w:line="600"/>
              <w:jc w:val="center"/>
            </w:pPr>
            <w:r/>
            <w:r>
              <w:rPr>
                <w:rFonts w:ascii="仿宋_GB2312" w:hAnsi="仿宋_GB2312" w:eastAsia="仿宋_GB2312"/>
                <w:b w:val="0"/>
                <w:color w:val="000000"/>
                <w:sz w:val="32"/>
              </w:rPr>
              <w:t>正丁烷氧化法顺酐</w:t>
            </w:r>
          </w:p>
        </w:tc>
        <w:tc>
          <w:tcPr>
            <w:tcW w:type="dxa" w:w="2835"/>
          </w:tcPr>
          <w:p>
            <w:pPr>
              <w:spacing w:lineRule="exact" w:line="600"/>
              <w:jc w:val="center"/>
            </w:pPr>
            <w:r/>
            <w:r>
              <w:rPr>
                <w:rFonts w:ascii="仿宋_GB2312" w:hAnsi="仿宋_GB2312" w:eastAsia="仿宋_GB2312"/>
                <w:b w:val="0"/>
                <w:color w:val="000000"/>
                <w:sz w:val="32"/>
              </w:rPr>
              <w:t>40万吨/年</w:t>
            </w:r>
          </w:p>
        </w:tc>
        <w:tc>
          <w:tcPr>
            <w:tcW w:type="dxa" w:w="2835"/>
          </w:tcPr>
          <w:p>
            <w:pPr>
              <w:spacing w:lineRule="exact" w:line="600"/>
              <w:jc w:val="center"/>
            </w:pPr>
            <w:r/>
            <w:r>
              <w:rPr>
                <w:rFonts w:ascii="仿宋_GB2312" w:hAnsi="仿宋_GB2312" w:eastAsia="仿宋_GB2312"/>
                <w:b w:val="0"/>
                <w:color w:val="000000"/>
                <w:sz w:val="32"/>
              </w:rPr>
              <w:t>全球最大、低成本</w:t>
            </w:r>
          </w:p>
        </w:tc>
      </w:tr>
      <w:tr>
        <w:tc>
          <w:tcPr>
            <w:tcW w:type="dxa" w:w="2835"/>
          </w:tcPr>
          <w:p>
            <w:pPr>
              <w:spacing w:lineRule="exact" w:line="600"/>
              <w:jc w:val="center"/>
            </w:pPr>
            <w:r/>
            <w:r>
              <w:rPr>
                <w:rFonts w:ascii="仿宋_GB2312" w:hAnsi="仿宋_GB2312" w:eastAsia="仿宋_GB2312"/>
                <w:b w:val="0"/>
                <w:color w:val="000000"/>
                <w:sz w:val="32"/>
              </w:rPr>
              <w:t>丁二烯法己二腈</w:t>
            </w:r>
          </w:p>
        </w:tc>
        <w:tc>
          <w:tcPr>
            <w:tcW w:type="dxa" w:w="2835"/>
          </w:tcPr>
          <w:p>
            <w:pPr>
              <w:spacing w:lineRule="exact" w:line="600"/>
              <w:jc w:val="center"/>
            </w:pPr>
            <w:r/>
            <w:r>
              <w:rPr>
                <w:rFonts w:ascii="仿宋_GB2312" w:hAnsi="仿宋_GB2312" w:eastAsia="仿宋_GB2312"/>
                <w:b w:val="0"/>
                <w:color w:val="000000"/>
                <w:sz w:val="32"/>
              </w:rPr>
              <w:t>纯度99.95%</w:t>
            </w:r>
          </w:p>
        </w:tc>
        <w:tc>
          <w:tcPr>
            <w:tcW w:type="dxa" w:w="2835"/>
          </w:tcPr>
          <w:p>
            <w:pPr>
              <w:spacing w:lineRule="exact" w:line="600"/>
              <w:jc w:val="center"/>
            </w:pPr>
            <w:r/>
            <w:r>
              <w:rPr>
                <w:rFonts w:ascii="仿宋_GB2312" w:hAnsi="仿宋_GB2312" w:eastAsia="仿宋_GB2312"/>
                <w:b w:val="0"/>
                <w:color w:val="000000"/>
                <w:sz w:val="32"/>
              </w:rPr>
              <w:t>打破国外垄断</w:t>
            </w:r>
          </w:p>
        </w:tc>
      </w:tr>
      <w:tr>
        <w:tc>
          <w:tcPr>
            <w:tcW w:type="dxa" w:w="2835"/>
          </w:tcPr>
          <w:p>
            <w:pPr>
              <w:spacing w:lineRule="exact" w:line="600"/>
              <w:jc w:val="center"/>
            </w:pPr>
            <w:r/>
            <w:r>
              <w:rPr>
                <w:rFonts w:ascii="仿宋_GB2312" w:hAnsi="仿宋_GB2312" w:eastAsia="仿宋_GB2312"/>
                <w:b w:val="0"/>
                <w:color w:val="000000"/>
                <w:sz w:val="32"/>
              </w:rPr>
              <w:t>齐翔研发投入</w:t>
            </w:r>
          </w:p>
        </w:tc>
        <w:tc>
          <w:tcPr>
            <w:tcW w:type="dxa" w:w="2835"/>
          </w:tcPr>
          <w:p>
            <w:pPr>
              <w:spacing w:lineRule="exact" w:line="600"/>
              <w:jc w:val="center"/>
            </w:pPr>
            <w:r/>
            <w:r>
              <w:rPr>
                <w:rFonts w:ascii="仿宋_GB2312" w:hAnsi="仿宋_GB2312" w:eastAsia="仿宋_GB2312"/>
                <w:b w:val="0"/>
                <w:color w:val="000000"/>
                <w:sz w:val="32"/>
              </w:rPr>
              <w:t>6.55亿元（2023）</w:t>
            </w:r>
          </w:p>
        </w:tc>
        <w:tc>
          <w:tcPr>
            <w:tcW w:type="dxa" w:w="2835"/>
          </w:tcPr>
          <w:p>
            <w:pPr>
              <w:spacing w:lineRule="exact" w:line="600"/>
              <w:jc w:val="center"/>
            </w:pPr>
            <w:r/>
            <w:r>
              <w:rPr>
                <w:rFonts w:ascii="仿宋_GB2312" w:hAnsi="仿宋_GB2312" w:eastAsia="仿宋_GB2312"/>
                <w:b w:val="0"/>
                <w:color w:val="000000"/>
                <w:sz w:val="32"/>
              </w:rPr>
              <w:t>占营收2.43%</w:t>
            </w:r>
          </w:p>
        </w:tc>
      </w:tr>
      <w:tr>
        <w:tc>
          <w:tcPr>
            <w:tcW w:type="dxa" w:w="2835"/>
          </w:tcPr>
          <w:p>
            <w:pPr>
              <w:spacing w:lineRule="exact" w:line="600"/>
              <w:jc w:val="center"/>
            </w:pPr>
            <w:r/>
            <w:r>
              <w:rPr>
                <w:rFonts w:ascii="仿宋_GB2312" w:hAnsi="仿宋_GB2312" w:eastAsia="仿宋_GB2312"/>
                <w:b w:val="0"/>
                <w:color w:val="000000"/>
                <w:sz w:val="32"/>
              </w:rPr>
              <w:t>中化学天辰创新平台</w:t>
            </w:r>
          </w:p>
        </w:tc>
        <w:tc>
          <w:tcPr>
            <w:tcW w:type="dxa" w:w="2835"/>
          </w:tcPr>
          <w:p>
            <w:pPr>
              <w:spacing w:lineRule="exact" w:line="600"/>
              <w:jc w:val="center"/>
            </w:pPr>
            <w:r/>
            <w:r>
              <w:rPr>
                <w:rFonts w:ascii="仿宋_GB2312" w:hAnsi="仿宋_GB2312" w:eastAsia="仿宋_GB2312"/>
                <w:b w:val="0"/>
                <w:color w:val="000000"/>
                <w:sz w:val="32"/>
              </w:rPr>
              <w:t>紧邻天辰齐翔</w:t>
            </w:r>
          </w:p>
        </w:tc>
        <w:tc>
          <w:tcPr>
            <w:tcW w:type="dxa" w:w="2835"/>
          </w:tcPr>
          <w:p>
            <w:pPr>
              <w:spacing w:lineRule="exact" w:line="600"/>
              <w:jc w:val="center"/>
            </w:pPr>
            <w:r/>
            <w:r>
              <w:rPr>
                <w:rFonts w:ascii="仿宋_GB2312" w:hAnsi="仿宋_GB2312" w:eastAsia="仿宋_GB2312"/>
                <w:b w:val="0"/>
                <w:color w:val="000000"/>
                <w:sz w:val="32"/>
              </w:rPr>
              <w:t>高端尼龙技术攻关</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（一）齐翔腾达盈利与成本</w:t>
      </w:r>
    </w:p>
    <w:p>
      <w:pPr>
        <w:spacing w:lineRule="exact" w:line="600" w:before="0" w:after="0"/>
        <w:ind w:firstLine="420"/>
        <w:jc w:val="both"/>
      </w:pPr>
      <w:r>
        <w:rPr>
          <w:rFonts w:ascii="仿宋_GB2312" w:hAnsi="仿宋_GB2312" w:eastAsia="仿宋_GB2312"/>
          <w:b w:val="0"/>
          <w:color w:val="000000"/>
          <w:sz w:val="32"/>
        </w:rPr>
        <w:t>受化工周期底部、下游需求放缓及竞争加剧影响，齐翔腾达2023年营收269.18亿元（同比-9.70%）、归母净利润-3.84亿元、毛利率6.12%；2024年营收252.19亿元、归母净利润3445.43万元实现扭亏；2025年营收237.70亿元。资产负债率2023年末54.01%，有息资产负债率36.27%，流动比率0.68。山能控股后在丙烯等原料内部供应、降低融资成本方面给予支持（来源：齐翔腾达年报、新浪财经）。</w:t>
      </w:r>
    </w:p>
    <w:p>
      <w:pPr>
        <w:spacing w:lineRule="exact" w:line="600" w:before="120" w:after="120"/>
        <w:ind w:firstLine="420"/>
        <w:jc w:val="left"/>
      </w:pPr>
      <w:r>
        <w:rPr>
          <w:rFonts w:ascii="楷体_GB2312" w:hAnsi="楷体_GB2312" w:eastAsia="楷体_GB2312"/>
          <w:b w:val="0"/>
          <w:color w:val="000000"/>
          <w:sz w:val="32"/>
        </w:rPr>
        <w:t>（二）要素与原料保障</w:t>
      </w:r>
    </w:p>
    <w:p>
      <w:pPr>
        <w:spacing w:lineRule="exact" w:line="600" w:before="0" w:after="0"/>
        <w:ind w:firstLine="420"/>
        <w:jc w:val="both"/>
      </w:pPr>
      <w:r>
        <w:rPr>
          <w:rFonts w:ascii="仿宋_GB2312" w:hAnsi="仿宋_GB2312" w:eastAsia="仿宋_GB2312"/>
          <w:b w:val="0"/>
          <w:color w:val="000000"/>
          <w:sz w:val="32"/>
        </w:rPr>
        <w:t>临淄区化工用原料、蒸汽、工业气体等要素配套完善，齐鲁石化等特大型企业坐落园区内，碳四、碳三原料就近可得。齐鲁化工区2024年实施循环化改造项目22个、总投资236.1亿元，北部污水处理厂（9.2亿元）进入设备安装；临淄经开区获专项债7400万元支持基础设施提升。土地方面，金山产业园扩区、石化装备产业园规划占地1800亩，为单体合成项目提供空间保障（来源：临淄区政府园区概况）。</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财务指标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年份</w:t>
            </w:r>
          </w:p>
        </w:tc>
      </w:tr>
      <w:tr>
        <w:tc>
          <w:tcPr>
            <w:tcW w:type="dxa" w:w="2835"/>
          </w:tcPr>
          <w:p>
            <w:pPr>
              <w:spacing w:lineRule="exact" w:line="600"/>
              <w:jc w:val="center"/>
            </w:pPr>
            <w:r/>
            <w:r>
              <w:rPr>
                <w:rFonts w:ascii="仿宋_GB2312" w:hAnsi="仿宋_GB2312" w:eastAsia="仿宋_GB2312"/>
                <w:b w:val="0"/>
                <w:color w:val="000000"/>
                <w:sz w:val="32"/>
              </w:rPr>
              <w:t>齐翔腾达营收</w:t>
            </w:r>
          </w:p>
        </w:tc>
        <w:tc>
          <w:tcPr>
            <w:tcW w:type="dxa" w:w="2835"/>
          </w:tcPr>
          <w:p>
            <w:pPr>
              <w:spacing w:lineRule="exact" w:line="600"/>
              <w:jc w:val="center"/>
            </w:pPr>
            <w:r/>
            <w:r>
              <w:rPr>
                <w:rFonts w:ascii="仿宋_GB2312" w:hAnsi="仿宋_GB2312" w:eastAsia="仿宋_GB2312"/>
                <w:b w:val="0"/>
                <w:color w:val="000000"/>
                <w:sz w:val="32"/>
              </w:rPr>
              <w:t>269.18亿元</w:t>
            </w:r>
          </w:p>
        </w:tc>
        <w:tc>
          <w:tcPr>
            <w:tcW w:type="dxa" w:w="2835"/>
          </w:tcPr>
          <w:p>
            <w:pPr>
              <w:spacing w:lineRule="exact" w:line="600"/>
              <w:jc w:val="center"/>
            </w:pPr>
            <w:r/>
            <w:r>
              <w:rPr>
                <w:rFonts w:ascii="仿宋_GB2312" w:hAnsi="仿宋_GB2312" w:eastAsia="仿宋_GB2312"/>
                <w:b w:val="0"/>
                <w:color w:val="000000"/>
                <w:sz w:val="32"/>
              </w:rPr>
              <w:t>2023</w:t>
            </w:r>
          </w:p>
        </w:tc>
      </w:tr>
      <w:tr>
        <w:tc>
          <w:tcPr>
            <w:tcW w:type="dxa" w:w="2835"/>
          </w:tcPr>
          <w:p>
            <w:pPr>
              <w:spacing w:lineRule="exact" w:line="600"/>
              <w:jc w:val="center"/>
            </w:pPr>
            <w:r/>
            <w:r>
              <w:rPr>
                <w:rFonts w:ascii="仿宋_GB2312" w:hAnsi="仿宋_GB2312" w:eastAsia="仿宋_GB2312"/>
                <w:b w:val="0"/>
                <w:color w:val="000000"/>
                <w:sz w:val="32"/>
              </w:rPr>
              <w:t>齐翔腾达归母净利润</w:t>
            </w:r>
          </w:p>
        </w:tc>
        <w:tc>
          <w:tcPr>
            <w:tcW w:type="dxa" w:w="2835"/>
          </w:tcPr>
          <w:p>
            <w:pPr>
              <w:spacing w:lineRule="exact" w:line="600"/>
              <w:jc w:val="center"/>
            </w:pPr>
            <w:r/>
            <w:r>
              <w:rPr>
                <w:rFonts w:ascii="仿宋_GB2312" w:hAnsi="仿宋_GB2312" w:eastAsia="仿宋_GB2312"/>
                <w:b w:val="0"/>
                <w:color w:val="000000"/>
                <w:sz w:val="32"/>
              </w:rPr>
              <w:t>-3.84亿元</w:t>
            </w:r>
          </w:p>
        </w:tc>
        <w:tc>
          <w:tcPr>
            <w:tcW w:type="dxa" w:w="2835"/>
          </w:tcPr>
          <w:p>
            <w:pPr>
              <w:spacing w:lineRule="exact" w:line="600"/>
              <w:jc w:val="center"/>
            </w:pPr>
            <w:r/>
            <w:r>
              <w:rPr>
                <w:rFonts w:ascii="仿宋_GB2312" w:hAnsi="仿宋_GB2312" w:eastAsia="仿宋_GB2312"/>
                <w:b w:val="0"/>
                <w:color w:val="000000"/>
                <w:sz w:val="32"/>
              </w:rPr>
              <w:t>2023</w:t>
            </w:r>
          </w:p>
        </w:tc>
      </w:tr>
      <w:tr>
        <w:tc>
          <w:tcPr>
            <w:tcW w:type="dxa" w:w="2835"/>
          </w:tcPr>
          <w:p>
            <w:pPr>
              <w:spacing w:lineRule="exact" w:line="600"/>
              <w:jc w:val="center"/>
            </w:pPr>
            <w:r/>
            <w:r>
              <w:rPr>
                <w:rFonts w:ascii="仿宋_GB2312" w:hAnsi="仿宋_GB2312" w:eastAsia="仿宋_GB2312"/>
                <w:b w:val="0"/>
                <w:color w:val="000000"/>
                <w:sz w:val="32"/>
              </w:rPr>
              <w:t>齐翔腾达营收</w:t>
            </w:r>
          </w:p>
        </w:tc>
        <w:tc>
          <w:tcPr>
            <w:tcW w:type="dxa" w:w="2835"/>
          </w:tcPr>
          <w:p>
            <w:pPr>
              <w:spacing w:lineRule="exact" w:line="600"/>
              <w:jc w:val="center"/>
            </w:pPr>
            <w:r/>
            <w:r>
              <w:rPr>
                <w:rFonts w:ascii="仿宋_GB2312" w:hAnsi="仿宋_GB2312" w:eastAsia="仿宋_GB2312"/>
                <w:b w:val="0"/>
                <w:color w:val="000000"/>
                <w:sz w:val="32"/>
              </w:rPr>
              <w:t>252.19亿元</w:t>
            </w:r>
          </w:p>
        </w:tc>
        <w:tc>
          <w:tcPr>
            <w:tcW w:type="dxa" w:w="2835"/>
          </w:tcPr>
          <w:p>
            <w:pPr>
              <w:spacing w:lineRule="exact" w:line="600"/>
              <w:jc w:val="center"/>
            </w:pPr>
            <w:r/>
            <w:r>
              <w:rPr>
                <w:rFonts w:ascii="仿宋_GB2312" w:hAnsi="仿宋_GB2312" w:eastAsia="仿宋_GB2312"/>
                <w:b w:val="0"/>
                <w:color w:val="000000"/>
                <w:sz w:val="32"/>
              </w:rPr>
              <w:t>2024</w:t>
            </w:r>
          </w:p>
        </w:tc>
      </w:tr>
      <w:tr>
        <w:tc>
          <w:tcPr>
            <w:tcW w:type="dxa" w:w="2835"/>
          </w:tcPr>
          <w:p>
            <w:pPr>
              <w:spacing w:lineRule="exact" w:line="600"/>
              <w:jc w:val="center"/>
            </w:pPr>
            <w:r/>
            <w:r>
              <w:rPr>
                <w:rFonts w:ascii="仿宋_GB2312" w:hAnsi="仿宋_GB2312" w:eastAsia="仿宋_GB2312"/>
                <w:b w:val="0"/>
                <w:color w:val="000000"/>
                <w:sz w:val="32"/>
              </w:rPr>
              <w:t>齐翔腾达毛利率</w:t>
            </w:r>
          </w:p>
        </w:tc>
        <w:tc>
          <w:tcPr>
            <w:tcW w:type="dxa" w:w="2835"/>
          </w:tcPr>
          <w:p>
            <w:pPr>
              <w:spacing w:lineRule="exact" w:line="600"/>
              <w:jc w:val="center"/>
            </w:pPr>
            <w:r/>
            <w:r>
              <w:rPr>
                <w:rFonts w:ascii="仿宋_GB2312" w:hAnsi="仿宋_GB2312" w:eastAsia="仿宋_GB2312"/>
                <w:b w:val="0"/>
                <w:color w:val="000000"/>
                <w:sz w:val="32"/>
              </w:rPr>
              <w:t>6.12%</w:t>
            </w:r>
          </w:p>
        </w:tc>
        <w:tc>
          <w:tcPr>
            <w:tcW w:type="dxa" w:w="2835"/>
          </w:tcPr>
          <w:p>
            <w:pPr>
              <w:spacing w:lineRule="exact" w:line="600"/>
              <w:jc w:val="center"/>
            </w:pPr>
            <w:r/>
            <w:r>
              <w:rPr>
                <w:rFonts w:ascii="仿宋_GB2312" w:hAnsi="仿宋_GB2312" w:eastAsia="仿宋_GB2312"/>
                <w:b w:val="0"/>
                <w:color w:val="000000"/>
                <w:sz w:val="32"/>
              </w:rPr>
              <w:t>2023</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835"/>
          </w:tcPr>
          <w:p>
            <w:pPr>
              <w:spacing w:lineRule="exact" w:line="600"/>
              <w:jc w:val="center"/>
            </w:pPr>
            <w:r/>
            <w:r>
              <w:rPr>
                <w:rFonts w:ascii="仿宋_GB2312" w:hAnsi="仿宋_GB2312" w:eastAsia="仿宋_GB2312"/>
                <w:b w:val="0"/>
                <w:color w:val="000000"/>
                <w:sz w:val="32"/>
              </w:rPr>
              <w:t>54.01%</w:t>
            </w:r>
          </w:p>
        </w:tc>
        <w:tc>
          <w:tcPr>
            <w:tcW w:type="dxa" w:w="2835"/>
          </w:tcPr>
          <w:p>
            <w:pPr>
              <w:spacing w:lineRule="exact" w:line="600"/>
              <w:jc w:val="center"/>
            </w:pPr>
            <w:r/>
            <w:r>
              <w:rPr>
                <w:rFonts w:ascii="仿宋_GB2312" w:hAnsi="仿宋_GB2312" w:eastAsia="仿宋_GB2312"/>
                <w:b w:val="0"/>
                <w:color w:val="000000"/>
                <w:sz w:val="32"/>
              </w:rPr>
              <w:t>2023年末</w:t>
            </w:r>
          </w:p>
        </w:tc>
      </w:tr>
      <w:tr>
        <w:tc>
          <w:tcPr>
            <w:tcW w:type="dxa" w:w="2835"/>
          </w:tcPr>
          <w:p>
            <w:pPr>
              <w:spacing w:lineRule="exact" w:line="600"/>
              <w:jc w:val="center"/>
            </w:pPr>
            <w:r/>
            <w:r>
              <w:rPr>
                <w:rFonts w:ascii="仿宋_GB2312" w:hAnsi="仿宋_GB2312" w:eastAsia="仿宋_GB2312"/>
                <w:b w:val="0"/>
                <w:color w:val="000000"/>
                <w:sz w:val="32"/>
              </w:rPr>
              <w:t>齐鲁化工区循环化改造投资</w:t>
            </w:r>
          </w:p>
        </w:tc>
        <w:tc>
          <w:tcPr>
            <w:tcW w:type="dxa" w:w="2835"/>
          </w:tcPr>
          <w:p>
            <w:pPr>
              <w:spacing w:lineRule="exact" w:line="600"/>
              <w:jc w:val="center"/>
            </w:pPr>
            <w:r/>
            <w:r>
              <w:rPr>
                <w:rFonts w:ascii="仿宋_GB2312" w:hAnsi="仿宋_GB2312" w:eastAsia="仿宋_GB2312"/>
                <w:b w:val="0"/>
                <w:color w:val="000000"/>
                <w:sz w:val="32"/>
              </w:rPr>
              <w:t>236.1亿元/22项</w:t>
            </w:r>
          </w:p>
        </w:tc>
        <w:tc>
          <w:tcPr>
            <w:tcW w:type="dxa" w:w="2835"/>
          </w:tcPr>
          <w:p>
            <w:pPr>
              <w:spacing w:lineRule="exact" w:line="600"/>
              <w:jc w:val="center"/>
            </w:pPr>
            <w:r/>
            <w:r>
              <w:rPr>
                <w:rFonts w:ascii="仿宋_GB2312" w:hAnsi="仿宋_GB2312" w:eastAsia="仿宋_GB2312"/>
                <w:b w:val="0"/>
                <w:color w:val="000000"/>
                <w:sz w:val="32"/>
              </w:rPr>
              <w:t>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高端聚酰胺国产替代空间巨大：我国尼龙66与尼龙6用量比约1:10，远低于欧美1:1，己二腈国产化后尼龙66产能有望快速释放。临淄区推动「鲁油鲁炼」等过百亿元项目，工业总产值目标突破5000亿元；碳三碳四下游向醇类、酯类、聚醚延伸，单体合成向高附加值新材料转型。2025年12月天辰齐翔己二腈全面达产、2026年二期投产，将进一步强化集群原料保障（来源：临淄区、天辰齐翔）。</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化工景气周期波动，2023年行业处于周期底部、产品价格降幅超原料降幅，齐翔腾达出现亏损；二是原料价格（原油、液化气）受地缘政治与供需影响剧烈；三是国际贸易壁垒与反倾销风险，出口占比近两成；四是单体产能集中释放后的供需错配与价格竞争。企业需以柔性产能、国内外双循环与差异化产品对冲风险（来源：齐翔腾达年报、行业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风险类别</w:t>
            </w:r>
          </w:p>
        </w:tc>
        <w:tc>
          <w:tcPr>
            <w:tcW w:type="dxa" w:w="3402"/>
          </w:tcPr>
          <w:p>
            <w:pPr>
              <w:spacing w:lineRule="exact" w:line="600"/>
              <w:jc w:val="center"/>
            </w:pPr>
            <w:r/>
            <w:r>
              <w:rPr>
                <w:rFonts w:ascii="黑体" w:hAnsi="黑体" w:eastAsia="黑体"/>
                <w:b/>
                <w:color w:val="000000"/>
                <w:sz w:val="32"/>
              </w:rPr>
              <w:t>具体表现</w:t>
            </w:r>
          </w:p>
        </w:tc>
        <w:tc>
          <w:tcPr>
            <w:tcW w:type="dxa" w:w="2835"/>
          </w:tcPr>
          <w:p>
            <w:pPr>
              <w:spacing w:lineRule="exact" w:line="600"/>
              <w:jc w:val="center"/>
            </w:pPr>
            <w:r/>
            <w:r>
              <w:rPr>
                <w:rFonts w:ascii="黑体" w:hAnsi="黑体" w:eastAsia="黑体"/>
                <w:b/>
                <w:color w:val="000000"/>
                <w:sz w:val="32"/>
              </w:rPr>
              <w:t>应对方向</w:t>
            </w:r>
          </w:p>
        </w:tc>
      </w:tr>
      <w:tr>
        <w:tc>
          <w:tcPr>
            <w:tcW w:type="dxa" w:w="2268"/>
          </w:tcPr>
          <w:p>
            <w:pPr>
              <w:spacing w:lineRule="exact" w:line="600"/>
              <w:jc w:val="center"/>
            </w:pPr>
            <w:r/>
            <w:r>
              <w:rPr>
                <w:rFonts w:ascii="仿宋_GB2312" w:hAnsi="仿宋_GB2312" w:eastAsia="仿宋_GB2312"/>
                <w:b w:val="0"/>
                <w:color w:val="000000"/>
                <w:sz w:val="32"/>
              </w:rPr>
              <w:t>周期波动</w:t>
            </w:r>
          </w:p>
        </w:tc>
        <w:tc>
          <w:tcPr>
            <w:tcW w:type="dxa" w:w="3402"/>
          </w:tcPr>
          <w:p>
            <w:pPr>
              <w:spacing w:lineRule="exact" w:line="600"/>
              <w:jc w:val="center"/>
            </w:pPr>
            <w:r/>
            <w:r>
              <w:rPr>
                <w:rFonts w:ascii="仿宋_GB2312" w:hAnsi="仿宋_GB2312" w:eastAsia="仿宋_GB2312"/>
                <w:b w:val="0"/>
                <w:color w:val="000000"/>
                <w:sz w:val="32"/>
              </w:rPr>
              <w:t>2023行业底部、齐翔亏损</w:t>
            </w:r>
          </w:p>
        </w:tc>
        <w:tc>
          <w:tcPr>
            <w:tcW w:type="dxa" w:w="2835"/>
          </w:tcPr>
          <w:p>
            <w:pPr>
              <w:spacing w:lineRule="exact" w:line="600"/>
              <w:jc w:val="center"/>
            </w:pPr>
            <w:r/>
            <w:r>
              <w:rPr>
                <w:rFonts w:ascii="仿宋_GB2312" w:hAnsi="仿宋_GB2312" w:eastAsia="仿宋_GB2312"/>
                <w:b w:val="0"/>
                <w:color w:val="000000"/>
                <w:sz w:val="32"/>
              </w:rPr>
              <w:t>柔性产能调节</w:t>
            </w:r>
          </w:p>
        </w:tc>
      </w:tr>
      <w:tr>
        <w:tc>
          <w:tcPr>
            <w:tcW w:type="dxa" w:w="2268"/>
          </w:tcPr>
          <w:p>
            <w:pPr>
              <w:spacing w:lineRule="exact" w:line="600"/>
              <w:jc w:val="center"/>
            </w:pPr>
            <w:r/>
            <w:r>
              <w:rPr>
                <w:rFonts w:ascii="仿宋_GB2312" w:hAnsi="仿宋_GB2312" w:eastAsia="仿宋_GB2312"/>
                <w:b w:val="0"/>
                <w:color w:val="000000"/>
                <w:sz w:val="32"/>
              </w:rPr>
              <w:t>原料价格</w:t>
            </w:r>
          </w:p>
        </w:tc>
        <w:tc>
          <w:tcPr>
            <w:tcW w:type="dxa" w:w="3402"/>
          </w:tcPr>
          <w:p>
            <w:pPr>
              <w:spacing w:lineRule="exact" w:line="600"/>
              <w:jc w:val="center"/>
            </w:pPr>
            <w:r/>
            <w:r>
              <w:rPr>
                <w:rFonts w:ascii="仿宋_GB2312" w:hAnsi="仿宋_GB2312" w:eastAsia="仿宋_GB2312"/>
                <w:b w:val="0"/>
                <w:color w:val="000000"/>
                <w:sz w:val="32"/>
              </w:rPr>
              <w:t>原油/液化气波动</w:t>
            </w:r>
          </w:p>
        </w:tc>
        <w:tc>
          <w:tcPr>
            <w:tcW w:type="dxa" w:w="2835"/>
          </w:tcPr>
          <w:p>
            <w:pPr>
              <w:spacing w:lineRule="exact" w:line="600"/>
              <w:jc w:val="center"/>
            </w:pPr>
            <w:r/>
            <w:r>
              <w:rPr>
                <w:rFonts w:ascii="仿宋_GB2312" w:hAnsi="仿宋_GB2312" w:eastAsia="仿宋_GB2312"/>
                <w:b w:val="0"/>
                <w:color w:val="000000"/>
                <w:sz w:val="32"/>
              </w:rPr>
              <w:t>内部供应+长协</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出口占销量19%</w:t>
            </w:r>
          </w:p>
        </w:tc>
        <w:tc>
          <w:tcPr>
            <w:tcW w:type="dxa" w:w="2835"/>
          </w:tcPr>
          <w:p>
            <w:pPr>
              <w:spacing w:lineRule="exact" w:line="600"/>
              <w:jc w:val="center"/>
            </w:pPr>
            <w:r/>
            <w:r>
              <w:rPr>
                <w:rFonts w:ascii="仿宋_GB2312" w:hAnsi="仿宋_GB2312" w:eastAsia="仿宋_GB2312"/>
                <w:b w:val="0"/>
                <w:color w:val="000000"/>
                <w:sz w:val="32"/>
              </w:rPr>
              <w:t>多元市场布局</w:t>
            </w:r>
          </w:p>
        </w:tc>
      </w:tr>
      <w:tr>
        <w:tc>
          <w:tcPr>
            <w:tcW w:type="dxa" w:w="2268"/>
          </w:tcPr>
          <w:p>
            <w:pPr>
              <w:spacing w:lineRule="exact" w:line="600"/>
              <w:jc w:val="center"/>
            </w:pPr>
            <w:r/>
            <w:r>
              <w:rPr>
                <w:rFonts w:ascii="仿宋_GB2312" w:hAnsi="仿宋_GB2312" w:eastAsia="仿宋_GB2312"/>
                <w:b w:val="0"/>
                <w:color w:val="000000"/>
                <w:sz w:val="32"/>
              </w:rPr>
              <w:t>产能释放</w:t>
            </w:r>
          </w:p>
        </w:tc>
        <w:tc>
          <w:tcPr>
            <w:tcW w:type="dxa" w:w="3402"/>
          </w:tcPr>
          <w:p>
            <w:pPr>
              <w:spacing w:lineRule="exact" w:line="600"/>
              <w:jc w:val="center"/>
            </w:pPr>
            <w:r/>
            <w:r>
              <w:rPr>
                <w:rFonts w:ascii="仿宋_GB2312" w:hAnsi="仿宋_GB2312" w:eastAsia="仿宋_GB2312"/>
                <w:b w:val="0"/>
                <w:color w:val="000000"/>
                <w:sz w:val="32"/>
              </w:rPr>
              <w:t>己二腈扩至40万吨/年</w:t>
            </w:r>
          </w:p>
        </w:tc>
        <w:tc>
          <w:tcPr>
            <w:tcW w:type="dxa" w:w="2835"/>
          </w:tcPr>
          <w:p>
            <w:pPr>
              <w:spacing w:lineRule="exact" w:line="600"/>
              <w:jc w:val="center"/>
            </w:pPr>
            <w:r/>
            <w:r>
              <w:rPr>
                <w:rFonts w:ascii="仿宋_GB2312" w:hAnsi="仿宋_GB2312" w:eastAsia="仿宋_GB2312"/>
                <w:b w:val="0"/>
                <w:color w:val="000000"/>
                <w:sz w:val="32"/>
              </w:rPr>
              <w:t>下游延伸消化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（一）延链补链强链</w:t>
      </w:r>
    </w:p>
    <w:p>
      <w:pPr>
        <w:spacing w:lineRule="exact" w:line="600" w:before="0" w:after="0"/>
        <w:ind w:firstLine="420"/>
        <w:jc w:val="both"/>
      </w:pPr>
      <w:r>
        <w:rPr>
          <w:rFonts w:ascii="仿宋_GB2312" w:hAnsi="仿宋_GB2312" w:eastAsia="仿宋_GB2312"/>
          <w:b w:val="0"/>
          <w:color w:val="000000"/>
          <w:sz w:val="32"/>
        </w:rPr>
        <w:t>临淄区实施「区领导+工作专班+链主企业+专家+基金」模式，围绕15个产业链群落实链长制。重点推进鲁油鲁炼、鑫泰石化延链提升、天辰齐翔己二腈二期3个过百亿元项目；齐翔腾达规划「一基两翼」（碳三碳四基础化工+新材料新能源+专用化学品），推进20万吨/年异壬醇项目。天辰齐翔二期投资超100亿元、占地2000亩，延伸己二胺、聚碳酸丙烯酯等（来源：临淄区、齐翔腾达、天辰齐翔）。</w:t>
      </w:r>
    </w:p>
    <w:p>
      <w:pPr>
        <w:spacing w:lineRule="exact" w:line="600" w:before="120" w:after="120"/>
        <w:ind w:firstLine="420"/>
        <w:jc w:val="left"/>
      </w:pPr>
      <w:r>
        <w:rPr>
          <w:rFonts w:ascii="楷体_GB2312" w:hAnsi="楷体_GB2312" w:eastAsia="楷体_GB2312"/>
          <w:b w:val="0"/>
          <w:color w:val="000000"/>
          <w:sz w:val="32"/>
        </w:rPr>
        <w:t>（二）绿色化与智能化</w:t>
      </w:r>
    </w:p>
    <w:p>
      <w:pPr>
        <w:spacing w:lineRule="exact" w:line="600" w:before="0" w:after="0"/>
        <w:ind w:firstLine="420"/>
        <w:jc w:val="both"/>
      </w:pPr>
      <w:r>
        <w:rPr>
          <w:rFonts w:ascii="仿宋_GB2312" w:hAnsi="仿宋_GB2312" w:eastAsia="仿宋_GB2312"/>
          <w:b w:val="0"/>
          <w:color w:val="000000"/>
          <w:sz w:val="32"/>
        </w:rPr>
        <w:t>齐鲁化工区2024年筛选循环化改造项目22个、投资236.1亿元，启动绿色低碳建设园区项目；临淄经开区创建市级绿色园区、启动省级循环化改造园区。齐翔腾达培育「5G+安全」等数字化应用场景；天辰齐翔建设废液/废气焚烧、污水处理等先进环保设施，采用焚烧炉协同治理VOCs实现污染治理协同降碳（来源：临淄区政府园区概况、齐翔腾达投关记录）。</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升级方向</w:t>
            </w:r>
          </w:p>
        </w:tc>
        <w:tc>
          <w:tcPr>
            <w:tcW w:type="dxa" w:w="3685"/>
          </w:tcPr>
          <w:p>
            <w:pPr>
              <w:spacing w:lineRule="exact" w:line="600"/>
              <w:jc w:val="center"/>
            </w:pPr>
            <w:r/>
            <w:r>
              <w:rPr>
                <w:rFonts w:ascii="黑体" w:hAnsi="黑体" w:eastAsia="黑体"/>
                <w:b/>
                <w:color w:val="000000"/>
                <w:sz w:val="32"/>
              </w:rPr>
              <w:t>重点项目/举措</w:t>
            </w:r>
          </w:p>
        </w:tc>
        <w:tc>
          <w:tcPr>
            <w:tcW w:type="dxa" w:w="2551"/>
          </w:tcPr>
          <w:p>
            <w:pPr>
              <w:spacing w:lineRule="exact" w:line="600"/>
              <w:jc w:val="center"/>
            </w:pPr>
            <w:r/>
            <w:r>
              <w:rPr>
                <w:rFonts w:ascii="黑体" w:hAnsi="黑体" w:eastAsia="黑体"/>
                <w:b/>
                <w:color w:val="000000"/>
                <w:sz w:val="32"/>
              </w:rPr>
              <w:t>目标</w:t>
            </w:r>
          </w:p>
        </w:tc>
      </w:tr>
      <w:tr>
        <w:tc>
          <w:tcPr>
            <w:tcW w:type="dxa" w:w="2268"/>
          </w:tcPr>
          <w:p>
            <w:pPr>
              <w:spacing w:lineRule="exact" w:line="600"/>
              <w:jc w:val="center"/>
            </w:pPr>
            <w:r/>
            <w:r>
              <w:rPr>
                <w:rFonts w:ascii="仿宋_GB2312" w:hAnsi="仿宋_GB2312" w:eastAsia="仿宋_GB2312"/>
                <w:b w:val="0"/>
                <w:color w:val="000000"/>
                <w:sz w:val="32"/>
              </w:rPr>
              <w:t>延链补链</w:t>
            </w:r>
          </w:p>
        </w:tc>
        <w:tc>
          <w:tcPr>
            <w:tcW w:type="dxa" w:w="3685"/>
          </w:tcPr>
          <w:p>
            <w:pPr>
              <w:spacing w:lineRule="exact" w:line="600"/>
              <w:jc w:val="center"/>
            </w:pPr>
            <w:r/>
            <w:r>
              <w:rPr>
                <w:rFonts w:ascii="仿宋_GB2312" w:hAnsi="仿宋_GB2312" w:eastAsia="仿宋_GB2312"/>
                <w:b w:val="0"/>
                <w:color w:val="000000"/>
                <w:sz w:val="32"/>
              </w:rPr>
              <w:t>天辰己二腈二期、异壬醇</w:t>
            </w:r>
          </w:p>
        </w:tc>
        <w:tc>
          <w:tcPr>
            <w:tcW w:type="dxa" w:w="2551"/>
          </w:tcPr>
          <w:p>
            <w:pPr>
              <w:spacing w:lineRule="exact" w:line="600"/>
              <w:jc w:val="center"/>
            </w:pPr>
            <w:r/>
            <w:r>
              <w:rPr>
                <w:rFonts w:ascii="仿宋_GB2312" w:hAnsi="仿宋_GB2312" w:eastAsia="仿宋_GB2312"/>
                <w:b w:val="0"/>
                <w:color w:val="000000"/>
                <w:sz w:val="32"/>
              </w:rPr>
              <w:t>新增高端产能</w:t>
            </w:r>
          </w:p>
        </w:tc>
      </w:tr>
      <w:tr>
        <w:tc>
          <w:tcPr>
            <w:tcW w:type="dxa" w:w="2268"/>
          </w:tcPr>
          <w:p>
            <w:pPr>
              <w:spacing w:lineRule="exact" w:line="600"/>
              <w:jc w:val="center"/>
            </w:pPr>
            <w:r/>
            <w:r>
              <w:rPr>
                <w:rFonts w:ascii="仿宋_GB2312" w:hAnsi="仿宋_GB2312" w:eastAsia="仿宋_GB2312"/>
                <w:b w:val="0"/>
                <w:color w:val="000000"/>
                <w:sz w:val="32"/>
              </w:rPr>
              <w:t>绿色园区</w:t>
            </w:r>
          </w:p>
        </w:tc>
        <w:tc>
          <w:tcPr>
            <w:tcW w:type="dxa" w:w="3685"/>
          </w:tcPr>
          <w:p>
            <w:pPr>
              <w:spacing w:lineRule="exact" w:line="600"/>
              <w:jc w:val="center"/>
            </w:pPr>
            <w:r/>
            <w:r>
              <w:rPr>
                <w:rFonts w:ascii="仿宋_GB2312" w:hAnsi="仿宋_GB2312" w:eastAsia="仿宋_GB2312"/>
                <w:b w:val="0"/>
                <w:color w:val="000000"/>
                <w:sz w:val="32"/>
              </w:rPr>
              <w:t>循环化改造22项/236亿</w:t>
            </w:r>
          </w:p>
        </w:tc>
        <w:tc>
          <w:tcPr>
            <w:tcW w:type="dxa" w:w="2551"/>
          </w:tcPr>
          <w:p>
            <w:pPr>
              <w:spacing w:lineRule="exact" w:line="600"/>
              <w:jc w:val="center"/>
            </w:pPr>
            <w:r/>
            <w:r>
              <w:rPr>
                <w:rFonts w:ascii="仿宋_GB2312" w:hAnsi="仿宋_GB2312" w:eastAsia="仿宋_GB2312"/>
                <w:b w:val="0"/>
                <w:color w:val="000000"/>
                <w:sz w:val="32"/>
              </w:rPr>
              <w:t>低碳示范</w:t>
            </w:r>
          </w:p>
        </w:tc>
      </w:tr>
      <w:tr>
        <w:tc>
          <w:tcPr>
            <w:tcW w:type="dxa" w:w="2268"/>
          </w:tcPr>
          <w:p>
            <w:pPr>
              <w:spacing w:lineRule="exact" w:line="600"/>
              <w:jc w:val="center"/>
            </w:pPr>
            <w:r/>
            <w:r>
              <w:rPr>
                <w:rFonts w:ascii="仿宋_GB2312" w:hAnsi="仿宋_GB2312" w:eastAsia="仿宋_GB2312"/>
                <w:b w:val="0"/>
                <w:color w:val="000000"/>
                <w:sz w:val="32"/>
              </w:rPr>
              <w:t>智能工厂</w:t>
            </w:r>
          </w:p>
        </w:tc>
        <w:tc>
          <w:tcPr>
            <w:tcW w:type="dxa" w:w="3685"/>
          </w:tcPr>
          <w:p>
            <w:pPr>
              <w:spacing w:lineRule="exact" w:line="600"/>
              <w:jc w:val="center"/>
            </w:pPr>
            <w:r/>
            <w:r>
              <w:rPr>
                <w:rFonts w:ascii="仿宋_GB2312" w:hAnsi="仿宋_GB2312" w:eastAsia="仿宋_GB2312"/>
                <w:b w:val="0"/>
                <w:color w:val="000000"/>
                <w:sz w:val="32"/>
              </w:rPr>
              <w:t>5G+安全、数字园区</w:t>
            </w:r>
          </w:p>
        </w:tc>
        <w:tc>
          <w:tcPr>
            <w:tcW w:type="dxa" w:w="2551"/>
          </w:tcPr>
          <w:p>
            <w:pPr>
              <w:spacing w:lineRule="exact" w:line="600"/>
              <w:jc w:val="center"/>
            </w:pPr>
            <w:r/>
            <w:r>
              <w:rPr>
                <w:rFonts w:ascii="仿宋_GB2312" w:hAnsi="仿宋_GB2312" w:eastAsia="仿宋_GB2312"/>
                <w:b w:val="0"/>
                <w:color w:val="000000"/>
                <w:sz w:val="32"/>
              </w:rPr>
              <w:t>提质提效</w:t>
            </w:r>
          </w:p>
        </w:tc>
      </w:tr>
      <w:tr>
        <w:tc>
          <w:tcPr>
            <w:tcW w:type="dxa" w:w="2268"/>
          </w:tcPr>
          <w:p>
            <w:pPr>
              <w:spacing w:lineRule="exact" w:line="600"/>
              <w:jc w:val="center"/>
            </w:pPr>
            <w:r/>
            <w:r>
              <w:rPr>
                <w:rFonts w:ascii="仿宋_GB2312" w:hAnsi="仿宋_GB2312" w:eastAsia="仿宋_GB2312"/>
                <w:b w:val="0"/>
                <w:color w:val="000000"/>
                <w:sz w:val="32"/>
              </w:rPr>
              <w:t>工业倍增</w:t>
            </w:r>
          </w:p>
        </w:tc>
        <w:tc>
          <w:tcPr>
            <w:tcW w:type="dxa" w:w="3685"/>
          </w:tcPr>
          <w:p>
            <w:pPr>
              <w:spacing w:lineRule="exact" w:line="600"/>
              <w:jc w:val="center"/>
            </w:pPr>
            <w:r/>
            <w:r>
              <w:rPr>
                <w:rFonts w:ascii="仿宋_GB2312" w:hAnsi="仿宋_GB2312" w:eastAsia="仿宋_GB2312"/>
                <w:b w:val="0"/>
                <w:color w:val="000000"/>
                <w:sz w:val="32"/>
              </w:rPr>
              <w:t>3个百亿项目</w:t>
            </w:r>
          </w:p>
        </w:tc>
        <w:tc>
          <w:tcPr>
            <w:tcW w:type="dxa" w:w="2551"/>
          </w:tcPr>
          <w:p>
            <w:pPr>
              <w:spacing w:lineRule="exact" w:line="600"/>
              <w:jc w:val="center"/>
            </w:pPr>
            <w:r/>
            <w:r>
              <w:rPr>
                <w:rFonts w:ascii="仿宋_GB2312" w:hAnsi="仿宋_GB2312" w:eastAsia="仿宋_GB2312"/>
                <w:b w:val="0"/>
                <w:color w:val="000000"/>
                <w:sz w:val="32"/>
              </w:rPr>
              <w:t>产值破5000亿</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（一）重大项目建设融资</w:t>
      </w:r>
    </w:p>
    <w:p>
      <w:pPr>
        <w:spacing w:lineRule="exact" w:line="600" w:before="0" w:after="0"/>
        <w:ind w:firstLine="420"/>
        <w:jc w:val="both"/>
      </w:pPr>
      <w:r>
        <w:rPr>
          <w:rFonts w:ascii="仿宋_GB2312" w:hAnsi="仿宋_GB2312" w:eastAsia="仿宋_GB2312"/>
          <w:b w:val="0"/>
          <w:color w:val="000000"/>
          <w:sz w:val="32"/>
        </w:rPr>
        <w:t>天辰齐翔己二腈二期投资超100亿元、占地2000亩，需配套大额项目贷款、专项债及股权融资；齐翔腾达20万吨/年异壬醇项目已开工建设，资本开支以自有资金与银行授信为主。齐鲁化工区基础设施提升（5.7亿元）、北部污水处理厂（9.2亿元）等依赖政府专项债（2024年发放7400万元）与社会资本（来源：临淄区政府、齐翔腾达年报）。</w:t>
      </w:r>
    </w:p>
    <w:p>
      <w:pPr>
        <w:spacing w:lineRule="exact" w:line="600" w:before="120" w:after="120"/>
        <w:ind w:firstLine="420"/>
        <w:jc w:val="left"/>
      </w:pPr>
      <w:r>
        <w:rPr>
          <w:rFonts w:ascii="楷体_GB2312" w:hAnsi="楷体_GB2312" w:eastAsia="楷体_GB2312"/>
          <w:b w:val="0"/>
          <w:color w:val="000000"/>
          <w:sz w:val="32"/>
        </w:rPr>
        <w:t>（二）并购、研发与流动资金融资</w:t>
      </w:r>
    </w:p>
    <w:p>
      <w:pPr>
        <w:spacing w:lineRule="exact" w:line="600" w:before="0" w:after="0"/>
        <w:ind w:firstLine="420"/>
        <w:jc w:val="both"/>
      </w:pPr>
      <w:r>
        <w:rPr>
          <w:rFonts w:ascii="仿宋_GB2312" w:hAnsi="仿宋_GB2312" w:eastAsia="仿宋_GB2312"/>
          <w:b w:val="0"/>
          <w:color w:val="000000"/>
          <w:sz w:val="32"/>
        </w:rPr>
        <w:t>齐翔腾达明确将通过「内部优化、新建项目、兼并收购、科技研发、贸易中心」五大措施落地战略，存在并购贷款与研发专项融资需求；山能控股后已降低融资成本、优化内部资金融通。中小型单体合成及配套企业可借助临淄经开区产业链金融、供应链融资缓解集中采购资金压力。整体看，集群处于资本开支高峰期，债权+股权+专项债组合融资需求旺盛（来源：齐翔腾达投关记录、临淄经开区）。</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融资需求方向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建议工具</w:t>
            </w:r>
          </w:p>
        </w:tc>
      </w:tr>
      <w:tr>
        <w:tc>
          <w:tcPr>
            <w:tcW w:type="dxa" w:w="2835"/>
          </w:tcPr>
          <w:p>
            <w:pPr>
              <w:spacing w:lineRule="exact" w:line="600"/>
              <w:jc w:val="center"/>
            </w:pPr>
            <w:r/>
            <w:r>
              <w:rPr>
                <w:rFonts w:ascii="仿宋_GB2312" w:hAnsi="仿宋_GB2312" w:eastAsia="仿宋_GB2312"/>
                <w:b w:val="0"/>
                <w:color w:val="000000"/>
                <w:sz w:val="32"/>
              </w:rPr>
              <w:t>天辰齐翔二期</w:t>
            </w:r>
          </w:p>
        </w:tc>
        <w:tc>
          <w:tcPr>
            <w:tcW w:type="dxa" w:w="3118"/>
          </w:tcPr>
          <w:p>
            <w:pPr>
              <w:spacing w:lineRule="exact" w:line="600"/>
              <w:jc w:val="center"/>
            </w:pPr>
            <w:r/>
            <w:r>
              <w:rPr>
                <w:rFonts w:ascii="仿宋_GB2312" w:hAnsi="仿宋_GB2312" w:eastAsia="仿宋_GB2312"/>
                <w:b w:val="0"/>
                <w:color w:val="000000"/>
                <w:sz w:val="32"/>
              </w:rPr>
              <w:t>超100亿元</w:t>
            </w:r>
          </w:p>
        </w:tc>
        <w:tc>
          <w:tcPr>
            <w:tcW w:type="dxa" w:w="2551"/>
          </w:tcPr>
          <w:p>
            <w:pPr>
              <w:spacing w:lineRule="exact" w:line="600"/>
              <w:jc w:val="center"/>
            </w:pPr>
            <w:r/>
            <w:r>
              <w:rPr>
                <w:rFonts w:ascii="仿宋_GB2312" w:hAnsi="仿宋_GB2312" w:eastAsia="仿宋_GB2312"/>
                <w:b w:val="0"/>
                <w:color w:val="000000"/>
                <w:sz w:val="32"/>
              </w:rPr>
              <w:t>项目贷+股权+专项债</w:t>
            </w:r>
          </w:p>
        </w:tc>
      </w:tr>
      <w:tr>
        <w:tc>
          <w:tcPr>
            <w:tcW w:type="dxa" w:w="2835"/>
          </w:tcPr>
          <w:p>
            <w:pPr>
              <w:spacing w:lineRule="exact" w:line="600"/>
              <w:jc w:val="center"/>
            </w:pPr>
            <w:r/>
            <w:r>
              <w:rPr>
                <w:rFonts w:ascii="仿宋_GB2312" w:hAnsi="仿宋_GB2312" w:eastAsia="仿宋_GB2312"/>
                <w:b w:val="0"/>
                <w:color w:val="000000"/>
                <w:sz w:val="32"/>
              </w:rPr>
              <w:t>齐翔异壬醇</w:t>
            </w:r>
          </w:p>
        </w:tc>
        <w:tc>
          <w:tcPr>
            <w:tcW w:type="dxa" w:w="3118"/>
          </w:tcPr>
          <w:p>
            <w:pPr>
              <w:spacing w:lineRule="exact" w:line="600"/>
              <w:jc w:val="center"/>
            </w:pPr>
            <w:r/>
            <w:r>
              <w:rPr>
                <w:rFonts w:ascii="仿宋_GB2312" w:hAnsi="仿宋_GB2312" w:eastAsia="仿宋_GB2312"/>
                <w:b w:val="0"/>
                <w:color w:val="000000"/>
                <w:sz w:val="32"/>
              </w:rPr>
              <w:t>已开工</w:t>
            </w:r>
          </w:p>
        </w:tc>
        <w:tc>
          <w:tcPr>
            <w:tcW w:type="dxa" w:w="2551"/>
          </w:tcPr>
          <w:p>
            <w:pPr>
              <w:spacing w:lineRule="exact" w:line="600"/>
              <w:jc w:val="center"/>
            </w:pPr>
            <w:r/>
            <w:r>
              <w:rPr>
                <w:rFonts w:ascii="仿宋_GB2312" w:hAnsi="仿宋_GB2312" w:eastAsia="仿宋_GB2312"/>
                <w:b w:val="0"/>
                <w:color w:val="000000"/>
                <w:sz w:val="32"/>
              </w:rPr>
              <w:t>自有资金+银行授信</w:t>
            </w:r>
          </w:p>
        </w:tc>
      </w:tr>
      <w:tr>
        <w:tc>
          <w:tcPr>
            <w:tcW w:type="dxa" w:w="2835"/>
          </w:tcPr>
          <w:p>
            <w:pPr>
              <w:spacing w:lineRule="exact" w:line="600"/>
              <w:jc w:val="center"/>
            </w:pPr>
            <w:r/>
            <w:r>
              <w:rPr>
                <w:rFonts w:ascii="仿宋_GB2312" w:hAnsi="仿宋_GB2312" w:eastAsia="仿宋_GB2312"/>
                <w:b w:val="0"/>
                <w:color w:val="000000"/>
                <w:sz w:val="32"/>
              </w:rPr>
              <w:t>园区基建</w:t>
            </w:r>
          </w:p>
        </w:tc>
        <w:tc>
          <w:tcPr>
            <w:tcW w:type="dxa" w:w="3118"/>
          </w:tcPr>
          <w:p>
            <w:pPr>
              <w:spacing w:lineRule="exact" w:line="600"/>
              <w:jc w:val="center"/>
            </w:pPr>
            <w:r/>
            <w:r>
              <w:rPr>
                <w:rFonts w:ascii="仿宋_GB2312" w:hAnsi="仿宋_GB2312" w:eastAsia="仿宋_GB2312"/>
                <w:b w:val="0"/>
                <w:color w:val="000000"/>
                <w:sz w:val="32"/>
              </w:rPr>
              <w:t>5.7亿+9.2亿元</w:t>
            </w:r>
          </w:p>
        </w:tc>
        <w:tc>
          <w:tcPr>
            <w:tcW w:type="dxa" w:w="2551"/>
          </w:tcPr>
          <w:p>
            <w:pPr>
              <w:spacing w:lineRule="exact" w:line="600"/>
              <w:jc w:val="center"/>
            </w:pPr>
            <w:r/>
            <w:r>
              <w:rPr>
                <w:rFonts w:ascii="仿宋_GB2312" w:hAnsi="仿宋_GB2312" w:eastAsia="仿宋_GB2312"/>
                <w:b w:val="0"/>
                <w:color w:val="000000"/>
                <w:sz w:val="32"/>
              </w:rPr>
              <w:t>政府专项债</w:t>
            </w:r>
          </w:p>
        </w:tc>
      </w:tr>
      <w:tr>
        <w:tc>
          <w:tcPr>
            <w:tcW w:type="dxa" w:w="2835"/>
          </w:tcPr>
          <w:p>
            <w:pPr>
              <w:spacing w:lineRule="exact" w:line="600"/>
              <w:jc w:val="center"/>
            </w:pPr>
            <w:r/>
            <w:r>
              <w:rPr>
                <w:rFonts w:ascii="仿宋_GB2312" w:hAnsi="仿宋_GB2312" w:eastAsia="仿宋_GB2312"/>
                <w:b w:val="0"/>
                <w:color w:val="000000"/>
                <w:sz w:val="32"/>
              </w:rPr>
              <w:t>中小企业</w:t>
            </w:r>
          </w:p>
        </w:tc>
        <w:tc>
          <w:tcPr>
            <w:tcW w:type="dxa" w:w="3118"/>
          </w:tcPr>
          <w:p>
            <w:pPr>
              <w:spacing w:lineRule="exact" w:line="600"/>
              <w:jc w:val="center"/>
            </w:pPr>
            <w:r/>
            <w:r>
              <w:rPr>
                <w:rFonts w:ascii="仿宋_GB2312" w:hAnsi="仿宋_GB2312" w:eastAsia="仿宋_GB2312"/>
                <w:b w:val="0"/>
                <w:color w:val="000000"/>
                <w:sz w:val="32"/>
              </w:rPr>
              <w:t>集中采购资金</w:t>
            </w:r>
          </w:p>
        </w:tc>
        <w:tc>
          <w:tcPr>
            <w:tcW w:type="dxa" w:w="2551"/>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齐翔腾达化工股份有限公司（002408）：主营碳三碳四深加工单体（甲乙酮、顺酐、丙烯、MMA等）及聚氨酯原料，位于临淄区杨坡路206号；2024年营收252.19亿元，甲乙酮产能26万吨/年（国内份额约70%）、顺酐40万吨/年（全球最大），由山东能源集团控股。来源：齐翔腾达2023/2024年报、巨潮资讯网。</w:t>
      </w:r>
    </w:p>
    <w:p>
      <w:pPr>
        <w:spacing w:lineRule="exact" w:line="600" w:before="0" w:after="0"/>
        <w:ind w:firstLine="420"/>
        <w:jc w:val="both"/>
      </w:pPr>
      <w:r>
        <w:rPr>
          <w:rFonts w:ascii="仿宋_GB2312" w:hAnsi="仿宋_GB2312" w:eastAsia="仿宋_GB2312"/>
          <w:b w:val="0"/>
          <w:color w:val="000000"/>
          <w:sz w:val="32"/>
        </w:rPr>
        <w:t>天辰齐翔新材料有限公司：中国化学旗下混合所有制企业、山东省制造业重点产业链双链主，位于齐鲁化工区金山产业园；攻克丁二烯法己二腈技术，一期20万吨/年2022年投产打破国外垄断，2026年5月二期投产后总产能40万吨/年、纯度99.95%、成本低于进口20%—30%。来源：天辰齐翔官网、大众日报。</w:t>
      </w:r>
    </w:p>
    <w:p>
      <w:pPr>
        <w:spacing w:lineRule="exact" w:line="600" w:before="0" w:after="0"/>
        <w:ind w:firstLine="420"/>
        <w:jc w:val="both"/>
      </w:pPr>
      <w:r>
        <w:rPr>
          <w:rFonts w:ascii="仿宋_GB2312" w:hAnsi="仿宋_GB2312" w:eastAsia="仿宋_GB2312"/>
          <w:b w:val="0"/>
          <w:color w:val="000000"/>
          <w:sz w:val="32"/>
        </w:rPr>
        <w:t>山东一诺威新材料有限公司（北交所920261）：主营聚醚多元醇、组合聚醚等聚氨酯新材料，临淄金山镇链主之一、省制造业单项冠军；2024年营收68.57亿元，现有总产能90余万吨、全部投产后超100万吨，产品出口全球100余国。来源：一诺威年报、淄博新闻网。（注：本行业为单体合成，一诺威为碳三碳四下游聚氨酯应用代表，作为集群关联龙头列示。）</w:t>
      </w:r>
    </w:p>
    <w:p>
      <w:pPr>
        <w:spacing w:lineRule="exact" w:line="600" w:before="0" w:after="0"/>
        <w:jc w:val="left"/>
      </w:pPr>
      <w:r>
        <w:rPr>
          <w:rFonts w:ascii="仿宋_GB2312" w:hAnsi="仿宋_GB2312" w:eastAsia="仿宋_GB2312"/>
          <w:b w:val="0"/>
          <w:color w:val="000000"/>
          <w:sz w:val="28"/>
        </w:rPr>
        <w:t>主要数据来源：临淄区政府官网《园区概况》（2026-4-27）；淄博市工信局《关于发挥企业转型升级主体作用助推新材料产业高质量发展的建议办理答复》；2024华东石油化工装备采购大会（同花顺财经，2024-12-02）；齐翔腾达2023年年度报告（巨潮资讯网，2024-04-27）；齐翔腾达投资者关系活动记录表（2024-04-29）；天辰齐翔官网公司介绍及央视新闻联播投产报道；大众日报·鲁中晨报《沿着高速看淄博》（2025-04-23）；淄博日报《解构「金山」之脊》（2024-09-29）；新浪财经《齐翔腾达2023年亏损3.84亿元》（2024-04-27）</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