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山东淄博周村（不锈钢深加工）特色产业集群</w:t>
      </w:r>
    </w:p>
    <w:p>
      <w:pPr>
        <w:spacing w:lineRule="exact" w:line="600" w:before="240" w:after="240"/>
        <w:ind w:firstLine="0"/>
        <w:jc w:val="center"/>
      </w:pPr>
      <w:r>
        <w:rPr>
          <w:rFonts w:ascii="方正小标宋简体" w:hAnsi="方正小标宋简体" w:eastAsia="方正小标宋简体"/>
          <w:b w:val="0"/>
          <w:color w:val="000000"/>
          <w:sz w:val="44"/>
        </w:rPr>
        <w:t>不锈钢冶炼与板材行业深度分析报告</w:t>
      </w:r>
    </w:p>
    <w:p>
      <w:pPr>
        <w:spacing w:lineRule="exact" w:line="600" w:before="0" w:after="0"/>
        <w:jc w:val="left"/>
      </w:pPr>
      <w:r>
        <w:rPr>
          <w:rFonts w:ascii="仿宋_GB2312" w:hAnsi="仿宋_GB2312" w:eastAsia="仿宋_GB2312"/>
          <w:b w:val="0"/>
          <w:color w:val="000000"/>
          <w:sz w:val="28"/>
        </w:rPr>
        <w:t>本报告聚焦不锈钢板材（冷热卷、平板、中厚板）供给与加工，数据来源于周村区政府官网、经济日报、大众网等公开报道，数据截至2024—2026年；周村以终端市场与精深加工见长，冶炼环节主要为上游钢厂供给，已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周村是国内最大的不锈钢二级（终端）市场、江北第一、全国第三的不锈钢商贸流通集散地。全区不锈钢生产经营业户超千家、规上企业116家，2025年产业集群交易额突破600亿元，入选山东省「十强产业」雁阵形产业集群，正向千亿级目标迈进。不锈钢板材（200/300/400系列冷热卷、平板、中厚板）是集群贸易加工的主体，原料来自太钢、宝钢、青山等头部钢厂，本地以开平、分条、表面处理等精深加工为主。淄博伟业不锈钢为板材加工与绿色建材代表，拥有17个加工车间、6万平方米空间、年加工能力数十万吨。行业机遇在于向高端制造与绿色建筑转型，风险在于镍价波动、贸易摩擦与低端同质竞争。</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周村不锈钢交易额</w:t>
            </w:r>
          </w:p>
        </w:tc>
        <w:tc>
          <w:tcPr>
            <w:tcW w:type="dxa" w:w="2835"/>
          </w:tcPr>
          <w:p>
            <w:pPr>
              <w:spacing w:lineRule="exact" w:line="600"/>
              <w:jc w:val="center"/>
            </w:pPr>
            <w:r/>
            <w:r>
              <w:rPr>
                <w:rFonts w:ascii="仿宋_GB2312" w:hAnsi="仿宋_GB2312" w:eastAsia="仿宋_GB2312"/>
                <w:b w:val="0"/>
                <w:color w:val="000000"/>
                <w:sz w:val="32"/>
              </w:rPr>
              <w:t>突破600亿元</w:t>
            </w:r>
          </w:p>
        </w:tc>
        <w:tc>
          <w:tcPr>
            <w:tcW w:type="dxa" w:w="3118"/>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生产经营业户</w:t>
            </w:r>
          </w:p>
        </w:tc>
        <w:tc>
          <w:tcPr>
            <w:tcW w:type="dxa" w:w="2835"/>
          </w:tcPr>
          <w:p>
            <w:pPr>
              <w:spacing w:lineRule="exact" w:line="600"/>
              <w:jc w:val="center"/>
            </w:pPr>
            <w:r/>
            <w:r>
              <w:rPr>
                <w:rFonts w:ascii="仿宋_GB2312" w:hAnsi="仿宋_GB2312" w:eastAsia="仿宋_GB2312"/>
                <w:b w:val="0"/>
                <w:color w:val="000000"/>
                <w:sz w:val="32"/>
              </w:rPr>
              <w:t>超千家（约850家）</w:t>
            </w:r>
          </w:p>
        </w:tc>
        <w:tc>
          <w:tcPr>
            <w:tcW w:type="dxa" w:w="3118"/>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835"/>
          </w:tcPr>
          <w:p>
            <w:pPr>
              <w:spacing w:lineRule="exact" w:line="600"/>
              <w:jc w:val="center"/>
            </w:pPr>
            <w:r/>
            <w:r>
              <w:rPr>
                <w:rFonts w:ascii="仿宋_GB2312" w:hAnsi="仿宋_GB2312" w:eastAsia="仿宋_GB2312"/>
                <w:b w:val="0"/>
                <w:color w:val="000000"/>
                <w:sz w:val="32"/>
              </w:rPr>
              <w:t>116家</w:t>
            </w:r>
          </w:p>
        </w:tc>
        <w:tc>
          <w:tcPr>
            <w:tcW w:type="dxa" w:w="3118"/>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产业集聚区</w:t>
            </w:r>
          </w:p>
        </w:tc>
        <w:tc>
          <w:tcPr>
            <w:tcW w:type="dxa" w:w="2835"/>
          </w:tcPr>
          <w:p>
            <w:pPr>
              <w:spacing w:lineRule="exact" w:line="600"/>
              <w:jc w:val="center"/>
            </w:pPr>
            <w:r/>
            <w:r>
              <w:rPr>
                <w:rFonts w:ascii="仿宋_GB2312" w:hAnsi="仿宋_GB2312" w:eastAsia="仿宋_GB2312"/>
                <w:b w:val="0"/>
                <w:color w:val="000000"/>
                <w:sz w:val="32"/>
              </w:rPr>
              <w:t>700公顷</w:t>
            </w:r>
          </w:p>
        </w:tc>
        <w:tc>
          <w:tcPr>
            <w:tcW w:type="dxa" w:w="3118"/>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从业人员</w:t>
            </w:r>
          </w:p>
        </w:tc>
        <w:tc>
          <w:tcPr>
            <w:tcW w:type="dxa" w:w="2835"/>
          </w:tcPr>
          <w:p>
            <w:pPr>
              <w:spacing w:lineRule="exact" w:line="600"/>
              <w:jc w:val="center"/>
            </w:pPr>
            <w:r/>
            <w:r>
              <w:rPr>
                <w:rFonts w:ascii="仿宋_GB2312" w:hAnsi="仿宋_GB2312" w:eastAsia="仿宋_GB2312"/>
                <w:b w:val="0"/>
                <w:color w:val="000000"/>
                <w:sz w:val="32"/>
              </w:rPr>
              <w:t>近万人</w:t>
            </w:r>
          </w:p>
        </w:tc>
        <w:tc>
          <w:tcPr>
            <w:tcW w:type="dxa" w:w="3118"/>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服务消费企业</w:t>
            </w:r>
          </w:p>
        </w:tc>
        <w:tc>
          <w:tcPr>
            <w:tcW w:type="dxa" w:w="2835"/>
          </w:tcPr>
          <w:p>
            <w:pPr>
              <w:spacing w:lineRule="exact" w:line="600"/>
              <w:jc w:val="center"/>
            </w:pPr>
            <w:r/>
            <w:r>
              <w:rPr>
                <w:rFonts w:ascii="仿宋_GB2312" w:hAnsi="仿宋_GB2312" w:eastAsia="仿宋_GB2312"/>
                <w:b w:val="0"/>
                <w:color w:val="000000"/>
                <w:sz w:val="32"/>
              </w:rPr>
              <w:t>2500余家</w:t>
            </w:r>
          </w:p>
        </w:tc>
        <w:tc>
          <w:tcPr>
            <w:tcW w:type="dxa" w:w="3118"/>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南郊镇交易额</w:t>
            </w:r>
          </w:p>
        </w:tc>
        <w:tc>
          <w:tcPr>
            <w:tcW w:type="dxa" w:w="2835"/>
          </w:tcPr>
          <w:p>
            <w:pPr>
              <w:spacing w:lineRule="exact" w:line="600"/>
              <w:jc w:val="center"/>
            </w:pPr>
            <w:r/>
            <w:r>
              <w:rPr>
                <w:rFonts w:ascii="仿宋_GB2312" w:hAnsi="仿宋_GB2312" w:eastAsia="仿宋_GB2312"/>
                <w:b w:val="0"/>
                <w:color w:val="000000"/>
                <w:sz w:val="32"/>
              </w:rPr>
              <w:t>超200亿元</w:t>
            </w:r>
          </w:p>
        </w:tc>
        <w:tc>
          <w:tcPr>
            <w:tcW w:type="dxa" w:w="3118"/>
          </w:tcPr>
          <w:p>
            <w:pPr>
              <w:spacing w:lineRule="exact" w:line="600"/>
              <w:jc w:val="center"/>
            </w:pPr>
            <w:r/>
            <w:r>
              <w:rPr>
                <w:rFonts w:ascii="仿宋_GB2312" w:hAnsi="仿宋_GB2312" w:eastAsia="仿宋_GB2312"/>
                <w:b w:val="0"/>
                <w:color w:val="000000"/>
                <w:sz w:val="32"/>
              </w:rPr>
              <w:t>大众网</w:t>
            </w:r>
          </w:p>
        </w:tc>
      </w:tr>
      <w:tr>
        <w:tc>
          <w:tcPr>
            <w:tcW w:type="dxa" w:w="2835"/>
          </w:tcPr>
          <w:p>
            <w:pPr>
              <w:spacing w:lineRule="exact" w:line="600"/>
              <w:jc w:val="center"/>
            </w:pPr>
            <w:r/>
            <w:r>
              <w:rPr>
                <w:rFonts w:ascii="仿宋_GB2312" w:hAnsi="仿宋_GB2312" w:eastAsia="仿宋_GB2312"/>
                <w:b w:val="0"/>
                <w:color w:val="000000"/>
                <w:sz w:val="32"/>
              </w:rPr>
              <w:t>园区经营面积</w:t>
            </w:r>
          </w:p>
        </w:tc>
        <w:tc>
          <w:tcPr>
            <w:tcW w:type="dxa" w:w="2835"/>
          </w:tcPr>
          <w:p>
            <w:pPr>
              <w:spacing w:lineRule="exact" w:line="600"/>
              <w:jc w:val="center"/>
            </w:pPr>
            <w:r/>
            <w:r>
              <w:rPr>
                <w:rFonts w:ascii="仿宋_GB2312" w:hAnsi="仿宋_GB2312" w:eastAsia="仿宋_GB2312"/>
                <w:b w:val="0"/>
                <w:color w:val="000000"/>
                <w:sz w:val="32"/>
              </w:rPr>
              <w:t>近100万㎡</w:t>
            </w:r>
          </w:p>
        </w:tc>
        <w:tc>
          <w:tcPr>
            <w:tcW w:type="dxa" w:w="3118"/>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集群地位</w:t>
            </w:r>
          </w:p>
        </w:tc>
        <w:tc>
          <w:tcPr>
            <w:tcW w:type="dxa" w:w="2835"/>
          </w:tcPr>
          <w:p>
            <w:pPr>
              <w:spacing w:lineRule="exact" w:line="600"/>
              <w:jc w:val="center"/>
            </w:pPr>
            <w:r/>
            <w:r>
              <w:rPr>
                <w:rFonts w:ascii="仿宋_GB2312" w:hAnsi="仿宋_GB2312" w:eastAsia="仿宋_GB2312"/>
                <w:b w:val="0"/>
                <w:color w:val="000000"/>
                <w:sz w:val="32"/>
              </w:rPr>
              <w:t>全国第三集散地</w:t>
            </w:r>
          </w:p>
        </w:tc>
        <w:tc>
          <w:tcPr>
            <w:tcW w:type="dxa" w:w="3118"/>
          </w:tcPr>
          <w:p>
            <w:pPr>
              <w:spacing w:lineRule="exact" w:line="600"/>
              <w:jc w:val="center"/>
            </w:pPr>
            <w:r/>
            <w:r>
              <w:rPr>
                <w:rFonts w:ascii="仿宋_GB2312" w:hAnsi="仿宋_GB2312" w:eastAsia="仿宋_GB2312"/>
                <w:b w:val="0"/>
                <w:color w:val="000000"/>
                <w:sz w:val="32"/>
              </w:rPr>
              <w:t>江北第一</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不锈钢属先进基础材料，广泛应用于建筑、装备制造、环保、医疗器械。山东省推动传统产业高端化、智能化、绿色化转型，周村不锈钢产业2025年9月成功入选山东省「十强产业」雁阵形产业集群，成为当年淄博市唯一入选的产业集群。国家提振大宗消费、城市更新与环保装备需求，拉动不锈钢板材中长期需求（来源：周村区政府、经济日报）。</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周村区深入实施传统产业强基工程，规划建设700公顷不锈钢产业集聚区，聚力打造集仓储、贸易、加工于一体的千亿级不锈钢产业集群。全区不锈钢行业从业人员近万人、产品上千种，年交易额由500亿元（2024）提升至突破600亿元（2025）。周村是江北第一、全国第三的不锈钢商贸流通集散地、全国最大的不锈钢二级（终端）市场（来源：周村区政府官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2835"/>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产业集聚区面积</w:t>
            </w:r>
          </w:p>
        </w:tc>
        <w:tc>
          <w:tcPr>
            <w:tcW w:type="dxa" w:w="2835"/>
          </w:tcPr>
          <w:p>
            <w:pPr>
              <w:spacing w:lineRule="exact" w:line="600"/>
              <w:jc w:val="center"/>
            </w:pPr>
            <w:r/>
            <w:r>
              <w:rPr>
                <w:rFonts w:ascii="仿宋_GB2312" w:hAnsi="仿宋_GB2312" w:eastAsia="仿宋_GB2312"/>
                <w:b w:val="0"/>
                <w:color w:val="000000"/>
                <w:sz w:val="32"/>
              </w:rPr>
              <w:t>700公顷</w:t>
            </w:r>
          </w:p>
        </w:tc>
        <w:tc>
          <w:tcPr>
            <w:tcW w:type="dxa" w:w="2835"/>
          </w:tcPr>
          <w:p>
            <w:pPr>
              <w:spacing w:lineRule="exact" w:line="600"/>
              <w:jc w:val="center"/>
            </w:pPr>
            <w:r/>
            <w:r>
              <w:rPr>
                <w:rFonts w:ascii="仿宋_GB2312" w:hAnsi="仿宋_GB2312" w:eastAsia="仿宋_GB2312"/>
                <w:b w:val="0"/>
                <w:color w:val="000000"/>
                <w:sz w:val="32"/>
              </w:rPr>
              <w:t>周村区规划</w:t>
            </w:r>
          </w:p>
        </w:tc>
      </w:tr>
      <w:tr>
        <w:tc>
          <w:tcPr>
            <w:tcW w:type="dxa" w:w="2835"/>
          </w:tcPr>
          <w:p>
            <w:pPr>
              <w:spacing w:lineRule="exact" w:line="600"/>
              <w:jc w:val="center"/>
            </w:pPr>
            <w:r/>
            <w:r>
              <w:rPr>
                <w:rFonts w:ascii="仿宋_GB2312" w:hAnsi="仿宋_GB2312" w:eastAsia="仿宋_GB2312"/>
                <w:b w:val="0"/>
                <w:color w:val="000000"/>
                <w:sz w:val="32"/>
              </w:rPr>
              <w:t>年交易额</w:t>
            </w:r>
          </w:p>
        </w:tc>
        <w:tc>
          <w:tcPr>
            <w:tcW w:type="dxa" w:w="2835"/>
          </w:tcPr>
          <w:p>
            <w:pPr>
              <w:spacing w:lineRule="exact" w:line="600"/>
              <w:jc w:val="center"/>
            </w:pPr>
            <w:r/>
            <w:r>
              <w:rPr>
                <w:rFonts w:ascii="仿宋_GB2312" w:hAnsi="仿宋_GB2312" w:eastAsia="仿宋_GB2312"/>
                <w:b w:val="0"/>
                <w:color w:val="000000"/>
                <w:sz w:val="32"/>
              </w:rPr>
              <w:t>突破600亿元</w:t>
            </w:r>
          </w:p>
        </w:tc>
        <w:tc>
          <w:tcPr>
            <w:tcW w:type="dxa" w:w="2835"/>
          </w:tcPr>
          <w:p>
            <w:pPr>
              <w:spacing w:lineRule="exact" w:line="600"/>
              <w:jc w:val="center"/>
            </w:pPr>
            <w:r/>
            <w:r>
              <w:rPr>
                <w:rFonts w:ascii="仿宋_GB2312" w:hAnsi="仿宋_GB2312" w:eastAsia="仿宋_GB2312"/>
                <w:b w:val="0"/>
                <w:color w:val="000000"/>
                <w:sz w:val="32"/>
              </w:rPr>
              <w:t>2025</w:t>
            </w:r>
          </w:p>
        </w:tc>
      </w:tr>
      <w:tr>
        <w:tc>
          <w:tcPr>
            <w:tcW w:type="dxa" w:w="2835"/>
          </w:tcPr>
          <w:p>
            <w:pPr>
              <w:spacing w:lineRule="exact" w:line="600"/>
              <w:jc w:val="center"/>
            </w:pPr>
            <w:r/>
            <w:r>
              <w:rPr>
                <w:rFonts w:ascii="仿宋_GB2312" w:hAnsi="仿宋_GB2312" w:eastAsia="仿宋_GB2312"/>
                <w:b w:val="0"/>
                <w:color w:val="000000"/>
                <w:sz w:val="32"/>
              </w:rPr>
              <w:t>生产经营业户</w:t>
            </w:r>
          </w:p>
        </w:tc>
        <w:tc>
          <w:tcPr>
            <w:tcW w:type="dxa" w:w="2835"/>
          </w:tcPr>
          <w:p>
            <w:pPr>
              <w:spacing w:lineRule="exact" w:line="600"/>
              <w:jc w:val="center"/>
            </w:pPr>
            <w:r/>
            <w:r>
              <w:rPr>
                <w:rFonts w:ascii="仿宋_GB2312" w:hAnsi="仿宋_GB2312" w:eastAsia="仿宋_GB2312"/>
                <w:b w:val="0"/>
                <w:color w:val="000000"/>
                <w:sz w:val="32"/>
              </w:rPr>
              <w:t>超千家（约850家）</w:t>
            </w:r>
          </w:p>
        </w:tc>
        <w:tc>
          <w:tcPr>
            <w:tcW w:type="dxa" w:w="2835"/>
          </w:tcPr>
          <w:p>
            <w:pPr>
              <w:spacing w:lineRule="exact" w:line="600"/>
              <w:jc w:val="center"/>
            </w:pPr>
            <w:r/>
            <w:r>
              <w:rPr>
                <w:rFonts w:ascii="仿宋_GB2312" w:hAnsi="仿宋_GB2312" w:eastAsia="仿宋_GB2312"/>
                <w:b w:val="0"/>
                <w:color w:val="000000"/>
                <w:sz w:val="32"/>
              </w:rPr>
              <w:t>周村区政府</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2835"/>
          </w:tcPr>
          <w:p>
            <w:pPr>
              <w:spacing w:lineRule="exact" w:line="600"/>
              <w:jc w:val="center"/>
            </w:pPr>
            <w:r/>
            <w:r>
              <w:rPr>
                <w:rFonts w:ascii="仿宋_GB2312" w:hAnsi="仿宋_GB2312" w:eastAsia="仿宋_GB2312"/>
                <w:b w:val="0"/>
                <w:color w:val="000000"/>
                <w:sz w:val="32"/>
              </w:rPr>
              <w:t>116家</w:t>
            </w:r>
          </w:p>
        </w:tc>
        <w:tc>
          <w:tcPr>
            <w:tcW w:type="dxa" w:w="2835"/>
          </w:tcPr>
          <w:p>
            <w:pPr>
              <w:spacing w:lineRule="exact" w:line="600"/>
              <w:jc w:val="center"/>
            </w:pPr>
            <w:r/>
            <w:r>
              <w:rPr>
                <w:rFonts w:ascii="仿宋_GB2312" w:hAnsi="仿宋_GB2312" w:eastAsia="仿宋_GB2312"/>
                <w:b w:val="0"/>
                <w:color w:val="000000"/>
                <w:sz w:val="32"/>
              </w:rPr>
              <w:t>2025展览会</w:t>
            </w:r>
          </w:p>
        </w:tc>
      </w:tr>
      <w:tr>
        <w:tc>
          <w:tcPr>
            <w:tcW w:type="dxa" w:w="2835"/>
          </w:tcPr>
          <w:p>
            <w:pPr>
              <w:spacing w:lineRule="exact" w:line="600"/>
              <w:jc w:val="center"/>
            </w:pPr>
            <w:r/>
            <w:r>
              <w:rPr>
                <w:rFonts w:ascii="仿宋_GB2312" w:hAnsi="仿宋_GB2312" w:eastAsia="仿宋_GB2312"/>
                <w:b w:val="0"/>
                <w:color w:val="000000"/>
                <w:sz w:val="32"/>
              </w:rPr>
              <w:t>从业人员</w:t>
            </w:r>
          </w:p>
        </w:tc>
        <w:tc>
          <w:tcPr>
            <w:tcW w:type="dxa" w:w="2835"/>
          </w:tcPr>
          <w:p>
            <w:pPr>
              <w:spacing w:lineRule="exact" w:line="600"/>
              <w:jc w:val="center"/>
            </w:pPr>
            <w:r/>
            <w:r>
              <w:rPr>
                <w:rFonts w:ascii="仿宋_GB2312" w:hAnsi="仿宋_GB2312" w:eastAsia="仿宋_GB2312"/>
                <w:b w:val="0"/>
                <w:color w:val="000000"/>
                <w:sz w:val="32"/>
              </w:rPr>
              <w:t>近万人</w:t>
            </w:r>
          </w:p>
        </w:tc>
        <w:tc>
          <w:tcPr>
            <w:tcW w:type="dxa" w:w="2835"/>
          </w:tcPr>
          <w:p>
            <w:pPr>
              <w:spacing w:lineRule="exact" w:line="600"/>
              <w:jc w:val="center"/>
            </w:pPr>
            <w:r/>
            <w:r>
              <w:rPr>
                <w:rFonts w:ascii="仿宋_GB2312" w:hAnsi="仿宋_GB2312" w:eastAsia="仿宋_GB2312"/>
                <w:b w:val="0"/>
                <w:color w:val="000000"/>
                <w:sz w:val="32"/>
              </w:rPr>
              <w:t>周村区</w:t>
            </w:r>
          </w:p>
        </w:tc>
      </w:tr>
      <w:tr>
        <w:tc>
          <w:tcPr>
            <w:tcW w:type="dxa" w:w="2835"/>
          </w:tcPr>
          <w:p>
            <w:pPr>
              <w:spacing w:lineRule="exact" w:line="600"/>
              <w:jc w:val="center"/>
            </w:pPr>
            <w:r/>
            <w:r>
              <w:rPr>
                <w:rFonts w:ascii="仿宋_GB2312" w:hAnsi="仿宋_GB2312" w:eastAsia="仿宋_GB2312"/>
                <w:b w:val="0"/>
                <w:color w:val="000000"/>
                <w:sz w:val="32"/>
              </w:rPr>
              <w:t>集群地位</w:t>
            </w:r>
          </w:p>
        </w:tc>
        <w:tc>
          <w:tcPr>
            <w:tcW w:type="dxa" w:w="2835"/>
          </w:tcPr>
          <w:p>
            <w:pPr>
              <w:spacing w:lineRule="exact" w:line="600"/>
              <w:jc w:val="center"/>
            </w:pPr>
            <w:r/>
            <w:r>
              <w:rPr>
                <w:rFonts w:ascii="仿宋_GB2312" w:hAnsi="仿宋_GB2312" w:eastAsia="仿宋_GB2312"/>
                <w:b w:val="0"/>
                <w:color w:val="000000"/>
                <w:sz w:val="32"/>
              </w:rPr>
              <w:t>全国第三集散地</w:t>
            </w:r>
          </w:p>
        </w:tc>
        <w:tc>
          <w:tcPr>
            <w:tcW w:type="dxa" w:w="2835"/>
          </w:tcPr>
          <w:p>
            <w:pPr>
              <w:spacing w:lineRule="exact" w:line="600"/>
              <w:jc w:val="center"/>
            </w:pPr>
            <w:r/>
            <w:r>
              <w:rPr>
                <w:rFonts w:ascii="仿宋_GB2312" w:hAnsi="仿宋_GB2312" w:eastAsia="仿宋_GB2312"/>
                <w:b w:val="0"/>
                <w:color w:val="000000"/>
                <w:sz w:val="32"/>
              </w:rPr>
              <w:t>江北第一</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（一）上游冶炼与板材供给</w:t>
      </w:r>
    </w:p>
    <w:p>
      <w:pPr>
        <w:spacing w:lineRule="exact" w:line="600" w:before="0" w:after="0"/>
        <w:ind w:firstLine="420"/>
        <w:jc w:val="both"/>
      </w:pPr>
      <w:r>
        <w:rPr>
          <w:rFonts w:ascii="仿宋_GB2312" w:hAnsi="仿宋_GB2312" w:eastAsia="仿宋_GB2312"/>
          <w:b w:val="0"/>
          <w:color w:val="000000"/>
          <w:sz w:val="32"/>
        </w:rPr>
        <w:t>不锈钢冶炼与板材由上游特钢企业完成：周村企业一手牵起十大钢厂上游资源，太钢、宝钢、青山控股、酒钢、浦项等为主要供货方。山东新世纪不锈钢为太钢北方唯一核心代理、青山集团北方一级渠道公司，构建年加工70万吨、仓储10万吨的体系。本地以板材贸易与精深加工为主，冶炼环节集中于钢厂，形成「钢厂冶炼—周村贸易加工—终端制造」链条（来源：周村区、百度百科）。</w:t>
      </w:r>
    </w:p>
    <w:p>
      <w:pPr>
        <w:spacing w:lineRule="exact" w:line="600" w:before="120" w:after="120"/>
        <w:ind w:firstLine="420"/>
        <w:jc w:val="left"/>
      </w:pPr>
      <w:r>
        <w:rPr>
          <w:rFonts w:ascii="楷体_GB2312" w:hAnsi="楷体_GB2312" w:eastAsia="楷体_GB2312"/>
          <w:b w:val="0"/>
          <w:color w:val="000000"/>
          <w:sz w:val="32"/>
        </w:rPr>
        <w:t>（二）板材品类与加工体系</w:t>
      </w:r>
    </w:p>
    <w:p>
      <w:pPr>
        <w:spacing w:lineRule="exact" w:line="600" w:before="0" w:after="0"/>
        <w:ind w:firstLine="420"/>
        <w:jc w:val="both"/>
      </w:pPr>
      <w:r>
        <w:rPr>
          <w:rFonts w:ascii="仿宋_GB2312" w:hAnsi="仿宋_GB2312" w:eastAsia="仿宋_GB2312"/>
          <w:b w:val="0"/>
          <w:color w:val="000000"/>
          <w:sz w:val="32"/>
        </w:rPr>
        <w:t>周村不锈钢产品覆盖板材、棒材、型材、管材等数十个门类、上千个品种。板材包括200、300、400系列冷热卷、平板与中厚板（如304、304J1、321、316L、310S等，热轧3.0—16.0mm、冷轧0.3—3.0mm、中厚板18—60mm）。加工环节含开平、分条、激光切割、8K镜面、油磨、压瓦、折弯、雕花等数十道工序，配套表面处理（拉丝、抛光、喷砂）（来源：伟业不锈钢、新世纪不锈钢资料）。</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3402"/>
          </w:tcPr>
          <w:p>
            <w:pPr>
              <w:spacing w:lineRule="exact" w:line="600"/>
              <w:jc w:val="center"/>
            </w:pPr>
            <w:r/>
            <w:r>
              <w:rPr>
                <w:rFonts w:ascii="黑体" w:hAnsi="黑体" w:eastAsia="黑体"/>
                <w:b/>
                <w:color w:val="000000"/>
                <w:sz w:val="32"/>
              </w:rPr>
              <w:t>代表产品/产能</w:t>
            </w:r>
          </w:p>
        </w:tc>
        <w:tc>
          <w:tcPr>
            <w:tcW w:type="dxa" w:w="2551"/>
          </w:tcPr>
          <w:p>
            <w:pPr>
              <w:spacing w:lineRule="exact" w:line="600"/>
              <w:jc w:val="center"/>
            </w:pPr>
            <w:r/>
            <w:r>
              <w:rPr>
                <w:rFonts w:ascii="黑体" w:hAnsi="黑体" w:eastAsia="黑体"/>
                <w:b/>
                <w:color w:val="000000"/>
                <w:sz w:val="32"/>
              </w:rPr>
              <w:t>主体</w:t>
            </w:r>
          </w:p>
        </w:tc>
      </w:tr>
      <w:tr>
        <w:tc>
          <w:tcPr>
            <w:tcW w:type="dxa" w:w="2551"/>
          </w:tcPr>
          <w:p>
            <w:pPr>
              <w:spacing w:lineRule="exact" w:line="600"/>
              <w:jc w:val="center"/>
            </w:pPr>
            <w:r/>
            <w:r>
              <w:rPr>
                <w:rFonts w:ascii="仿宋_GB2312" w:hAnsi="仿宋_GB2312" w:eastAsia="仿宋_GB2312"/>
                <w:b w:val="0"/>
                <w:color w:val="000000"/>
                <w:sz w:val="32"/>
              </w:rPr>
              <w:t>上游冶炼</w:t>
            </w:r>
          </w:p>
        </w:tc>
        <w:tc>
          <w:tcPr>
            <w:tcW w:type="dxa" w:w="3402"/>
          </w:tcPr>
          <w:p>
            <w:pPr>
              <w:spacing w:lineRule="exact" w:line="600"/>
              <w:jc w:val="center"/>
            </w:pPr>
            <w:r/>
            <w:r>
              <w:rPr>
                <w:rFonts w:ascii="仿宋_GB2312" w:hAnsi="仿宋_GB2312" w:eastAsia="仿宋_GB2312"/>
                <w:b w:val="0"/>
                <w:color w:val="000000"/>
                <w:sz w:val="32"/>
              </w:rPr>
              <w:t>太钢/宝钢/青山供料</w:t>
            </w:r>
          </w:p>
        </w:tc>
        <w:tc>
          <w:tcPr>
            <w:tcW w:type="dxa" w:w="2551"/>
          </w:tcPr>
          <w:p>
            <w:pPr>
              <w:spacing w:lineRule="exact" w:line="600"/>
              <w:jc w:val="center"/>
            </w:pPr>
            <w:r/>
            <w:r>
              <w:rPr>
                <w:rFonts w:ascii="仿宋_GB2312" w:hAnsi="仿宋_GB2312" w:eastAsia="仿宋_GB2312"/>
                <w:b w:val="0"/>
                <w:color w:val="000000"/>
                <w:sz w:val="32"/>
              </w:rPr>
              <w:t>头部钢厂</w:t>
            </w:r>
          </w:p>
        </w:tc>
      </w:tr>
      <w:tr>
        <w:tc>
          <w:tcPr>
            <w:tcW w:type="dxa" w:w="2551"/>
          </w:tcPr>
          <w:p>
            <w:pPr>
              <w:spacing w:lineRule="exact" w:line="600"/>
              <w:jc w:val="center"/>
            </w:pPr>
            <w:r/>
            <w:r>
              <w:rPr>
                <w:rFonts w:ascii="仿宋_GB2312" w:hAnsi="仿宋_GB2312" w:eastAsia="仿宋_GB2312"/>
                <w:b w:val="0"/>
                <w:color w:val="000000"/>
                <w:sz w:val="32"/>
              </w:rPr>
              <w:t>板材贸易</w:t>
            </w:r>
          </w:p>
        </w:tc>
        <w:tc>
          <w:tcPr>
            <w:tcW w:type="dxa" w:w="3402"/>
          </w:tcPr>
          <w:p>
            <w:pPr>
              <w:spacing w:lineRule="exact" w:line="600"/>
              <w:jc w:val="center"/>
            </w:pPr>
            <w:r/>
            <w:r>
              <w:rPr>
                <w:rFonts w:ascii="仿宋_GB2312" w:hAnsi="仿宋_GB2312" w:eastAsia="仿宋_GB2312"/>
                <w:b w:val="0"/>
                <w:color w:val="000000"/>
                <w:sz w:val="32"/>
              </w:rPr>
              <w:t>年加工70万吨</w:t>
            </w:r>
          </w:p>
        </w:tc>
        <w:tc>
          <w:tcPr>
            <w:tcW w:type="dxa" w:w="2551"/>
          </w:tcPr>
          <w:p>
            <w:pPr>
              <w:spacing w:lineRule="exact" w:line="600"/>
              <w:jc w:val="center"/>
            </w:pPr>
            <w:r/>
            <w:r>
              <w:rPr>
                <w:rFonts w:ascii="仿宋_GB2312" w:hAnsi="仿宋_GB2312" w:eastAsia="仿宋_GB2312"/>
                <w:b w:val="0"/>
                <w:color w:val="000000"/>
                <w:sz w:val="32"/>
              </w:rPr>
              <w:t>新世纪不锈钢</w:t>
            </w:r>
          </w:p>
        </w:tc>
      </w:tr>
      <w:tr>
        <w:tc>
          <w:tcPr>
            <w:tcW w:type="dxa" w:w="2551"/>
          </w:tcPr>
          <w:p>
            <w:pPr>
              <w:spacing w:lineRule="exact" w:line="600"/>
              <w:jc w:val="center"/>
            </w:pPr>
            <w:r/>
            <w:r>
              <w:rPr>
                <w:rFonts w:ascii="仿宋_GB2312" w:hAnsi="仿宋_GB2312" w:eastAsia="仿宋_GB2312"/>
                <w:b w:val="0"/>
                <w:color w:val="000000"/>
                <w:sz w:val="32"/>
              </w:rPr>
              <w:t>仓储</w:t>
            </w:r>
          </w:p>
        </w:tc>
        <w:tc>
          <w:tcPr>
            <w:tcW w:type="dxa" w:w="3402"/>
          </w:tcPr>
          <w:p>
            <w:pPr>
              <w:spacing w:lineRule="exact" w:line="600"/>
              <w:jc w:val="center"/>
            </w:pPr>
            <w:r/>
            <w:r>
              <w:rPr>
                <w:rFonts w:ascii="仿宋_GB2312" w:hAnsi="仿宋_GB2312" w:eastAsia="仿宋_GB2312"/>
                <w:b w:val="0"/>
                <w:color w:val="000000"/>
                <w:sz w:val="32"/>
              </w:rPr>
              <w:t>10万吨</w:t>
            </w:r>
          </w:p>
        </w:tc>
        <w:tc>
          <w:tcPr>
            <w:tcW w:type="dxa" w:w="2551"/>
          </w:tcPr>
          <w:p>
            <w:pPr>
              <w:spacing w:lineRule="exact" w:line="600"/>
              <w:jc w:val="center"/>
            </w:pPr>
            <w:r/>
            <w:r>
              <w:rPr>
                <w:rFonts w:ascii="仿宋_GB2312" w:hAnsi="仿宋_GB2312" w:eastAsia="仿宋_GB2312"/>
                <w:b w:val="0"/>
                <w:color w:val="000000"/>
                <w:sz w:val="32"/>
              </w:rPr>
              <w:t>新世纪/监管库</w:t>
            </w:r>
          </w:p>
        </w:tc>
      </w:tr>
      <w:tr>
        <w:tc>
          <w:tcPr>
            <w:tcW w:type="dxa" w:w="2551"/>
          </w:tcPr>
          <w:p>
            <w:pPr>
              <w:spacing w:lineRule="exact" w:line="600"/>
              <w:jc w:val="center"/>
            </w:pPr>
            <w:r/>
            <w:r>
              <w:rPr>
                <w:rFonts w:ascii="仿宋_GB2312" w:hAnsi="仿宋_GB2312" w:eastAsia="仿宋_GB2312"/>
                <w:b w:val="0"/>
                <w:color w:val="000000"/>
                <w:sz w:val="32"/>
              </w:rPr>
              <w:t>表面处理</w:t>
            </w:r>
          </w:p>
        </w:tc>
        <w:tc>
          <w:tcPr>
            <w:tcW w:type="dxa" w:w="3402"/>
          </w:tcPr>
          <w:p>
            <w:pPr>
              <w:spacing w:lineRule="exact" w:line="600"/>
              <w:jc w:val="center"/>
            </w:pPr>
            <w:r/>
            <w:r>
              <w:rPr>
                <w:rFonts w:ascii="仿宋_GB2312" w:hAnsi="仿宋_GB2312" w:eastAsia="仿宋_GB2312"/>
                <w:b w:val="0"/>
                <w:color w:val="000000"/>
                <w:sz w:val="32"/>
              </w:rPr>
              <w:t>8K/油磨/拉丝</w:t>
            </w:r>
          </w:p>
        </w:tc>
        <w:tc>
          <w:tcPr>
            <w:tcW w:type="dxa" w:w="2551"/>
          </w:tcPr>
          <w:p>
            <w:pPr>
              <w:spacing w:lineRule="exact" w:line="600"/>
              <w:jc w:val="center"/>
            </w:pPr>
            <w:r/>
            <w:r>
              <w:rPr>
                <w:rFonts w:ascii="仿宋_GB2312" w:hAnsi="仿宋_GB2312" w:eastAsia="仿宋_GB2312"/>
                <w:b w:val="0"/>
                <w:color w:val="000000"/>
                <w:sz w:val="32"/>
              </w:rPr>
              <w:t>加工企业</w:t>
            </w:r>
          </w:p>
        </w:tc>
      </w:tr>
      <w:tr>
        <w:tc>
          <w:tcPr>
            <w:tcW w:type="dxa" w:w="2551"/>
          </w:tcPr>
          <w:p>
            <w:pPr>
              <w:spacing w:lineRule="exact" w:line="600"/>
              <w:jc w:val="center"/>
            </w:pPr>
            <w:r/>
            <w:r>
              <w:rPr>
                <w:rFonts w:ascii="仿宋_GB2312" w:hAnsi="仿宋_GB2312" w:eastAsia="仿宋_GB2312"/>
                <w:b w:val="0"/>
                <w:color w:val="000000"/>
                <w:sz w:val="32"/>
              </w:rPr>
              <w:t>终端品类</w:t>
            </w:r>
          </w:p>
        </w:tc>
        <w:tc>
          <w:tcPr>
            <w:tcW w:type="dxa" w:w="3402"/>
          </w:tcPr>
          <w:p>
            <w:pPr>
              <w:spacing w:lineRule="exact" w:line="600"/>
              <w:jc w:val="center"/>
            </w:pPr>
            <w:r/>
            <w:r>
              <w:rPr>
                <w:rFonts w:ascii="仿宋_GB2312" w:hAnsi="仿宋_GB2312" w:eastAsia="仿宋_GB2312"/>
                <w:b w:val="0"/>
                <w:color w:val="000000"/>
                <w:sz w:val="32"/>
              </w:rPr>
              <w:t>板材/棒/型/管千余种</w:t>
            </w:r>
          </w:p>
        </w:tc>
        <w:tc>
          <w:tcPr>
            <w:tcW w:type="dxa" w:w="2551"/>
          </w:tcPr>
          <w:p>
            <w:pPr>
              <w:spacing w:lineRule="exact" w:line="600"/>
              <w:jc w:val="center"/>
            </w:pPr>
            <w:r/>
            <w:r>
              <w:rPr>
                <w:rFonts w:ascii="仿宋_GB2312" w:hAnsi="仿宋_GB2312" w:eastAsia="仿宋_GB2312"/>
                <w:b w:val="0"/>
                <w:color w:val="000000"/>
                <w:sz w:val="32"/>
              </w:rPr>
              <w:t>周村集群</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（一）市场规模与地位</w:t>
      </w:r>
    </w:p>
    <w:p>
      <w:pPr>
        <w:spacing w:lineRule="exact" w:line="600" w:before="0" w:after="0"/>
        <w:ind w:firstLine="420"/>
        <w:jc w:val="both"/>
      </w:pPr>
      <w:r>
        <w:rPr>
          <w:rFonts w:ascii="仿宋_GB2312" w:hAnsi="仿宋_GB2312" w:eastAsia="仿宋_GB2312"/>
          <w:b w:val="0"/>
          <w:color w:val="000000"/>
          <w:sz w:val="32"/>
        </w:rPr>
        <w:t>周村不锈钢产业集群2025年交易额突破600亿元，稳居「江北最大的不锈钢集散地」和「全国最大的不锈钢终端市场」。南郊镇作为核心承载区，300家不锈钢企业创造超200亿元年交易额。产品覆盖板材等数十门类上千品种，服务不锈钢消费企业2500余家，从600亿元向千亿级集群目标迈进（来源：经济日报、大众网）。</w:t>
      </w:r>
    </w:p>
    <w:p>
      <w:pPr>
        <w:spacing w:lineRule="exact" w:line="600" w:before="120" w:after="120"/>
        <w:ind w:firstLine="420"/>
        <w:jc w:val="left"/>
      </w:pPr>
      <w:r>
        <w:rPr>
          <w:rFonts w:ascii="楷体_GB2312" w:hAnsi="楷体_GB2312" w:eastAsia="楷体_GB2312"/>
          <w:b w:val="0"/>
          <w:color w:val="000000"/>
          <w:sz w:val="32"/>
        </w:rPr>
        <w:t>（二）竞争格局与差异化</w:t>
      </w:r>
    </w:p>
    <w:p>
      <w:pPr>
        <w:spacing w:lineRule="exact" w:line="600" w:before="0" w:after="0"/>
        <w:ind w:firstLine="420"/>
        <w:jc w:val="both"/>
      </w:pPr>
      <w:r>
        <w:rPr>
          <w:rFonts w:ascii="仿宋_GB2312" w:hAnsi="仿宋_GB2312" w:eastAsia="仿宋_GB2312"/>
          <w:b w:val="0"/>
          <w:color w:val="000000"/>
          <w:sz w:val="32"/>
        </w:rPr>
        <w:t>周村不锈钢以「短距离、低成本」闭环生态见长，但低端板材贸易同质竞争激烈。龙头企业向高端突围：青志达（万志达与青山控股合作）将不锈钢刹车制动管延伸至高铁动车组领域；金润德与玫德集团合作巩固工业特种管件优势。伟业不锈钢以绿色建材板材（雕花板、保温一体板）开辟差异化赛道。行业共性研判：价格竞争趋烈，高端化与品牌化是出路（来源：经济日报、大众网）。</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维度</w:t>
            </w:r>
          </w:p>
        </w:tc>
        <w:tc>
          <w:tcPr>
            <w:tcW w:type="dxa" w:w="3402"/>
          </w:tcPr>
          <w:p>
            <w:pPr>
              <w:spacing w:lineRule="exact" w:line="600"/>
              <w:jc w:val="center"/>
            </w:pPr>
            <w:r/>
            <w:r>
              <w:rPr>
                <w:rFonts w:ascii="黑体" w:hAnsi="黑体" w:eastAsia="黑体"/>
                <w:b/>
                <w:color w:val="000000"/>
                <w:sz w:val="32"/>
              </w:rPr>
              <w:t>表现</w:t>
            </w:r>
          </w:p>
        </w:tc>
        <w:tc>
          <w:tcPr>
            <w:tcW w:type="dxa" w:w="2551"/>
          </w:tcPr>
          <w:p>
            <w:pPr>
              <w:spacing w:lineRule="exact" w:line="600"/>
              <w:jc w:val="center"/>
            </w:pPr>
            <w:r/>
            <w:r>
              <w:rPr>
                <w:rFonts w:ascii="黑体" w:hAnsi="黑体" w:eastAsia="黑体"/>
                <w:b/>
                <w:color w:val="000000"/>
                <w:sz w:val="32"/>
              </w:rPr>
              <w:t>来源</w:t>
            </w:r>
          </w:p>
        </w:tc>
      </w:tr>
      <w:tr>
        <w:tc>
          <w:tcPr>
            <w:tcW w:type="dxa" w:w="2551"/>
          </w:tcPr>
          <w:p>
            <w:pPr>
              <w:spacing w:lineRule="exact" w:line="600"/>
              <w:jc w:val="center"/>
            </w:pPr>
            <w:r/>
            <w:r>
              <w:rPr>
                <w:rFonts w:ascii="仿宋_GB2312" w:hAnsi="仿宋_GB2312" w:eastAsia="仿宋_GB2312"/>
                <w:b w:val="0"/>
                <w:color w:val="000000"/>
                <w:sz w:val="32"/>
              </w:rPr>
              <w:t>交易额</w:t>
            </w:r>
          </w:p>
        </w:tc>
        <w:tc>
          <w:tcPr>
            <w:tcW w:type="dxa" w:w="3402"/>
          </w:tcPr>
          <w:p>
            <w:pPr>
              <w:spacing w:lineRule="exact" w:line="600"/>
              <w:jc w:val="center"/>
            </w:pPr>
            <w:r/>
            <w:r>
              <w:rPr>
                <w:rFonts w:ascii="仿宋_GB2312" w:hAnsi="仿宋_GB2312" w:eastAsia="仿宋_GB2312"/>
                <w:b w:val="0"/>
                <w:color w:val="000000"/>
                <w:sz w:val="32"/>
              </w:rPr>
              <w:t>600亿元（2025）</w:t>
            </w:r>
          </w:p>
        </w:tc>
        <w:tc>
          <w:tcPr>
            <w:tcW w:type="dxa" w:w="2551"/>
          </w:tcPr>
          <w:p>
            <w:pPr>
              <w:spacing w:lineRule="exact" w:line="600"/>
              <w:jc w:val="center"/>
            </w:pPr>
            <w:r/>
            <w:r>
              <w:rPr>
                <w:rFonts w:ascii="仿宋_GB2312" w:hAnsi="仿宋_GB2312" w:eastAsia="仿宋_GB2312"/>
                <w:b w:val="0"/>
                <w:color w:val="000000"/>
                <w:sz w:val="32"/>
              </w:rPr>
              <w:t>周村区政府</w:t>
            </w:r>
          </w:p>
        </w:tc>
      </w:tr>
      <w:tr>
        <w:tc>
          <w:tcPr>
            <w:tcW w:type="dxa" w:w="2551"/>
          </w:tcPr>
          <w:p>
            <w:pPr>
              <w:spacing w:lineRule="exact" w:line="600"/>
              <w:jc w:val="center"/>
            </w:pPr>
            <w:r/>
            <w:r>
              <w:rPr>
                <w:rFonts w:ascii="仿宋_GB2312" w:hAnsi="仿宋_GB2312" w:eastAsia="仿宋_GB2312"/>
                <w:b w:val="0"/>
                <w:color w:val="000000"/>
                <w:sz w:val="32"/>
              </w:rPr>
              <w:t>南郊镇交易额</w:t>
            </w:r>
          </w:p>
        </w:tc>
        <w:tc>
          <w:tcPr>
            <w:tcW w:type="dxa" w:w="3402"/>
          </w:tcPr>
          <w:p>
            <w:pPr>
              <w:spacing w:lineRule="exact" w:line="600"/>
              <w:jc w:val="center"/>
            </w:pPr>
            <w:r/>
            <w:r>
              <w:rPr>
                <w:rFonts w:ascii="仿宋_GB2312" w:hAnsi="仿宋_GB2312" w:eastAsia="仿宋_GB2312"/>
                <w:b w:val="0"/>
                <w:color w:val="000000"/>
                <w:sz w:val="32"/>
              </w:rPr>
              <w:t>超200亿元</w:t>
            </w:r>
          </w:p>
        </w:tc>
        <w:tc>
          <w:tcPr>
            <w:tcW w:type="dxa" w:w="2551"/>
          </w:tcPr>
          <w:p>
            <w:pPr>
              <w:spacing w:lineRule="exact" w:line="600"/>
              <w:jc w:val="center"/>
            </w:pPr>
            <w:r/>
            <w:r>
              <w:rPr>
                <w:rFonts w:ascii="仿宋_GB2312" w:hAnsi="仿宋_GB2312" w:eastAsia="仿宋_GB2312"/>
                <w:b w:val="0"/>
                <w:color w:val="000000"/>
                <w:sz w:val="32"/>
              </w:rPr>
              <w:t>大众网</w:t>
            </w:r>
          </w:p>
        </w:tc>
      </w:tr>
      <w:tr>
        <w:tc>
          <w:tcPr>
            <w:tcW w:type="dxa" w:w="2551"/>
          </w:tcPr>
          <w:p>
            <w:pPr>
              <w:spacing w:lineRule="exact" w:line="600"/>
              <w:jc w:val="center"/>
            </w:pPr>
            <w:r/>
            <w:r>
              <w:rPr>
                <w:rFonts w:ascii="仿宋_GB2312" w:hAnsi="仿宋_GB2312" w:eastAsia="仿宋_GB2312"/>
                <w:b w:val="0"/>
                <w:color w:val="000000"/>
                <w:sz w:val="32"/>
              </w:rPr>
              <w:t>服务企业</w:t>
            </w:r>
          </w:p>
        </w:tc>
        <w:tc>
          <w:tcPr>
            <w:tcW w:type="dxa" w:w="3402"/>
          </w:tcPr>
          <w:p>
            <w:pPr>
              <w:spacing w:lineRule="exact" w:line="600"/>
              <w:jc w:val="center"/>
            </w:pPr>
            <w:r/>
            <w:r>
              <w:rPr>
                <w:rFonts w:ascii="仿宋_GB2312" w:hAnsi="仿宋_GB2312" w:eastAsia="仿宋_GB2312"/>
                <w:b w:val="0"/>
                <w:color w:val="000000"/>
                <w:sz w:val="32"/>
              </w:rPr>
              <w:t>2500余家</w:t>
            </w:r>
          </w:p>
        </w:tc>
        <w:tc>
          <w:tcPr>
            <w:tcW w:type="dxa" w:w="2551"/>
          </w:tcPr>
          <w:p>
            <w:pPr>
              <w:spacing w:lineRule="exact" w:line="600"/>
              <w:jc w:val="center"/>
            </w:pPr>
            <w:r/>
            <w:r>
              <w:rPr>
                <w:rFonts w:ascii="仿宋_GB2312" w:hAnsi="仿宋_GB2312" w:eastAsia="仿宋_GB2312"/>
                <w:b w:val="0"/>
                <w:color w:val="000000"/>
                <w:sz w:val="32"/>
              </w:rPr>
              <w:t>周村区</w:t>
            </w:r>
          </w:p>
        </w:tc>
      </w:tr>
      <w:tr>
        <w:tc>
          <w:tcPr>
            <w:tcW w:type="dxa" w:w="2551"/>
          </w:tcPr>
          <w:p>
            <w:pPr>
              <w:spacing w:lineRule="exact" w:line="600"/>
              <w:jc w:val="center"/>
            </w:pPr>
            <w:r/>
            <w:r>
              <w:rPr>
                <w:rFonts w:ascii="仿宋_GB2312" w:hAnsi="仿宋_GB2312" w:eastAsia="仿宋_GB2312"/>
                <w:b w:val="0"/>
                <w:color w:val="000000"/>
                <w:sz w:val="32"/>
              </w:rPr>
              <w:t>目标</w:t>
            </w:r>
          </w:p>
        </w:tc>
        <w:tc>
          <w:tcPr>
            <w:tcW w:type="dxa" w:w="3402"/>
          </w:tcPr>
          <w:p>
            <w:pPr>
              <w:spacing w:lineRule="exact" w:line="600"/>
              <w:jc w:val="center"/>
            </w:pPr>
            <w:r/>
            <w:r>
              <w:rPr>
                <w:rFonts w:ascii="仿宋_GB2312" w:hAnsi="仿宋_GB2312" w:eastAsia="仿宋_GB2312"/>
                <w:b w:val="0"/>
                <w:color w:val="000000"/>
                <w:sz w:val="32"/>
              </w:rPr>
              <w:t>千亿级集群</w:t>
            </w:r>
          </w:p>
        </w:tc>
        <w:tc>
          <w:tcPr>
            <w:tcW w:type="dxa" w:w="2551"/>
          </w:tcPr>
          <w:p>
            <w:pPr>
              <w:spacing w:lineRule="exact" w:line="600"/>
              <w:jc w:val="center"/>
            </w:pPr>
            <w:r/>
            <w:r>
              <w:rPr>
                <w:rFonts w:ascii="仿宋_GB2312" w:hAnsi="仿宋_GB2312" w:eastAsia="仿宋_GB2312"/>
                <w:b w:val="0"/>
                <w:color w:val="000000"/>
                <w:sz w:val="32"/>
              </w:rPr>
              <w:t>周村区</w:t>
            </w:r>
          </w:p>
        </w:tc>
      </w:tr>
      <w:tr>
        <w:tc>
          <w:tcPr>
            <w:tcW w:type="dxa" w:w="2551"/>
          </w:tcPr>
          <w:p>
            <w:pPr>
              <w:spacing w:lineRule="exact" w:line="600"/>
              <w:jc w:val="center"/>
            </w:pPr>
            <w:r/>
            <w:r>
              <w:rPr>
                <w:rFonts w:ascii="仿宋_GB2312" w:hAnsi="仿宋_GB2312" w:eastAsia="仿宋_GB2312"/>
                <w:b w:val="0"/>
                <w:color w:val="000000"/>
                <w:sz w:val="32"/>
              </w:rPr>
              <w:t>竞争</w:t>
            </w:r>
          </w:p>
        </w:tc>
        <w:tc>
          <w:tcPr>
            <w:tcW w:type="dxa" w:w="3402"/>
          </w:tcPr>
          <w:p>
            <w:pPr>
              <w:spacing w:lineRule="exact" w:line="600"/>
              <w:jc w:val="center"/>
            </w:pPr>
            <w:r/>
            <w:r>
              <w:rPr>
                <w:rFonts w:ascii="仿宋_GB2312" w:hAnsi="仿宋_GB2312" w:eastAsia="仿宋_GB2312"/>
                <w:b w:val="0"/>
                <w:color w:val="000000"/>
                <w:sz w:val="32"/>
              </w:rPr>
              <w:t>低端同质、高端突围</w:t>
            </w:r>
          </w:p>
        </w:tc>
        <w:tc>
          <w:tcPr>
            <w:tcW w:type="dxa" w:w="2551"/>
          </w:tcPr>
          <w:p>
            <w:pPr>
              <w:spacing w:lineRule="exact" w:line="600"/>
              <w:jc w:val="center"/>
            </w:pPr>
            <w:r/>
            <w:r>
              <w:rPr>
                <w:rFonts w:ascii="仿宋_GB2312" w:hAnsi="仿宋_GB2312" w:eastAsia="仿宋_GB2312"/>
                <w:b w:val="0"/>
                <w:color w:val="000000"/>
                <w:sz w:val="32"/>
              </w:rPr>
              <w:t>行业研判</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（一）企业梯队</w:t>
      </w:r>
    </w:p>
    <w:p>
      <w:pPr>
        <w:spacing w:lineRule="exact" w:line="600" w:before="0" w:after="0"/>
        <w:ind w:firstLine="420"/>
        <w:jc w:val="both"/>
      </w:pPr>
      <w:r>
        <w:rPr>
          <w:rFonts w:ascii="仿宋_GB2312" w:hAnsi="仿宋_GB2312" w:eastAsia="仿宋_GB2312"/>
          <w:b w:val="0"/>
          <w:color w:val="000000"/>
          <w:sz w:val="32"/>
        </w:rPr>
        <w:t>周村全区登记注册不锈钢生产经营业户超千家、规上企业116家，建成中大慧科、天河、龙马等多个不锈钢园区，经营面积近100万平方米。代表企业：淄博伟业不锈钢（绿色建材板材）、山东新世纪不锈钢集团（贸易加工龙头）、山东世纪正华金属科技（新材料精细加工）、山东万志达/青志达（精密制造）、山东金润德（工业特种管件）。形成「龙头引领+配套协同」雁阵（来源：周村区政府、大众网）。</w:t>
      </w:r>
    </w:p>
    <w:p>
      <w:pPr>
        <w:spacing w:lineRule="exact" w:line="600" w:before="120" w:after="120"/>
        <w:ind w:firstLine="420"/>
        <w:jc w:val="left"/>
      </w:pPr>
      <w:r>
        <w:rPr>
          <w:rFonts w:ascii="楷体_GB2312" w:hAnsi="楷体_GB2312" w:eastAsia="楷体_GB2312"/>
          <w:b w:val="0"/>
          <w:color w:val="000000"/>
          <w:sz w:val="32"/>
        </w:rPr>
        <w:t>（二）园区与平台载体</w:t>
      </w:r>
    </w:p>
    <w:p>
      <w:pPr>
        <w:spacing w:lineRule="exact" w:line="600" w:before="0" w:after="0"/>
        <w:ind w:firstLine="420"/>
        <w:jc w:val="both"/>
      </w:pPr>
      <w:r>
        <w:rPr>
          <w:rFonts w:ascii="仿宋_GB2312" w:hAnsi="仿宋_GB2312" w:eastAsia="仿宋_GB2312"/>
          <w:b w:val="0"/>
          <w:color w:val="000000"/>
          <w:sz w:val="32"/>
        </w:rPr>
        <w:t>已建成中大慧科、天河二期、龙马等多个不锈钢园区，经营面积近100万平方米；新优特产业园、万志达产业园等加快建设。2024年新华医疗柔性加工智能制造、世纪正华不锈钢新材料精细加工、万志达不锈钢医疗器械加工等总投资近86亿元的26个项目推进，全国首个不锈钢全楼定制绿色建筑——泰山钢铁（淄博）不锈钢应用创新基地落成投用（来源：周村区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园区/平台</w:t>
            </w:r>
          </w:p>
        </w:tc>
        <w:tc>
          <w:tcPr>
            <w:tcW w:type="dxa" w:w="3118"/>
          </w:tcPr>
          <w:p>
            <w:pPr>
              <w:spacing w:lineRule="exact" w:line="600"/>
              <w:jc w:val="center"/>
            </w:pPr>
            <w:r/>
            <w:r>
              <w:rPr>
                <w:rFonts w:ascii="黑体" w:hAnsi="黑体" w:eastAsia="黑体"/>
                <w:b/>
                <w:color w:val="000000"/>
                <w:sz w:val="32"/>
              </w:rPr>
              <w:t>规模/内容</w:t>
            </w:r>
          </w:p>
        </w:tc>
        <w:tc>
          <w:tcPr>
            <w:tcW w:type="dxa" w:w="2551"/>
          </w:tcPr>
          <w:p>
            <w:pPr>
              <w:spacing w:lineRule="exact" w:line="600"/>
              <w:jc w:val="center"/>
            </w:pPr>
            <w:r/>
            <w:r>
              <w:rPr>
                <w:rFonts w:ascii="黑体" w:hAnsi="黑体" w:eastAsia="黑体"/>
                <w:b/>
                <w:color w:val="000000"/>
                <w:sz w:val="32"/>
              </w:rPr>
              <w:t>进展</w:t>
            </w:r>
          </w:p>
        </w:tc>
      </w:tr>
      <w:tr>
        <w:tc>
          <w:tcPr>
            <w:tcW w:type="dxa" w:w="2835"/>
          </w:tcPr>
          <w:p>
            <w:pPr>
              <w:spacing w:lineRule="exact" w:line="600"/>
              <w:jc w:val="center"/>
            </w:pPr>
            <w:r/>
            <w:r>
              <w:rPr>
                <w:rFonts w:ascii="仿宋_GB2312" w:hAnsi="仿宋_GB2312" w:eastAsia="仿宋_GB2312"/>
                <w:b w:val="0"/>
                <w:color w:val="000000"/>
                <w:sz w:val="32"/>
              </w:rPr>
              <w:t>中大慧科/天河/龙马</w:t>
            </w:r>
          </w:p>
        </w:tc>
        <w:tc>
          <w:tcPr>
            <w:tcW w:type="dxa" w:w="3118"/>
          </w:tcPr>
          <w:p>
            <w:pPr>
              <w:spacing w:lineRule="exact" w:line="600"/>
              <w:jc w:val="center"/>
            </w:pPr>
            <w:r/>
            <w:r>
              <w:rPr>
                <w:rFonts w:ascii="仿宋_GB2312" w:hAnsi="仿宋_GB2312" w:eastAsia="仿宋_GB2312"/>
                <w:b w:val="0"/>
                <w:color w:val="000000"/>
                <w:sz w:val="32"/>
              </w:rPr>
              <w:t>经营近100万㎡</w:t>
            </w:r>
          </w:p>
        </w:tc>
        <w:tc>
          <w:tcPr>
            <w:tcW w:type="dxa" w:w="2551"/>
          </w:tcPr>
          <w:p>
            <w:pPr>
              <w:spacing w:lineRule="exact" w:line="600"/>
              <w:jc w:val="center"/>
            </w:pPr>
            <w:r/>
            <w:r>
              <w:rPr>
                <w:rFonts w:ascii="仿宋_GB2312" w:hAnsi="仿宋_GB2312" w:eastAsia="仿宋_GB2312"/>
                <w:b w:val="0"/>
                <w:color w:val="000000"/>
                <w:sz w:val="32"/>
              </w:rPr>
              <w:t>已建成</w:t>
            </w:r>
          </w:p>
        </w:tc>
      </w:tr>
      <w:tr>
        <w:tc>
          <w:tcPr>
            <w:tcW w:type="dxa" w:w="2835"/>
          </w:tcPr>
          <w:p>
            <w:pPr>
              <w:spacing w:lineRule="exact" w:line="600"/>
              <w:jc w:val="center"/>
            </w:pPr>
            <w:r/>
            <w:r>
              <w:rPr>
                <w:rFonts w:ascii="仿宋_GB2312" w:hAnsi="仿宋_GB2312" w:eastAsia="仿宋_GB2312"/>
                <w:b w:val="0"/>
                <w:color w:val="000000"/>
                <w:sz w:val="32"/>
              </w:rPr>
              <w:t>新优特/万志达园</w:t>
            </w:r>
          </w:p>
        </w:tc>
        <w:tc>
          <w:tcPr>
            <w:tcW w:type="dxa" w:w="3118"/>
          </w:tcPr>
          <w:p>
            <w:pPr>
              <w:spacing w:lineRule="exact" w:line="600"/>
              <w:jc w:val="center"/>
            </w:pPr>
            <w:r/>
            <w:r>
              <w:rPr>
                <w:rFonts w:ascii="仿宋_GB2312" w:hAnsi="仿宋_GB2312" w:eastAsia="仿宋_GB2312"/>
                <w:b w:val="0"/>
                <w:color w:val="000000"/>
                <w:sz w:val="32"/>
              </w:rPr>
              <w:t>加快建设</w:t>
            </w:r>
          </w:p>
        </w:tc>
        <w:tc>
          <w:tcPr>
            <w:tcW w:type="dxa" w:w="2551"/>
          </w:tcPr>
          <w:p>
            <w:pPr>
              <w:spacing w:lineRule="exact" w:line="600"/>
              <w:jc w:val="center"/>
            </w:pPr>
            <w:r/>
            <w:r>
              <w:rPr>
                <w:rFonts w:ascii="仿宋_GB2312" w:hAnsi="仿宋_GB2312" w:eastAsia="仿宋_GB2312"/>
                <w:b w:val="0"/>
                <w:color w:val="000000"/>
                <w:sz w:val="32"/>
              </w:rPr>
              <w:t>在建</w:t>
            </w:r>
          </w:p>
        </w:tc>
      </w:tr>
      <w:tr>
        <w:tc>
          <w:tcPr>
            <w:tcW w:type="dxa" w:w="2835"/>
          </w:tcPr>
          <w:p>
            <w:pPr>
              <w:spacing w:lineRule="exact" w:line="600"/>
              <w:jc w:val="center"/>
            </w:pPr>
            <w:r/>
            <w:r>
              <w:rPr>
                <w:rFonts w:ascii="仿宋_GB2312" w:hAnsi="仿宋_GB2312" w:eastAsia="仿宋_GB2312"/>
                <w:b w:val="0"/>
                <w:color w:val="000000"/>
                <w:sz w:val="32"/>
              </w:rPr>
              <w:t>26个项目</w:t>
            </w:r>
          </w:p>
        </w:tc>
        <w:tc>
          <w:tcPr>
            <w:tcW w:type="dxa" w:w="3118"/>
          </w:tcPr>
          <w:p>
            <w:pPr>
              <w:spacing w:lineRule="exact" w:line="600"/>
              <w:jc w:val="center"/>
            </w:pPr>
            <w:r/>
            <w:r>
              <w:rPr>
                <w:rFonts w:ascii="仿宋_GB2312" w:hAnsi="仿宋_GB2312" w:eastAsia="仿宋_GB2312"/>
                <w:b w:val="0"/>
                <w:color w:val="000000"/>
                <w:sz w:val="32"/>
              </w:rPr>
              <w:t>总投资近86亿</w:t>
            </w:r>
          </w:p>
        </w:tc>
        <w:tc>
          <w:tcPr>
            <w:tcW w:type="dxa" w:w="2551"/>
          </w:tcPr>
          <w:p>
            <w:pPr>
              <w:spacing w:lineRule="exact" w:line="600"/>
              <w:jc w:val="center"/>
            </w:pPr>
            <w:r/>
            <w:r>
              <w:rPr>
                <w:rFonts w:ascii="仿宋_GB2312" w:hAnsi="仿宋_GB2312" w:eastAsia="仿宋_GB2312"/>
                <w:b w:val="0"/>
                <w:color w:val="000000"/>
                <w:sz w:val="32"/>
              </w:rPr>
              <w:t>推进中</w:t>
            </w:r>
          </w:p>
        </w:tc>
      </w:tr>
      <w:tr>
        <w:tc>
          <w:tcPr>
            <w:tcW w:type="dxa" w:w="2835"/>
          </w:tcPr>
          <w:p>
            <w:pPr>
              <w:spacing w:lineRule="exact" w:line="600"/>
              <w:jc w:val="center"/>
            </w:pPr>
            <w:r/>
            <w:r>
              <w:rPr>
                <w:rFonts w:ascii="仿宋_GB2312" w:hAnsi="仿宋_GB2312" w:eastAsia="仿宋_GB2312"/>
                <w:b w:val="0"/>
                <w:color w:val="000000"/>
                <w:sz w:val="32"/>
              </w:rPr>
              <w:t>不锈钢全楼定制</w:t>
            </w:r>
          </w:p>
        </w:tc>
        <w:tc>
          <w:tcPr>
            <w:tcW w:type="dxa" w:w="3118"/>
          </w:tcPr>
          <w:p>
            <w:pPr>
              <w:spacing w:lineRule="exact" w:line="600"/>
              <w:jc w:val="center"/>
            </w:pPr>
            <w:r/>
            <w:r>
              <w:rPr>
                <w:rFonts w:ascii="仿宋_GB2312" w:hAnsi="仿宋_GB2312" w:eastAsia="仿宋_GB2312"/>
                <w:b w:val="0"/>
                <w:color w:val="000000"/>
                <w:sz w:val="32"/>
              </w:rPr>
              <w:t>全国首个</w:t>
            </w:r>
          </w:p>
        </w:tc>
        <w:tc>
          <w:tcPr>
            <w:tcW w:type="dxa" w:w="2551"/>
          </w:tcPr>
          <w:p>
            <w:pPr>
              <w:spacing w:lineRule="exact" w:line="600"/>
              <w:jc w:val="center"/>
            </w:pPr>
            <w:r/>
            <w:r>
              <w:rPr>
                <w:rFonts w:ascii="仿宋_GB2312" w:hAnsi="仿宋_GB2312" w:eastAsia="仿宋_GB2312"/>
                <w:b w:val="0"/>
                <w:color w:val="000000"/>
                <w:sz w:val="32"/>
              </w:rPr>
              <w:t>投用</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3118"/>
          </w:tcPr>
          <w:p>
            <w:pPr>
              <w:spacing w:lineRule="exact" w:line="600"/>
              <w:jc w:val="center"/>
            </w:pPr>
            <w:r/>
            <w:r>
              <w:rPr>
                <w:rFonts w:ascii="仿宋_GB2312" w:hAnsi="仿宋_GB2312" w:eastAsia="仿宋_GB2312"/>
                <w:b w:val="0"/>
                <w:color w:val="000000"/>
                <w:sz w:val="32"/>
              </w:rPr>
              <w:t>116家</w:t>
            </w:r>
          </w:p>
        </w:tc>
        <w:tc>
          <w:tcPr>
            <w:tcW w:type="dxa" w:w="2551"/>
          </w:tcPr>
          <w:p>
            <w:pPr>
              <w:spacing w:lineRule="exact" w:line="600"/>
              <w:jc w:val="center"/>
            </w:pPr>
            <w:r/>
            <w:r>
              <w:rPr>
                <w:rFonts w:ascii="仿宋_GB2312" w:hAnsi="仿宋_GB2312" w:eastAsia="仿宋_GB2312"/>
                <w:b w:val="0"/>
                <w:color w:val="000000"/>
                <w:sz w:val="32"/>
              </w:rPr>
              <w:t>2025</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（一）高端装备与工艺</w:t>
      </w:r>
    </w:p>
    <w:p>
      <w:pPr>
        <w:spacing w:lineRule="exact" w:line="600" w:before="0" w:after="0"/>
        <w:ind w:firstLine="420"/>
        <w:jc w:val="both"/>
      </w:pPr>
      <w:r>
        <w:rPr>
          <w:rFonts w:ascii="仿宋_GB2312" w:hAnsi="仿宋_GB2312" w:eastAsia="仿宋_GB2312"/>
          <w:b w:val="0"/>
          <w:color w:val="000000"/>
          <w:sz w:val="32"/>
        </w:rPr>
        <w:t>周村企业引进全球首台套4万瓦大幅面坡口激光、荷兰砂霸油磨、意大利意玛斯8K镜面、德国金方园精密数控等高精尖设备，打造全流程金属定制加工能力。伟业不锈钢配备8K镜面（可加工0.3—30mm、粗糙度Ra≤0.2um）、大型激光切割（80mm厚）、8米超长折弯等设备，工艺深度江北领先（来源：大众网、伟业不锈钢资料）。</w:t>
      </w:r>
    </w:p>
    <w:p>
      <w:pPr>
        <w:spacing w:lineRule="exact" w:line="600" w:before="120" w:after="120"/>
        <w:ind w:firstLine="420"/>
        <w:jc w:val="left"/>
      </w:pPr>
      <w:r>
        <w:rPr>
          <w:rFonts w:ascii="楷体_GB2312" w:hAnsi="楷体_GB2312" w:eastAsia="楷体_GB2312"/>
          <w:b w:val="0"/>
          <w:color w:val="000000"/>
          <w:sz w:val="32"/>
        </w:rPr>
        <w:t>（二）绿色建材创新</w:t>
      </w:r>
    </w:p>
    <w:p>
      <w:pPr>
        <w:spacing w:lineRule="exact" w:line="600" w:before="0" w:after="0"/>
        <w:ind w:firstLine="420"/>
        <w:jc w:val="both"/>
      </w:pPr>
      <w:r>
        <w:rPr>
          <w:rFonts w:ascii="仿宋_GB2312" w:hAnsi="仿宋_GB2312" w:eastAsia="仿宋_GB2312"/>
          <w:b w:val="0"/>
          <w:color w:val="000000"/>
          <w:sz w:val="32"/>
        </w:rPr>
        <w:t>伟业不锈钢自主研发不锈钢金属雕花板、保温装饰一体板、屋面板墙板，将高强度耐腐蚀材质与节能防火保温需求融合。2024年全国首个不锈钢全楼定制绿色建筑项目（建筑面积13000平方米，核心应用自研不锈钢岩棉夹芯复合板）入选「中国不锈钢行业十大新闻」。公司参与制定《不锈钢压型板及屋面排水构件》团体标准，拥有多项实用新型专利（来源：伟业不锈钢、大众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技术/装备</w:t>
            </w:r>
          </w:p>
        </w:tc>
        <w:tc>
          <w:tcPr>
            <w:tcW w:type="dxa" w:w="3118"/>
          </w:tcPr>
          <w:p>
            <w:pPr>
              <w:spacing w:lineRule="exact" w:line="600"/>
              <w:jc w:val="center"/>
            </w:pPr>
            <w:r/>
            <w:r>
              <w:rPr>
                <w:rFonts w:ascii="黑体" w:hAnsi="黑体" w:eastAsia="黑体"/>
                <w:b/>
                <w:color w:val="000000"/>
                <w:sz w:val="32"/>
              </w:rPr>
              <w:t>参数/成果</w:t>
            </w:r>
          </w:p>
        </w:tc>
        <w:tc>
          <w:tcPr>
            <w:tcW w:type="dxa" w:w="2551"/>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4万瓦坡口激光</w:t>
            </w:r>
          </w:p>
        </w:tc>
        <w:tc>
          <w:tcPr>
            <w:tcW w:type="dxa" w:w="3118"/>
          </w:tcPr>
          <w:p>
            <w:pPr>
              <w:spacing w:lineRule="exact" w:line="600"/>
              <w:jc w:val="center"/>
            </w:pPr>
            <w:r/>
            <w:r>
              <w:rPr>
                <w:rFonts w:ascii="仿宋_GB2312" w:hAnsi="仿宋_GB2312" w:eastAsia="仿宋_GB2312"/>
                <w:b w:val="0"/>
                <w:color w:val="000000"/>
                <w:sz w:val="32"/>
              </w:rPr>
              <w:t>全球首台套</w:t>
            </w:r>
          </w:p>
        </w:tc>
        <w:tc>
          <w:tcPr>
            <w:tcW w:type="dxa" w:w="2551"/>
          </w:tcPr>
          <w:p>
            <w:pPr>
              <w:spacing w:lineRule="exact" w:line="600"/>
              <w:jc w:val="center"/>
            </w:pPr>
            <w:r/>
            <w:r>
              <w:rPr>
                <w:rFonts w:ascii="仿宋_GB2312" w:hAnsi="仿宋_GB2312" w:eastAsia="仿宋_GB2312"/>
                <w:b w:val="0"/>
                <w:color w:val="000000"/>
                <w:sz w:val="32"/>
              </w:rPr>
              <w:t>新世纪等</w:t>
            </w:r>
          </w:p>
        </w:tc>
      </w:tr>
      <w:tr>
        <w:tc>
          <w:tcPr>
            <w:tcW w:type="dxa" w:w="2835"/>
          </w:tcPr>
          <w:p>
            <w:pPr>
              <w:spacing w:lineRule="exact" w:line="600"/>
              <w:jc w:val="center"/>
            </w:pPr>
            <w:r/>
            <w:r>
              <w:rPr>
                <w:rFonts w:ascii="仿宋_GB2312" w:hAnsi="仿宋_GB2312" w:eastAsia="仿宋_GB2312"/>
                <w:b w:val="0"/>
                <w:color w:val="000000"/>
                <w:sz w:val="32"/>
              </w:rPr>
              <w:t>8K镜面</w:t>
            </w:r>
          </w:p>
        </w:tc>
        <w:tc>
          <w:tcPr>
            <w:tcW w:type="dxa" w:w="3118"/>
          </w:tcPr>
          <w:p>
            <w:pPr>
              <w:spacing w:lineRule="exact" w:line="600"/>
              <w:jc w:val="center"/>
            </w:pPr>
            <w:r/>
            <w:r>
              <w:rPr>
                <w:rFonts w:ascii="仿宋_GB2312" w:hAnsi="仿宋_GB2312" w:eastAsia="仿宋_GB2312"/>
                <w:b w:val="0"/>
                <w:color w:val="000000"/>
                <w:sz w:val="32"/>
              </w:rPr>
              <w:t>Ra≤0.2um、0.3-30mm</w:t>
            </w:r>
          </w:p>
        </w:tc>
        <w:tc>
          <w:tcPr>
            <w:tcW w:type="dxa" w:w="2551"/>
          </w:tcPr>
          <w:p>
            <w:pPr>
              <w:spacing w:lineRule="exact" w:line="600"/>
              <w:jc w:val="center"/>
            </w:pPr>
            <w:r/>
            <w:r>
              <w:rPr>
                <w:rFonts w:ascii="仿宋_GB2312" w:hAnsi="仿宋_GB2312" w:eastAsia="仿宋_GB2312"/>
                <w:b w:val="0"/>
                <w:color w:val="000000"/>
                <w:sz w:val="32"/>
              </w:rPr>
              <w:t>伟业</w:t>
            </w:r>
          </w:p>
        </w:tc>
      </w:tr>
      <w:tr>
        <w:tc>
          <w:tcPr>
            <w:tcW w:type="dxa" w:w="2835"/>
          </w:tcPr>
          <w:p>
            <w:pPr>
              <w:spacing w:lineRule="exact" w:line="600"/>
              <w:jc w:val="center"/>
            </w:pPr>
            <w:r/>
            <w:r>
              <w:rPr>
                <w:rFonts w:ascii="仿宋_GB2312" w:hAnsi="仿宋_GB2312" w:eastAsia="仿宋_GB2312"/>
                <w:b w:val="0"/>
                <w:color w:val="000000"/>
                <w:sz w:val="32"/>
              </w:rPr>
              <w:t>绿色建材</w:t>
            </w:r>
          </w:p>
        </w:tc>
        <w:tc>
          <w:tcPr>
            <w:tcW w:type="dxa" w:w="3118"/>
          </w:tcPr>
          <w:p>
            <w:pPr>
              <w:spacing w:lineRule="exact" w:line="600"/>
              <w:jc w:val="center"/>
            </w:pPr>
            <w:r/>
            <w:r>
              <w:rPr>
                <w:rFonts w:ascii="仿宋_GB2312" w:hAnsi="仿宋_GB2312" w:eastAsia="仿宋_GB2312"/>
                <w:b w:val="0"/>
                <w:color w:val="000000"/>
                <w:sz w:val="32"/>
              </w:rPr>
              <w:t>全楼定制13000㎡</w:t>
            </w:r>
          </w:p>
        </w:tc>
        <w:tc>
          <w:tcPr>
            <w:tcW w:type="dxa" w:w="2551"/>
          </w:tcPr>
          <w:p>
            <w:pPr>
              <w:spacing w:lineRule="exact" w:line="600"/>
              <w:jc w:val="center"/>
            </w:pPr>
            <w:r/>
            <w:r>
              <w:rPr>
                <w:rFonts w:ascii="仿宋_GB2312" w:hAnsi="仿宋_GB2312" w:eastAsia="仿宋_GB2312"/>
                <w:b w:val="0"/>
                <w:color w:val="000000"/>
                <w:sz w:val="32"/>
              </w:rPr>
              <w:t>伟业</w:t>
            </w:r>
          </w:p>
        </w:tc>
      </w:tr>
      <w:tr>
        <w:tc>
          <w:tcPr>
            <w:tcW w:type="dxa" w:w="2835"/>
          </w:tcPr>
          <w:p>
            <w:pPr>
              <w:spacing w:lineRule="exact" w:line="600"/>
              <w:jc w:val="center"/>
            </w:pPr>
            <w:r/>
            <w:r>
              <w:rPr>
                <w:rFonts w:ascii="仿宋_GB2312" w:hAnsi="仿宋_GB2312" w:eastAsia="仿宋_GB2312"/>
                <w:b w:val="0"/>
                <w:color w:val="000000"/>
                <w:sz w:val="32"/>
              </w:rPr>
              <w:t>团体标准</w:t>
            </w:r>
          </w:p>
        </w:tc>
        <w:tc>
          <w:tcPr>
            <w:tcW w:type="dxa" w:w="3118"/>
          </w:tcPr>
          <w:p>
            <w:pPr>
              <w:spacing w:lineRule="exact" w:line="600"/>
              <w:jc w:val="center"/>
            </w:pPr>
            <w:r/>
            <w:r>
              <w:rPr>
                <w:rFonts w:ascii="仿宋_GB2312" w:hAnsi="仿宋_GB2312" w:eastAsia="仿宋_GB2312"/>
                <w:b w:val="0"/>
                <w:color w:val="000000"/>
                <w:sz w:val="32"/>
              </w:rPr>
              <w:t>压型板及排水构件</w:t>
            </w:r>
          </w:p>
        </w:tc>
        <w:tc>
          <w:tcPr>
            <w:tcW w:type="dxa" w:w="2551"/>
          </w:tcPr>
          <w:p>
            <w:pPr>
              <w:spacing w:lineRule="exact" w:line="600"/>
              <w:jc w:val="center"/>
            </w:pPr>
            <w:r/>
            <w:r>
              <w:rPr>
                <w:rFonts w:ascii="仿宋_GB2312" w:hAnsi="仿宋_GB2312" w:eastAsia="仿宋_GB2312"/>
                <w:b w:val="0"/>
                <w:color w:val="000000"/>
                <w:sz w:val="32"/>
              </w:rPr>
              <w:t>伟业</w:t>
            </w:r>
          </w:p>
        </w:tc>
      </w:tr>
      <w:tr>
        <w:tc>
          <w:tcPr>
            <w:tcW w:type="dxa" w:w="2835"/>
          </w:tcPr>
          <w:p>
            <w:pPr>
              <w:spacing w:lineRule="exact" w:line="600"/>
              <w:jc w:val="center"/>
            </w:pPr>
            <w:r/>
            <w:r>
              <w:rPr>
                <w:rFonts w:ascii="仿宋_GB2312" w:hAnsi="仿宋_GB2312" w:eastAsia="仿宋_GB2312"/>
                <w:b w:val="0"/>
                <w:color w:val="000000"/>
                <w:sz w:val="32"/>
              </w:rPr>
              <w:t>智能设备</w:t>
            </w:r>
          </w:p>
        </w:tc>
        <w:tc>
          <w:tcPr>
            <w:tcW w:type="dxa" w:w="3118"/>
          </w:tcPr>
          <w:p>
            <w:pPr>
              <w:spacing w:lineRule="exact" w:line="600"/>
              <w:jc w:val="center"/>
            </w:pPr>
            <w:r/>
            <w:r>
              <w:rPr>
                <w:rFonts w:ascii="仿宋_GB2312" w:hAnsi="仿宋_GB2312" w:eastAsia="仿宋_GB2312"/>
                <w:b w:val="0"/>
                <w:color w:val="000000"/>
                <w:sz w:val="32"/>
              </w:rPr>
              <w:t>数控/机器人</w:t>
            </w:r>
          </w:p>
        </w:tc>
        <w:tc>
          <w:tcPr>
            <w:tcW w:type="dxa" w:w="2551"/>
          </w:tcPr>
          <w:p>
            <w:pPr>
              <w:spacing w:lineRule="exact" w:line="600"/>
              <w:jc w:val="center"/>
            </w:pPr>
            <w:r/>
            <w:r>
              <w:rPr>
                <w:rFonts w:ascii="仿宋_GB2312" w:hAnsi="仿宋_GB2312" w:eastAsia="仿宋_GB2312"/>
                <w:b w:val="0"/>
                <w:color w:val="000000"/>
                <w:sz w:val="32"/>
              </w:rPr>
              <w:t>园区企业</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（一）规模采购与成本优势</w:t>
      </w:r>
    </w:p>
    <w:p>
      <w:pPr>
        <w:spacing w:lineRule="exact" w:line="600" w:before="0" w:after="0"/>
        <w:ind w:firstLine="420"/>
        <w:jc w:val="both"/>
      </w:pPr>
      <w:r>
        <w:rPr>
          <w:rFonts w:ascii="仿宋_GB2312" w:hAnsi="仿宋_GB2312" w:eastAsia="仿宋_GB2312"/>
          <w:b w:val="0"/>
          <w:color w:val="000000"/>
          <w:sz w:val="32"/>
        </w:rPr>
        <w:t>周村企业依托规模化原料采购、自动化生产与精细化管理降低运营成本。伟业不锈钢拥有6万平方米仓储空间、现货库存充足，弹性生产应对旺季加急与定制；新世纪不锈钢构建年加工70万吨、仓储10万吨体系，并联合政府平台与山东高速供应链建成北方首座不锈钢国有化监管仓库，降低中小企业集中采购资金压力（来源：伟业、新世纪资料）。</w:t>
      </w:r>
    </w:p>
    <w:p>
      <w:pPr>
        <w:spacing w:lineRule="exact" w:line="600" w:before="120" w:after="120"/>
        <w:ind w:firstLine="420"/>
        <w:jc w:val="left"/>
      </w:pPr>
      <w:r>
        <w:rPr>
          <w:rFonts w:ascii="楷体_GB2312" w:hAnsi="楷体_GB2312" w:eastAsia="楷体_GB2312"/>
          <w:b w:val="0"/>
          <w:color w:val="000000"/>
          <w:sz w:val="32"/>
        </w:rPr>
        <w:t>（二）金融与要素保障</w:t>
      </w:r>
    </w:p>
    <w:p>
      <w:pPr>
        <w:spacing w:lineRule="exact" w:line="600" w:before="0" w:after="0"/>
        <w:ind w:firstLine="420"/>
        <w:jc w:val="both"/>
      </w:pPr>
      <w:r>
        <w:rPr>
          <w:rFonts w:ascii="仿宋_GB2312" w:hAnsi="仿宋_GB2312" w:eastAsia="仿宋_GB2312"/>
          <w:b w:val="0"/>
          <w:color w:val="000000"/>
          <w:sz w:val="32"/>
        </w:rPr>
        <w:t>新世纪不锈钢联合政府平台与山东高速供应链集团建成北方首座不锈钢国有化监管仓库，并与无锡锡商银行推出「世纪行」金融产品，破解中小企业集中采购资金难题。周村区对不锈钢产业提供审批、规划、建设、供电、金融等一揽子保障服务，首届、第二届中国（周村）不锈钢展览会落地，平台效应显著（来源：大众网、周村区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要素/保障</w:t>
            </w:r>
          </w:p>
        </w:tc>
        <w:tc>
          <w:tcPr>
            <w:tcW w:type="dxa" w:w="3118"/>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效果</w:t>
            </w:r>
          </w:p>
        </w:tc>
      </w:tr>
      <w:tr>
        <w:tc>
          <w:tcPr>
            <w:tcW w:type="dxa" w:w="2835"/>
          </w:tcPr>
          <w:p>
            <w:pPr>
              <w:spacing w:lineRule="exact" w:line="600"/>
              <w:jc w:val="center"/>
            </w:pPr>
            <w:r/>
            <w:r>
              <w:rPr>
                <w:rFonts w:ascii="仿宋_GB2312" w:hAnsi="仿宋_GB2312" w:eastAsia="仿宋_GB2312"/>
                <w:b w:val="0"/>
                <w:color w:val="000000"/>
                <w:sz w:val="32"/>
              </w:rPr>
              <w:t>监管仓库</w:t>
            </w:r>
          </w:p>
        </w:tc>
        <w:tc>
          <w:tcPr>
            <w:tcW w:type="dxa" w:w="3118"/>
          </w:tcPr>
          <w:p>
            <w:pPr>
              <w:spacing w:lineRule="exact" w:line="600"/>
              <w:jc w:val="center"/>
            </w:pPr>
            <w:r/>
            <w:r>
              <w:rPr>
                <w:rFonts w:ascii="仿宋_GB2312" w:hAnsi="仿宋_GB2312" w:eastAsia="仿宋_GB2312"/>
                <w:b w:val="0"/>
                <w:color w:val="000000"/>
                <w:sz w:val="32"/>
              </w:rPr>
              <w:t>北方首座国有化</w:t>
            </w:r>
          </w:p>
        </w:tc>
        <w:tc>
          <w:tcPr>
            <w:tcW w:type="dxa" w:w="2551"/>
          </w:tcPr>
          <w:p>
            <w:pPr>
              <w:spacing w:lineRule="exact" w:line="600"/>
              <w:jc w:val="center"/>
            </w:pPr>
            <w:r/>
            <w:r>
              <w:rPr>
                <w:rFonts w:ascii="仿宋_GB2312" w:hAnsi="仿宋_GB2312" w:eastAsia="仿宋_GB2312"/>
                <w:b w:val="0"/>
                <w:color w:val="000000"/>
                <w:sz w:val="32"/>
              </w:rPr>
              <w:t>降资金压</w:t>
            </w:r>
          </w:p>
        </w:tc>
      </w:tr>
      <w:tr>
        <w:tc>
          <w:tcPr>
            <w:tcW w:type="dxa" w:w="2835"/>
          </w:tcPr>
          <w:p>
            <w:pPr>
              <w:spacing w:lineRule="exact" w:line="600"/>
              <w:jc w:val="center"/>
            </w:pPr>
            <w:r/>
            <w:r>
              <w:rPr>
                <w:rFonts w:ascii="仿宋_GB2312" w:hAnsi="仿宋_GB2312" w:eastAsia="仿宋_GB2312"/>
                <w:b w:val="0"/>
                <w:color w:val="000000"/>
                <w:sz w:val="32"/>
              </w:rPr>
              <w:t>世纪行金融</w:t>
            </w:r>
          </w:p>
        </w:tc>
        <w:tc>
          <w:tcPr>
            <w:tcW w:type="dxa" w:w="3118"/>
          </w:tcPr>
          <w:p>
            <w:pPr>
              <w:spacing w:lineRule="exact" w:line="600"/>
              <w:jc w:val="center"/>
            </w:pPr>
            <w:r/>
            <w:r>
              <w:rPr>
                <w:rFonts w:ascii="仿宋_GB2312" w:hAnsi="仿宋_GB2312" w:eastAsia="仿宋_GB2312"/>
                <w:b w:val="0"/>
                <w:color w:val="000000"/>
                <w:sz w:val="32"/>
              </w:rPr>
              <w:t>无锡锡商银行</w:t>
            </w:r>
          </w:p>
        </w:tc>
        <w:tc>
          <w:tcPr>
            <w:tcW w:type="dxa" w:w="2551"/>
          </w:tcPr>
          <w:p>
            <w:pPr>
              <w:spacing w:lineRule="exact" w:line="600"/>
              <w:jc w:val="center"/>
            </w:pPr>
            <w:r/>
            <w:r>
              <w:rPr>
                <w:rFonts w:ascii="仿宋_GB2312" w:hAnsi="仿宋_GB2312" w:eastAsia="仿宋_GB2312"/>
                <w:b w:val="0"/>
                <w:color w:val="000000"/>
                <w:sz w:val="32"/>
              </w:rPr>
              <w:t>集采支持</w:t>
            </w:r>
          </w:p>
        </w:tc>
      </w:tr>
      <w:tr>
        <w:tc>
          <w:tcPr>
            <w:tcW w:type="dxa" w:w="2835"/>
          </w:tcPr>
          <w:p>
            <w:pPr>
              <w:spacing w:lineRule="exact" w:line="600"/>
              <w:jc w:val="center"/>
            </w:pPr>
            <w:r/>
            <w:r>
              <w:rPr>
                <w:rFonts w:ascii="仿宋_GB2312" w:hAnsi="仿宋_GB2312" w:eastAsia="仿宋_GB2312"/>
                <w:b w:val="0"/>
                <w:color w:val="000000"/>
                <w:sz w:val="32"/>
              </w:rPr>
              <w:t>仓储</w:t>
            </w:r>
          </w:p>
        </w:tc>
        <w:tc>
          <w:tcPr>
            <w:tcW w:type="dxa" w:w="3118"/>
          </w:tcPr>
          <w:p>
            <w:pPr>
              <w:spacing w:lineRule="exact" w:line="600"/>
              <w:jc w:val="center"/>
            </w:pPr>
            <w:r/>
            <w:r>
              <w:rPr>
                <w:rFonts w:ascii="仿宋_GB2312" w:hAnsi="仿宋_GB2312" w:eastAsia="仿宋_GB2312"/>
                <w:b w:val="0"/>
                <w:color w:val="000000"/>
                <w:sz w:val="32"/>
              </w:rPr>
              <w:t>伟业6万㎡/新世纪10万㎡</w:t>
            </w:r>
          </w:p>
        </w:tc>
        <w:tc>
          <w:tcPr>
            <w:tcW w:type="dxa" w:w="2551"/>
          </w:tcPr>
          <w:p>
            <w:pPr>
              <w:spacing w:lineRule="exact" w:line="600"/>
              <w:jc w:val="center"/>
            </w:pPr>
            <w:r/>
            <w:r>
              <w:rPr>
                <w:rFonts w:ascii="仿宋_GB2312" w:hAnsi="仿宋_GB2312" w:eastAsia="仿宋_GB2312"/>
                <w:b w:val="0"/>
                <w:color w:val="000000"/>
                <w:sz w:val="32"/>
              </w:rPr>
              <w:t>现货保障</w:t>
            </w:r>
          </w:p>
        </w:tc>
      </w:tr>
      <w:tr>
        <w:tc>
          <w:tcPr>
            <w:tcW w:type="dxa" w:w="2835"/>
          </w:tcPr>
          <w:p>
            <w:pPr>
              <w:spacing w:lineRule="exact" w:line="600"/>
              <w:jc w:val="center"/>
            </w:pPr>
            <w:r/>
            <w:r>
              <w:rPr>
                <w:rFonts w:ascii="仿宋_GB2312" w:hAnsi="仿宋_GB2312" w:eastAsia="仿宋_GB2312"/>
                <w:b w:val="0"/>
                <w:color w:val="000000"/>
                <w:sz w:val="32"/>
              </w:rPr>
              <w:t>一揽子服务</w:t>
            </w:r>
          </w:p>
        </w:tc>
        <w:tc>
          <w:tcPr>
            <w:tcW w:type="dxa" w:w="3118"/>
          </w:tcPr>
          <w:p>
            <w:pPr>
              <w:spacing w:lineRule="exact" w:line="600"/>
              <w:jc w:val="center"/>
            </w:pPr>
            <w:r/>
            <w:r>
              <w:rPr>
                <w:rFonts w:ascii="仿宋_GB2312" w:hAnsi="仿宋_GB2312" w:eastAsia="仿宋_GB2312"/>
                <w:b w:val="0"/>
                <w:color w:val="000000"/>
                <w:sz w:val="32"/>
              </w:rPr>
              <w:t>审批/金融等</w:t>
            </w:r>
          </w:p>
        </w:tc>
        <w:tc>
          <w:tcPr>
            <w:tcW w:type="dxa" w:w="2551"/>
          </w:tcPr>
          <w:p>
            <w:pPr>
              <w:spacing w:lineRule="exact" w:line="600"/>
              <w:jc w:val="center"/>
            </w:pPr>
            <w:r/>
            <w:r>
              <w:rPr>
                <w:rFonts w:ascii="仿宋_GB2312" w:hAnsi="仿宋_GB2312" w:eastAsia="仿宋_GB2312"/>
                <w:b w:val="0"/>
                <w:color w:val="000000"/>
                <w:sz w:val="32"/>
              </w:rPr>
              <w:t>营商优化</w:t>
            </w:r>
          </w:p>
        </w:tc>
      </w:tr>
      <w:tr>
        <w:tc>
          <w:tcPr>
            <w:tcW w:type="dxa" w:w="2835"/>
          </w:tcPr>
          <w:p>
            <w:pPr>
              <w:spacing w:lineRule="exact" w:line="600"/>
              <w:jc w:val="center"/>
            </w:pPr>
            <w:r/>
            <w:r>
              <w:rPr>
                <w:rFonts w:ascii="仿宋_GB2312" w:hAnsi="仿宋_GB2312" w:eastAsia="仿宋_GB2312"/>
                <w:b w:val="0"/>
                <w:color w:val="000000"/>
                <w:sz w:val="32"/>
              </w:rPr>
              <w:t>展览会</w:t>
            </w:r>
          </w:p>
        </w:tc>
        <w:tc>
          <w:tcPr>
            <w:tcW w:type="dxa" w:w="3118"/>
          </w:tcPr>
          <w:p>
            <w:pPr>
              <w:spacing w:lineRule="exact" w:line="600"/>
              <w:jc w:val="center"/>
            </w:pPr>
            <w:r/>
            <w:r>
              <w:rPr>
                <w:rFonts w:ascii="仿宋_GB2312" w:hAnsi="仿宋_GB2312" w:eastAsia="仿宋_GB2312"/>
                <w:b w:val="0"/>
                <w:color w:val="000000"/>
                <w:sz w:val="32"/>
              </w:rPr>
              <w:t>两届中国周村展</w:t>
            </w:r>
          </w:p>
        </w:tc>
        <w:tc>
          <w:tcPr>
            <w:tcW w:type="dxa" w:w="2551"/>
          </w:tcPr>
          <w:p>
            <w:pPr>
              <w:spacing w:lineRule="exact" w:line="600"/>
              <w:jc w:val="center"/>
            </w:pPr>
            <w:r/>
            <w:r>
              <w:rPr>
                <w:rFonts w:ascii="仿宋_GB2312" w:hAnsi="仿宋_GB2312" w:eastAsia="仿宋_GB2312"/>
                <w:b w:val="0"/>
                <w:color w:val="000000"/>
                <w:sz w:val="32"/>
              </w:rPr>
              <w:t>品牌平台</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一是千亿级目标政策红利：入选省「十强」雁阵形集群，省「十链百群万企」融链固链对接活动落地周村；二是高端制造延伸：高铁制动管、医疗精密件、工业特种管件打开高附加值空间；三是绿色建筑新赛道：不锈钢全楼定制、保温一体板契合双碳；四是龙头牵引：青山、玫德等外部巨头合作提升能级（来源：经济日报、周村区政府）。</w:t>
      </w:r>
    </w:p>
    <w:p>
      <w:pPr>
        <w:spacing w:lineRule="exact" w:line="600" w:before="120" w:after="120"/>
        <w:ind w:firstLine="420"/>
        <w:jc w:val="left"/>
      </w:pPr>
      <w:r>
        <w:rPr>
          <w:rFonts w:ascii="楷体_GB2312" w:hAnsi="楷体_GB2312" w:eastAsia="楷体_GB2312"/>
          <w:b w:val="0"/>
          <w:color w:val="000000"/>
          <w:sz w:val="32"/>
        </w:rPr>
        <w:t>（二）主要风险</w:t>
      </w:r>
    </w:p>
    <w:p>
      <w:pPr>
        <w:spacing w:lineRule="exact" w:line="600" w:before="0" w:after="0"/>
        <w:ind w:firstLine="420"/>
        <w:jc w:val="both"/>
      </w:pPr>
      <w:r>
        <w:rPr>
          <w:rFonts w:ascii="仿宋_GB2312" w:hAnsi="仿宋_GB2312" w:eastAsia="仿宋_GB2312"/>
          <w:b w:val="0"/>
          <w:color w:val="000000"/>
          <w:sz w:val="32"/>
        </w:rPr>
        <w:t>一是镍、铬等原料价格受全球供需与地缘政治影响剧烈，直接传导板材成本；二是国际贸易壁垒与反倾销，不锈钢出口面临风险；三是低端板材贸易同质化、价格战压缩利润；四是环保与能耗约束趋严。需以高端化、绿色化、品牌化对冲（来源：行业研判、大众网）。</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风险类别</w:t>
            </w:r>
          </w:p>
        </w:tc>
        <w:tc>
          <w:tcPr>
            <w:tcW w:type="dxa" w:w="3402"/>
          </w:tcPr>
          <w:p>
            <w:pPr>
              <w:spacing w:lineRule="exact" w:line="600"/>
              <w:jc w:val="center"/>
            </w:pPr>
            <w:r/>
            <w:r>
              <w:rPr>
                <w:rFonts w:ascii="黑体" w:hAnsi="黑体" w:eastAsia="黑体"/>
                <w:b/>
                <w:color w:val="000000"/>
                <w:sz w:val="32"/>
              </w:rPr>
              <w:t>表现</w:t>
            </w:r>
          </w:p>
        </w:tc>
        <w:tc>
          <w:tcPr>
            <w:tcW w:type="dxa" w:w="2835"/>
          </w:tcPr>
          <w:p>
            <w:pPr>
              <w:spacing w:lineRule="exact" w:line="600"/>
              <w:jc w:val="center"/>
            </w:pPr>
            <w:r/>
            <w:r>
              <w:rPr>
                <w:rFonts w:ascii="黑体" w:hAnsi="黑体" w:eastAsia="黑体"/>
                <w:b/>
                <w:color w:val="000000"/>
                <w:sz w:val="32"/>
              </w:rPr>
              <w:t>应对</w:t>
            </w:r>
          </w:p>
        </w:tc>
      </w:tr>
      <w:tr>
        <w:tc>
          <w:tcPr>
            <w:tcW w:type="dxa" w:w="2268"/>
          </w:tcPr>
          <w:p>
            <w:pPr>
              <w:spacing w:lineRule="exact" w:line="600"/>
              <w:jc w:val="center"/>
            </w:pPr>
            <w:r/>
            <w:r>
              <w:rPr>
                <w:rFonts w:ascii="仿宋_GB2312" w:hAnsi="仿宋_GB2312" w:eastAsia="仿宋_GB2312"/>
                <w:b w:val="0"/>
                <w:color w:val="000000"/>
                <w:sz w:val="32"/>
              </w:rPr>
              <w:t>原料价格</w:t>
            </w:r>
          </w:p>
        </w:tc>
        <w:tc>
          <w:tcPr>
            <w:tcW w:type="dxa" w:w="3402"/>
          </w:tcPr>
          <w:p>
            <w:pPr>
              <w:spacing w:lineRule="exact" w:line="600"/>
              <w:jc w:val="center"/>
            </w:pPr>
            <w:r/>
            <w:r>
              <w:rPr>
                <w:rFonts w:ascii="仿宋_GB2312" w:hAnsi="仿宋_GB2312" w:eastAsia="仿宋_GB2312"/>
                <w:b w:val="0"/>
                <w:color w:val="000000"/>
                <w:sz w:val="32"/>
              </w:rPr>
              <w:t>镍铬波动</w:t>
            </w:r>
          </w:p>
        </w:tc>
        <w:tc>
          <w:tcPr>
            <w:tcW w:type="dxa" w:w="2835"/>
          </w:tcPr>
          <w:p>
            <w:pPr>
              <w:spacing w:lineRule="exact" w:line="600"/>
              <w:jc w:val="center"/>
            </w:pPr>
            <w:r/>
            <w:r>
              <w:rPr>
                <w:rFonts w:ascii="仿宋_GB2312" w:hAnsi="仿宋_GB2312" w:eastAsia="仿宋_GB2312"/>
                <w:b w:val="0"/>
                <w:color w:val="000000"/>
                <w:sz w:val="32"/>
              </w:rPr>
              <w:t>长协/库存</w:t>
            </w:r>
          </w:p>
        </w:tc>
      </w:tr>
      <w:tr>
        <w:tc>
          <w:tcPr>
            <w:tcW w:type="dxa" w:w="2268"/>
          </w:tcPr>
          <w:p>
            <w:pPr>
              <w:spacing w:lineRule="exact" w:line="600"/>
              <w:jc w:val="center"/>
            </w:pPr>
            <w:r/>
            <w:r>
              <w:rPr>
                <w:rFonts w:ascii="仿宋_GB2312" w:hAnsi="仿宋_GB2312" w:eastAsia="仿宋_GB2312"/>
                <w:b w:val="0"/>
                <w:color w:val="000000"/>
                <w:sz w:val="32"/>
              </w:rPr>
              <w:t>贸易壁垒</w:t>
            </w:r>
          </w:p>
        </w:tc>
        <w:tc>
          <w:tcPr>
            <w:tcW w:type="dxa" w:w="3402"/>
          </w:tcPr>
          <w:p>
            <w:pPr>
              <w:spacing w:lineRule="exact" w:line="600"/>
              <w:jc w:val="center"/>
            </w:pPr>
            <w:r/>
            <w:r>
              <w:rPr>
                <w:rFonts w:ascii="仿宋_GB2312" w:hAnsi="仿宋_GB2312" w:eastAsia="仿宋_GB2312"/>
                <w:b w:val="0"/>
                <w:color w:val="000000"/>
                <w:sz w:val="32"/>
              </w:rPr>
              <w:t>反倾销风险</w:t>
            </w:r>
          </w:p>
        </w:tc>
        <w:tc>
          <w:tcPr>
            <w:tcW w:type="dxa" w:w="2835"/>
          </w:tcPr>
          <w:p>
            <w:pPr>
              <w:spacing w:lineRule="exact" w:line="600"/>
              <w:jc w:val="center"/>
            </w:pPr>
            <w:r/>
            <w:r>
              <w:rPr>
                <w:rFonts w:ascii="仿宋_GB2312" w:hAnsi="仿宋_GB2312" w:eastAsia="仿宋_GB2312"/>
                <w:b w:val="0"/>
                <w:color w:val="000000"/>
                <w:sz w:val="32"/>
              </w:rPr>
              <w:t>多元市场</w:t>
            </w:r>
          </w:p>
        </w:tc>
      </w:tr>
      <w:tr>
        <w:tc>
          <w:tcPr>
            <w:tcW w:type="dxa" w:w="2268"/>
          </w:tcPr>
          <w:p>
            <w:pPr>
              <w:spacing w:lineRule="exact" w:line="600"/>
              <w:jc w:val="center"/>
            </w:pPr>
            <w:r/>
            <w:r>
              <w:rPr>
                <w:rFonts w:ascii="仿宋_GB2312" w:hAnsi="仿宋_GB2312" w:eastAsia="仿宋_GB2312"/>
                <w:b w:val="0"/>
                <w:color w:val="000000"/>
                <w:sz w:val="32"/>
              </w:rPr>
              <w:t>同质竞争</w:t>
            </w:r>
          </w:p>
        </w:tc>
        <w:tc>
          <w:tcPr>
            <w:tcW w:type="dxa" w:w="3402"/>
          </w:tcPr>
          <w:p>
            <w:pPr>
              <w:spacing w:lineRule="exact" w:line="600"/>
              <w:jc w:val="center"/>
            </w:pPr>
            <w:r/>
            <w:r>
              <w:rPr>
                <w:rFonts w:ascii="仿宋_GB2312" w:hAnsi="仿宋_GB2312" w:eastAsia="仿宋_GB2312"/>
                <w:b w:val="0"/>
                <w:color w:val="000000"/>
                <w:sz w:val="32"/>
              </w:rPr>
              <w:t>低端价格战</w:t>
            </w:r>
          </w:p>
        </w:tc>
        <w:tc>
          <w:tcPr>
            <w:tcW w:type="dxa" w:w="2835"/>
          </w:tcPr>
          <w:p>
            <w:pPr>
              <w:spacing w:lineRule="exact" w:line="600"/>
              <w:jc w:val="center"/>
            </w:pPr>
            <w:r/>
            <w:r>
              <w:rPr>
                <w:rFonts w:ascii="仿宋_GB2312" w:hAnsi="仿宋_GB2312" w:eastAsia="仿宋_GB2312"/>
                <w:b w:val="0"/>
                <w:color w:val="000000"/>
                <w:sz w:val="32"/>
              </w:rPr>
              <w:t>高端转型</w:t>
            </w:r>
          </w:p>
        </w:tc>
      </w:tr>
      <w:tr>
        <w:tc>
          <w:tcPr>
            <w:tcW w:type="dxa" w:w="2268"/>
          </w:tcPr>
          <w:p>
            <w:pPr>
              <w:spacing w:lineRule="exact" w:line="600"/>
              <w:jc w:val="center"/>
            </w:pPr>
            <w:r/>
            <w:r>
              <w:rPr>
                <w:rFonts w:ascii="仿宋_GB2312" w:hAnsi="仿宋_GB2312" w:eastAsia="仿宋_GB2312"/>
                <w:b w:val="0"/>
                <w:color w:val="000000"/>
                <w:sz w:val="32"/>
              </w:rPr>
              <w:t>环保能耗</w:t>
            </w:r>
          </w:p>
        </w:tc>
        <w:tc>
          <w:tcPr>
            <w:tcW w:type="dxa" w:w="3402"/>
          </w:tcPr>
          <w:p>
            <w:pPr>
              <w:spacing w:lineRule="exact" w:line="600"/>
              <w:jc w:val="center"/>
            </w:pPr>
            <w:r/>
            <w:r>
              <w:rPr>
                <w:rFonts w:ascii="仿宋_GB2312" w:hAnsi="仿宋_GB2312" w:eastAsia="仿宋_GB2312"/>
                <w:b w:val="0"/>
                <w:color w:val="000000"/>
                <w:sz w:val="32"/>
              </w:rPr>
              <w:t>约束趋严</w:t>
            </w:r>
          </w:p>
        </w:tc>
        <w:tc>
          <w:tcPr>
            <w:tcW w:type="dxa" w:w="2835"/>
          </w:tcPr>
          <w:p>
            <w:pPr>
              <w:spacing w:lineRule="exact" w:line="600"/>
              <w:jc w:val="center"/>
            </w:pPr>
            <w:r/>
            <w:r>
              <w:rPr>
                <w:rFonts w:ascii="仿宋_GB2312" w:hAnsi="仿宋_GB2312" w:eastAsia="仿宋_GB2312"/>
                <w:b w:val="0"/>
                <w:color w:val="000000"/>
                <w:sz w:val="32"/>
              </w:rPr>
              <w:t>绿色制造</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（一）向高端制造攀升</w:t>
      </w:r>
    </w:p>
    <w:p>
      <w:pPr>
        <w:spacing w:lineRule="exact" w:line="600" w:before="0" w:after="0"/>
        <w:ind w:firstLine="420"/>
        <w:jc w:val="both"/>
      </w:pPr>
      <w:r>
        <w:rPr>
          <w:rFonts w:ascii="仿宋_GB2312" w:hAnsi="仿宋_GB2312" w:eastAsia="仿宋_GB2312"/>
          <w:b w:val="0"/>
          <w:color w:val="000000"/>
          <w:sz w:val="32"/>
        </w:rPr>
        <w:t>周村区推动「向高而攀、向新而行」，青志达（万志达+青山）延伸高铁动车组刹车制动管；金润德（国家专精特新小巨人、省单项冠军）与玫德集团合作巩固工业特种管件优势；万志达投资3.05亿元建不锈钢医疗器械加工项目（年产20万吨），填补国内医疗器械精密加工件空白。路径由「买钢卖钢」到「精深加工」再到「高端制造」（来源：经济日报、大众网）。</w:t>
      </w:r>
    </w:p>
    <w:p>
      <w:pPr>
        <w:spacing w:lineRule="exact" w:line="600" w:before="120" w:after="120"/>
        <w:ind w:firstLine="420"/>
        <w:jc w:val="left"/>
      </w:pPr>
      <w:r>
        <w:rPr>
          <w:rFonts w:ascii="楷体_GB2312" w:hAnsi="楷体_GB2312" w:eastAsia="楷体_GB2312"/>
          <w:b w:val="0"/>
          <w:color w:val="000000"/>
          <w:sz w:val="32"/>
        </w:rPr>
        <w:t>（二）集群化与绿色化</w:t>
      </w:r>
    </w:p>
    <w:p>
      <w:pPr>
        <w:spacing w:lineRule="exact" w:line="600" w:before="0" w:after="0"/>
        <w:ind w:firstLine="420"/>
        <w:jc w:val="both"/>
      </w:pPr>
      <w:r>
        <w:rPr>
          <w:rFonts w:ascii="仿宋_GB2312" w:hAnsi="仿宋_GB2312" w:eastAsia="仿宋_GB2312"/>
          <w:b w:val="0"/>
          <w:color w:val="000000"/>
          <w:sz w:val="32"/>
        </w:rPr>
        <w:t>周村构建「原料供应—精深加工—成品贸易—配套服务」完整产业体系，实施产业园区扩容提升工程。新优特装备制造产业园（75亩、5万㎡）孵化准专精特新企业，形成「闭环赋能、互为上下游」共生格局。以不锈钢全楼定制绿色建筑为标杆，拓展绿色建筑与循环经济新赛道（来源：周村区政府、大众网）。</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路径</w:t>
            </w:r>
          </w:p>
        </w:tc>
        <w:tc>
          <w:tcPr>
            <w:tcW w:type="dxa" w:w="3402"/>
          </w:tcPr>
          <w:p>
            <w:pPr>
              <w:spacing w:lineRule="exact" w:line="600"/>
              <w:jc w:val="center"/>
            </w:pPr>
            <w:r/>
            <w:r>
              <w:rPr>
                <w:rFonts w:ascii="黑体" w:hAnsi="黑体" w:eastAsia="黑体"/>
                <w:b/>
                <w:color w:val="000000"/>
                <w:sz w:val="32"/>
              </w:rPr>
              <w:t>举措</w:t>
            </w:r>
          </w:p>
        </w:tc>
        <w:tc>
          <w:tcPr>
            <w:tcW w:type="dxa" w:w="2551"/>
          </w:tcPr>
          <w:p>
            <w:pPr>
              <w:spacing w:lineRule="exact" w:line="600"/>
              <w:jc w:val="center"/>
            </w:pPr>
            <w:r/>
            <w:r>
              <w:rPr>
                <w:rFonts w:ascii="黑体" w:hAnsi="黑体" w:eastAsia="黑体"/>
                <w:b/>
                <w:color w:val="000000"/>
                <w:sz w:val="32"/>
              </w:rPr>
              <w:t>目标</w:t>
            </w:r>
          </w:p>
        </w:tc>
      </w:tr>
      <w:tr>
        <w:tc>
          <w:tcPr>
            <w:tcW w:type="dxa" w:w="2551"/>
          </w:tcPr>
          <w:p>
            <w:pPr>
              <w:spacing w:lineRule="exact" w:line="600"/>
              <w:jc w:val="center"/>
            </w:pPr>
            <w:r/>
            <w:r>
              <w:rPr>
                <w:rFonts w:ascii="仿宋_GB2312" w:hAnsi="仿宋_GB2312" w:eastAsia="仿宋_GB2312"/>
                <w:b w:val="0"/>
                <w:color w:val="000000"/>
                <w:sz w:val="32"/>
              </w:rPr>
              <w:t>高端制造</w:t>
            </w:r>
          </w:p>
        </w:tc>
        <w:tc>
          <w:tcPr>
            <w:tcW w:type="dxa" w:w="3402"/>
          </w:tcPr>
          <w:p>
            <w:pPr>
              <w:spacing w:lineRule="exact" w:line="600"/>
              <w:jc w:val="center"/>
            </w:pPr>
            <w:r/>
            <w:r>
              <w:rPr>
                <w:rFonts w:ascii="仿宋_GB2312" w:hAnsi="仿宋_GB2312" w:eastAsia="仿宋_GB2312"/>
                <w:b w:val="0"/>
                <w:color w:val="000000"/>
                <w:sz w:val="32"/>
              </w:rPr>
              <w:t>高铁管/医疗件/管件</w:t>
            </w:r>
          </w:p>
        </w:tc>
        <w:tc>
          <w:tcPr>
            <w:tcW w:type="dxa" w:w="2551"/>
          </w:tcPr>
          <w:p>
            <w:pPr>
              <w:spacing w:lineRule="exact" w:line="600"/>
              <w:jc w:val="center"/>
            </w:pPr>
            <w:r/>
            <w:r>
              <w:rPr>
                <w:rFonts w:ascii="仿宋_GB2312" w:hAnsi="仿宋_GB2312" w:eastAsia="仿宋_GB2312"/>
                <w:b w:val="0"/>
                <w:color w:val="000000"/>
                <w:sz w:val="32"/>
              </w:rPr>
              <w:t>价值链高端</w:t>
            </w:r>
          </w:p>
        </w:tc>
      </w:tr>
      <w:tr>
        <w:tc>
          <w:tcPr>
            <w:tcW w:type="dxa" w:w="2551"/>
          </w:tcPr>
          <w:p>
            <w:pPr>
              <w:spacing w:lineRule="exact" w:line="600"/>
              <w:jc w:val="center"/>
            </w:pPr>
            <w:r/>
            <w:r>
              <w:rPr>
                <w:rFonts w:ascii="仿宋_GB2312" w:hAnsi="仿宋_GB2312" w:eastAsia="仿宋_GB2312"/>
                <w:b w:val="0"/>
                <w:color w:val="000000"/>
                <w:sz w:val="32"/>
              </w:rPr>
              <w:t>园区扩容</w:t>
            </w:r>
          </w:p>
        </w:tc>
        <w:tc>
          <w:tcPr>
            <w:tcW w:type="dxa" w:w="3402"/>
          </w:tcPr>
          <w:p>
            <w:pPr>
              <w:spacing w:lineRule="exact" w:line="600"/>
              <w:jc w:val="center"/>
            </w:pPr>
            <w:r/>
            <w:r>
              <w:rPr>
                <w:rFonts w:ascii="仿宋_GB2312" w:hAnsi="仿宋_GB2312" w:eastAsia="仿宋_GB2312"/>
                <w:b w:val="0"/>
                <w:color w:val="000000"/>
                <w:sz w:val="32"/>
              </w:rPr>
              <w:t>新优特75亩</w:t>
            </w:r>
          </w:p>
        </w:tc>
        <w:tc>
          <w:tcPr>
            <w:tcW w:type="dxa" w:w="2551"/>
          </w:tcPr>
          <w:p>
            <w:pPr>
              <w:spacing w:lineRule="exact" w:line="600"/>
              <w:jc w:val="center"/>
            </w:pPr>
            <w:r/>
            <w:r>
              <w:rPr>
                <w:rFonts w:ascii="仿宋_GB2312" w:hAnsi="仿宋_GB2312" w:eastAsia="仿宋_GB2312"/>
                <w:b w:val="0"/>
                <w:color w:val="000000"/>
                <w:sz w:val="32"/>
              </w:rPr>
              <w:t>孵化专精特新</w:t>
            </w:r>
          </w:p>
        </w:tc>
      </w:tr>
      <w:tr>
        <w:tc>
          <w:tcPr>
            <w:tcW w:type="dxa" w:w="2551"/>
          </w:tcPr>
          <w:p>
            <w:pPr>
              <w:spacing w:lineRule="exact" w:line="600"/>
              <w:jc w:val="center"/>
            </w:pPr>
            <w:r/>
            <w:r>
              <w:rPr>
                <w:rFonts w:ascii="仿宋_GB2312" w:hAnsi="仿宋_GB2312" w:eastAsia="仿宋_GB2312"/>
                <w:b w:val="0"/>
                <w:color w:val="000000"/>
                <w:sz w:val="32"/>
              </w:rPr>
              <w:t>绿色赛道</w:t>
            </w:r>
          </w:p>
        </w:tc>
        <w:tc>
          <w:tcPr>
            <w:tcW w:type="dxa" w:w="3402"/>
          </w:tcPr>
          <w:p>
            <w:pPr>
              <w:spacing w:lineRule="exact" w:line="600"/>
              <w:jc w:val="center"/>
            </w:pPr>
            <w:r/>
            <w:r>
              <w:rPr>
                <w:rFonts w:ascii="仿宋_GB2312" w:hAnsi="仿宋_GB2312" w:eastAsia="仿宋_GB2312"/>
                <w:b w:val="0"/>
                <w:color w:val="000000"/>
                <w:sz w:val="32"/>
              </w:rPr>
              <w:t>全楼定制建筑</w:t>
            </w:r>
          </w:p>
        </w:tc>
        <w:tc>
          <w:tcPr>
            <w:tcW w:type="dxa" w:w="2551"/>
          </w:tcPr>
          <w:p>
            <w:pPr>
              <w:spacing w:lineRule="exact" w:line="600"/>
              <w:jc w:val="center"/>
            </w:pPr>
            <w:r/>
            <w:r>
              <w:rPr>
                <w:rFonts w:ascii="仿宋_GB2312" w:hAnsi="仿宋_GB2312" w:eastAsia="仿宋_GB2312"/>
                <w:b w:val="0"/>
                <w:color w:val="000000"/>
                <w:sz w:val="32"/>
              </w:rPr>
              <w:t>低碳示范</w:t>
            </w:r>
          </w:p>
        </w:tc>
      </w:tr>
      <w:tr>
        <w:tc>
          <w:tcPr>
            <w:tcW w:type="dxa" w:w="2551"/>
          </w:tcPr>
          <w:p>
            <w:pPr>
              <w:spacing w:lineRule="exact" w:line="600"/>
              <w:jc w:val="center"/>
            </w:pPr>
            <w:r/>
            <w:r>
              <w:rPr>
                <w:rFonts w:ascii="仿宋_GB2312" w:hAnsi="仿宋_GB2312" w:eastAsia="仿宋_GB2312"/>
                <w:b w:val="0"/>
                <w:color w:val="000000"/>
                <w:sz w:val="32"/>
              </w:rPr>
              <w:t>融链固链</w:t>
            </w:r>
          </w:p>
        </w:tc>
        <w:tc>
          <w:tcPr>
            <w:tcW w:type="dxa" w:w="3402"/>
          </w:tcPr>
          <w:p>
            <w:pPr>
              <w:spacing w:lineRule="exact" w:line="600"/>
              <w:jc w:val="center"/>
            </w:pPr>
            <w:r/>
            <w:r>
              <w:rPr>
                <w:rFonts w:ascii="仿宋_GB2312" w:hAnsi="仿宋_GB2312" w:eastAsia="仿宋_GB2312"/>
                <w:b w:val="0"/>
                <w:color w:val="000000"/>
                <w:sz w:val="32"/>
              </w:rPr>
              <w:t>省级对接活动</w:t>
            </w:r>
          </w:p>
        </w:tc>
        <w:tc>
          <w:tcPr>
            <w:tcW w:type="dxa" w:w="2551"/>
          </w:tcPr>
          <w:p>
            <w:pPr>
              <w:spacing w:lineRule="exact" w:line="600"/>
              <w:jc w:val="center"/>
            </w:pPr>
            <w:r/>
            <w:r>
              <w:rPr>
                <w:rFonts w:ascii="仿宋_GB2312" w:hAnsi="仿宋_GB2312" w:eastAsia="仿宋_GB2312"/>
                <w:b w:val="0"/>
                <w:color w:val="000000"/>
                <w:sz w:val="32"/>
              </w:rPr>
              <w:t>千亿集群</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（一）项目建设融资</w:t>
      </w:r>
    </w:p>
    <w:p>
      <w:pPr>
        <w:spacing w:lineRule="exact" w:line="600" w:before="0" w:after="0"/>
        <w:ind w:firstLine="420"/>
        <w:jc w:val="both"/>
      </w:pPr>
      <w:r>
        <w:rPr>
          <w:rFonts w:ascii="仿宋_GB2312" w:hAnsi="仿宋_GB2312" w:eastAsia="仿宋_GB2312"/>
          <w:b w:val="0"/>
          <w:color w:val="000000"/>
          <w:sz w:val="32"/>
        </w:rPr>
        <w:t>万志达不锈钢医疗器械加工制造及智慧管理平台项目总投资3.05亿元（获评省市重点工程）；新华医疗柔性加工智能制造、世纪正华精细加工、泰山钢铁不锈钢应用创新基地等26个项目总投资近86亿元，需固定资产贷款、专项债与产业基金支持。新优特装备制造产业园等园区基建亦需配套资金（来源：大众网、周村区政府）。</w:t>
      </w:r>
    </w:p>
    <w:p>
      <w:pPr>
        <w:spacing w:lineRule="exact" w:line="600" w:before="120" w:after="120"/>
        <w:ind w:firstLine="420"/>
        <w:jc w:val="left"/>
      </w:pPr>
      <w:r>
        <w:rPr>
          <w:rFonts w:ascii="楷体_GB2312" w:hAnsi="楷体_GB2312" w:eastAsia="楷体_GB2312"/>
          <w:b w:val="0"/>
          <w:color w:val="000000"/>
          <w:sz w:val="32"/>
        </w:rPr>
        <w:t>（二）供应链与流动性融资</w:t>
      </w:r>
    </w:p>
    <w:p>
      <w:pPr>
        <w:spacing w:lineRule="exact" w:line="600" w:before="0" w:after="0"/>
        <w:ind w:firstLine="420"/>
        <w:jc w:val="both"/>
      </w:pPr>
      <w:r>
        <w:rPr>
          <w:rFonts w:ascii="仿宋_GB2312" w:hAnsi="仿宋_GB2312" w:eastAsia="仿宋_GB2312"/>
          <w:b w:val="0"/>
          <w:color w:val="000000"/>
          <w:sz w:val="32"/>
        </w:rPr>
        <w:t>周村已创新「国有化监管仓库+世纪行金融产品」模式破解中小企业集采资金难题，但千亿级目标下融资需求仍旺。建议扩大供应链金融覆盖面、设立不锈钢产业基金、引入银行专项授信，支持企业设备升级与绿色技改。龙头企业可依托股权融资加速高端制造布局（来源：大众网、周村区政府）。</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118"/>
          </w:tcPr>
          <w:p>
            <w:pPr>
              <w:spacing w:lineRule="exact" w:line="600"/>
              <w:jc w:val="center"/>
            </w:pPr>
            <w:r/>
            <w:r>
              <w:rPr>
                <w:rFonts w:ascii="黑体" w:hAnsi="黑体" w:eastAsia="黑体"/>
                <w:b/>
                <w:color w:val="000000"/>
                <w:sz w:val="32"/>
              </w:rPr>
              <w:t>规模/对象</w:t>
            </w:r>
          </w:p>
        </w:tc>
        <w:tc>
          <w:tcPr>
            <w:tcW w:type="dxa" w:w="2551"/>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医疗器械项目</w:t>
            </w:r>
          </w:p>
        </w:tc>
        <w:tc>
          <w:tcPr>
            <w:tcW w:type="dxa" w:w="3118"/>
          </w:tcPr>
          <w:p>
            <w:pPr>
              <w:spacing w:lineRule="exact" w:line="600"/>
              <w:jc w:val="center"/>
            </w:pPr>
            <w:r/>
            <w:r>
              <w:rPr>
                <w:rFonts w:ascii="仿宋_GB2312" w:hAnsi="仿宋_GB2312" w:eastAsia="仿宋_GB2312"/>
                <w:b w:val="0"/>
                <w:color w:val="000000"/>
                <w:sz w:val="32"/>
              </w:rPr>
              <w:t>3.05亿元</w:t>
            </w:r>
          </w:p>
        </w:tc>
        <w:tc>
          <w:tcPr>
            <w:tcW w:type="dxa" w:w="2551"/>
          </w:tcPr>
          <w:p>
            <w:pPr>
              <w:spacing w:lineRule="exact" w:line="600"/>
              <w:jc w:val="center"/>
            </w:pPr>
            <w:r/>
            <w:r>
              <w:rPr>
                <w:rFonts w:ascii="仿宋_GB2312" w:hAnsi="仿宋_GB2312" w:eastAsia="仿宋_GB2312"/>
                <w:b w:val="0"/>
                <w:color w:val="000000"/>
                <w:sz w:val="32"/>
              </w:rPr>
              <w:t>固定资产贷</w:t>
            </w:r>
          </w:p>
        </w:tc>
      </w:tr>
      <w:tr>
        <w:tc>
          <w:tcPr>
            <w:tcW w:type="dxa" w:w="2835"/>
          </w:tcPr>
          <w:p>
            <w:pPr>
              <w:spacing w:lineRule="exact" w:line="600"/>
              <w:jc w:val="center"/>
            </w:pPr>
            <w:r/>
            <w:r>
              <w:rPr>
                <w:rFonts w:ascii="仿宋_GB2312" w:hAnsi="仿宋_GB2312" w:eastAsia="仿宋_GB2312"/>
                <w:b w:val="0"/>
                <w:color w:val="000000"/>
                <w:sz w:val="32"/>
              </w:rPr>
              <w:t>26个项目</w:t>
            </w:r>
          </w:p>
        </w:tc>
        <w:tc>
          <w:tcPr>
            <w:tcW w:type="dxa" w:w="3118"/>
          </w:tcPr>
          <w:p>
            <w:pPr>
              <w:spacing w:lineRule="exact" w:line="600"/>
              <w:jc w:val="center"/>
            </w:pPr>
            <w:r/>
            <w:r>
              <w:rPr>
                <w:rFonts w:ascii="仿宋_GB2312" w:hAnsi="仿宋_GB2312" w:eastAsia="仿宋_GB2312"/>
                <w:b w:val="0"/>
                <w:color w:val="000000"/>
                <w:sz w:val="32"/>
              </w:rPr>
              <w:t>近86亿元</w:t>
            </w:r>
          </w:p>
        </w:tc>
        <w:tc>
          <w:tcPr>
            <w:tcW w:type="dxa" w:w="2551"/>
          </w:tcPr>
          <w:p>
            <w:pPr>
              <w:spacing w:lineRule="exact" w:line="600"/>
              <w:jc w:val="center"/>
            </w:pPr>
            <w:r/>
            <w:r>
              <w:rPr>
                <w:rFonts w:ascii="仿宋_GB2312" w:hAnsi="仿宋_GB2312" w:eastAsia="仿宋_GB2312"/>
                <w:b w:val="0"/>
                <w:color w:val="000000"/>
                <w:sz w:val="32"/>
              </w:rPr>
              <w:t>专项债+贷</w:t>
            </w:r>
          </w:p>
        </w:tc>
      </w:tr>
      <w:tr>
        <w:tc>
          <w:tcPr>
            <w:tcW w:type="dxa" w:w="2835"/>
          </w:tcPr>
          <w:p>
            <w:pPr>
              <w:spacing w:lineRule="exact" w:line="600"/>
              <w:jc w:val="center"/>
            </w:pPr>
            <w:r/>
            <w:r>
              <w:rPr>
                <w:rFonts w:ascii="仿宋_GB2312" w:hAnsi="仿宋_GB2312" w:eastAsia="仿宋_GB2312"/>
                <w:b w:val="0"/>
                <w:color w:val="000000"/>
                <w:sz w:val="32"/>
              </w:rPr>
              <w:t>监管仓金融</w:t>
            </w:r>
          </w:p>
        </w:tc>
        <w:tc>
          <w:tcPr>
            <w:tcW w:type="dxa" w:w="3118"/>
          </w:tcPr>
          <w:p>
            <w:pPr>
              <w:spacing w:lineRule="exact" w:line="600"/>
              <w:jc w:val="center"/>
            </w:pPr>
            <w:r/>
            <w:r>
              <w:rPr>
                <w:rFonts w:ascii="仿宋_GB2312" w:hAnsi="仿宋_GB2312" w:eastAsia="仿宋_GB2312"/>
                <w:b w:val="0"/>
                <w:color w:val="000000"/>
                <w:sz w:val="32"/>
              </w:rPr>
              <w:t>世纪行产品</w:t>
            </w:r>
          </w:p>
        </w:tc>
        <w:tc>
          <w:tcPr>
            <w:tcW w:type="dxa" w:w="2551"/>
          </w:tcPr>
          <w:p>
            <w:pPr>
              <w:spacing w:lineRule="exact" w:line="600"/>
              <w:jc w:val="center"/>
            </w:pPr>
            <w:r/>
            <w:r>
              <w:rPr>
                <w:rFonts w:ascii="仿宋_GB2312" w:hAnsi="仿宋_GB2312" w:eastAsia="仿宋_GB2312"/>
                <w:b w:val="0"/>
                <w:color w:val="000000"/>
                <w:sz w:val="32"/>
              </w:rPr>
              <w:t>供应链金融</w:t>
            </w:r>
          </w:p>
        </w:tc>
      </w:tr>
      <w:tr>
        <w:tc>
          <w:tcPr>
            <w:tcW w:type="dxa" w:w="2835"/>
          </w:tcPr>
          <w:p>
            <w:pPr>
              <w:spacing w:lineRule="exact" w:line="600"/>
              <w:jc w:val="center"/>
            </w:pPr>
            <w:r/>
            <w:r>
              <w:rPr>
                <w:rFonts w:ascii="仿宋_GB2312" w:hAnsi="仿宋_GB2312" w:eastAsia="仿宋_GB2312"/>
                <w:b w:val="0"/>
                <w:color w:val="000000"/>
                <w:sz w:val="32"/>
              </w:rPr>
              <w:t>产业基金</w:t>
            </w:r>
          </w:p>
        </w:tc>
        <w:tc>
          <w:tcPr>
            <w:tcW w:type="dxa" w:w="3118"/>
          </w:tcPr>
          <w:p>
            <w:pPr>
              <w:spacing w:lineRule="exact" w:line="600"/>
              <w:jc w:val="center"/>
            </w:pPr>
            <w:r/>
            <w:r>
              <w:rPr>
                <w:rFonts w:ascii="仿宋_GB2312" w:hAnsi="仿宋_GB2312" w:eastAsia="仿宋_GB2312"/>
                <w:b w:val="0"/>
                <w:color w:val="000000"/>
                <w:sz w:val="32"/>
              </w:rPr>
              <w:t>建议设立</w:t>
            </w:r>
          </w:p>
        </w:tc>
        <w:tc>
          <w:tcPr>
            <w:tcW w:type="dxa" w:w="2551"/>
          </w:tcPr>
          <w:p>
            <w:pPr>
              <w:spacing w:lineRule="exact" w:line="600"/>
              <w:jc w:val="center"/>
            </w:pPr>
            <w:r/>
            <w:r>
              <w:rPr>
                <w:rFonts w:ascii="仿宋_GB2312" w:hAnsi="仿宋_GB2312" w:eastAsia="仿宋_GB2312"/>
                <w:b w:val="0"/>
                <w:color w:val="000000"/>
                <w:sz w:val="32"/>
              </w:rPr>
              <w:t>股权+债权</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淄博伟业不锈钢有限公司：成立于2000年，集不锈钢产品生产、加工、贸易于一体，位于周村江北不锈钢市场；拥有17个加工车间、6万平方米生产仓储空间，年加工能力数十万吨，主营200/300/400系列冷热卷、平板、管材及不锈钢绿色建材（金属雕花板、保温装饰一体板、屋面板墙板）；2024年全国首个不锈钢全楼定制绿色建筑（13000㎡）入选中国不锈钢行业十大新闻，为周村区纳税前十、服务业十强。来源：伟业不锈钢官网/资料、大众网。</w:t>
      </w:r>
    </w:p>
    <w:p>
      <w:pPr>
        <w:spacing w:lineRule="exact" w:line="600" w:before="0" w:after="0"/>
        <w:ind w:firstLine="420"/>
        <w:jc w:val="both"/>
      </w:pPr>
      <w:r>
        <w:rPr>
          <w:rFonts w:ascii="仿宋_GB2312" w:hAnsi="仿宋_GB2312" w:eastAsia="仿宋_GB2312"/>
          <w:b w:val="0"/>
          <w:color w:val="000000"/>
          <w:sz w:val="32"/>
        </w:rPr>
        <w:t>山东新世纪不锈钢集团有限公司：成立于2000/2007年，注册资本3200万元，太钢北方唯一核心代理、青山集团北方一级渠道；年加工能力70万吨、仓储10万吨，年营业额约7亿元，中国不锈钢贸易30强；联合山东高速供应链建成北方首座不锈钢国有化监管仓库，与无锡锡商银行推「世纪行」金融产品。来源：百度百科、大众网。</w:t>
      </w:r>
    </w:p>
    <w:p>
      <w:pPr>
        <w:spacing w:lineRule="exact" w:line="600" w:before="0" w:after="0"/>
        <w:ind w:firstLine="420"/>
        <w:jc w:val="both"/>
      </w:pPr>
      <w:r>
        <w:rPr>
          <w:rFonts w:ascii="仿宋_GB2312" w:hAnsi="仿宋_GB2312" w:eastAsia="仿宋_GB2312"/>
          <w:b w:val="0"/>
          <w:color w:val="000000"/>
          <w:sz w:val="32"/>
        </w:rPr>
        <w:t>山东世纪正华金属科技有限公司：不锈钢新材料精细加工代表企业，位于周村不锈钢产业园，为首届/第二届中国（周村）不锈钢展览会重点参观企业，参与不锈钢新材料精细加工与终端应用。来源：周村区政府展览会报道。</w:t>
      </w:r>
    </w:p>
    <w:p>
      <w:pPr>
        <w:spacing w:lineRule="exact" w:line="600" w:before="0" w:after="0"/>
        <w:jc w:val="left"/>
      </w:pPr>
      <w:r>
        <w:rPr>
          <w:rFonts w:ascii="仿宋_GB2312" w:hAnsi="仿宋_GB2312" w:eastAsia="仿宋_GB2312"/>
          <w:b w:val="0"/>
          <w:color w:val="000000"/>
          <w:sz w:val="28"/>
        </w:rPr>
        <w:t>主要数据来源：周村区政府官网《首届中国（周村）不锈钢展览会》（2024-11-11）；周村区政府官网《第二届中国（周村）不锈钢展览会》（2025-10-17）；经济日报《山东淄博周村区：攀高引强再锻「新钢」》（2026-04-11）；大众网《解码小镇冠军丨周村区南郊镇》（2025-11-19）；山东省工信厅《融链聚势，淄博不锈钢产业向深向精》（2026-05-29）；百度百科「山东新世纪不锈钢有限公司」；伟业不锈钢官网及企业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