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山东淄博周村（不锈钢深加工）特色产业集群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不锈钢商贸与物流行业深度分析报告</w:t>
      </w:r>
    </w:p>
    <w:p>
      <w:pPr>
        <w:spacing w:lineRule="exact" w:line="600" w:before="0" w:after="0"/>
        <w:jc w:val="left"/>
      </w:pPr>
      <w:r>
        <w:rPr>
          <w:rFonts w:ascii="仿宋_GB2312" w:hAnsi="仿宋_GB2312" w:eastAsia="仿宋_GB2312"/>
          <w:b w:val="0"/>
          <w:color w:val="000000"/>
          <w:sz w:val="28"/>
        </w:rPr>
        <w:t>本报告聚焦不锈钢商贸流通与物流（含监管仓储、供应链金融、电商贸易），数据来源于周村区政府、经济日报、大众网等，数据截至2024—2026年。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不锈钢商贸与物流是周村集群的根基与最大特色——周村是全国最大的不锈钢二级（终端）市场、江北第一、全国第三的不锈钢商贸流通集散地。2025年集群交易额突破600亿元，生产经营业户超千家、规上企业116家，服务不锈钢消费企业2500余家。商贸物流以「国有化监管仓库+供应链金融+电商」为创新范式：新世纪不锈钢联合山东高速供应链建成北方首座不锈钢国有化监管仓库，与无锡锡商银行推「世纪行」金融产品；世纪正华等深耕不锈钢新材料精细加工与流通。行业机遇在数字化贸易与全球通道，风险在价格剧烈波动与贸易摩擦，需强化风控与金融基础设施。</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周村不锈钢交易额</w:t>
            </w:r>
          </w:p>
        </w:tc>
        <w:tc>
          <w:tcPr>
            <w:tcW w:type="dxa" w:w="2835"/>
          </w:tcPr>
          <w:p>
            <w:pPr>
              <w:spacing w:lineRule="exact" w:line="600"/>
              <w:jc w:val="center"/>
            </w:pPr>
            <w:r/>
            <w:r>
              <w:rPr>
                <w:rFonts w:ascii="仿宋_GB2312" w:hAnsi="仿宋_GB2312" w:eastAsia="仿宋_GB2312"/>
                <w:b w:val="0"/>
                <w:color w:val="000000"/>
                <w:sz w:val="32"/>
              </w:rPr>
              <w:t>突破600亿元</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生产经营业户</w:t>
            </w:r>
          </w:p>
        </w:tc>
        <w:tc>
          <w:tcPr>
            <w:tcW w:type="dxa" w:w="2835"/>
          </w:tcPr>
          <w:p>
            <w:pPr>
              <w:spacing w:lineRule="exact" w:line="600"/>
              <w:jc w:val="center"/>
            </w:pPr>
            <w:r/>
            <w:r>
              <w:rPr>
                <w:rFonts w:ascii="仿宋_GB2312" w:hAnsi="仿宋_GB2312" w:eastAsia="仿宋_GB2312"/>
                <w:b w:val="0"/>
                <w:color w:val="000000"/>
                <w:sz w:val="32"/>
              </w:rPr>
              <w:t>超千家</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116家</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服务消费企业</w:t>
            </w:r>
          </w:p>
        </w:tc>
        <w:tc>
          <w:tcPr>
            <w:tcW w:type="dxa" w:w="2835"/>
          </w:tcPr>
          <w:p>
            <w:pPr>
              <w:spacing w:lineRule="exact" w:line="600"/>
              <w:jc w:val="center"/>
            </w:pPr>
            <w:r/>
            <w:r>
              <w:rPr>
                <w:rFonts w:ascii="仿宋_GB2312" w:hAnsi="仿宋_GB2312" w:eastAsia="仿宋_GB2312"/>
                <w:b w:val="0"/>
                <w:color w:val="000000"/>
                <w:sz w:val="32"/>
              </w:rPr>
              <w:t>2500余家</w:t>
            </w:r>
          </w:p>
        </w:tc>
        <w:tc>
          <w:tcPr>
            <w:tcW w:type="dxa" w:w="3118"/>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园区经营面积</w:t>
            </w:r>
          </w:p>
        </w:tc>
        <w:tc>
          <w:tcPr>
            <w:tcW w:type="dxa" w:w="2835"/>
          </w:tcPr>
          <w:p>
            <w:pPr>
              <w:spacing w:lineRule="exact" w:line="600"/>
              <w:jc w:val="center"/>
            </w:pPr>
            <w:r/>
            <w:r>
              <w:rPr>
                <w:rFonts w:ascii="仿宋_GB2312" w:hAnsi="仿宋_GB2312" w:eastAsia="仿宋_GB2312"/>
                <w:b w:val="0"/>
                <w:color w:val="000000"/>
                <w:sz w:val="32"/>
              </w:rPr>
              <w:t>近100万㎡</w:t>
            </w:r>
          </w:p>
        </w:tc>
        <w:tc>
          <w:tcPr>
            <w:tcW w:type="dxa" w:w="3118"/>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新世纪加工/仓储</w:t>
            </w:r>
          </w:p>
        </w:tc>
        <w:tc>
          <w:tcPr>
            <w:tcW w:type="dxa" w:w="2835"/>
          </w:tcPr>
          <w:p>
            <w:pPr>
              <w:spacing w:lineRule="exact" w:line="600"/>
              <w:jc w:val="center"/>
            </w:pPr>
            <w:r/>
            <w:r>
              <w:rPr>
                <w:rFonts w:ascii="仿宋_GB2312" w:hAnsi="仿宋_GB2312" w:eastAsia="仿宋_GB2312"/>
                <w:b w:val="0"/>
                <w:color w:val="000000"/>
                <w:sz w:val="32"/>
              </w:rPr>
              <w:t>70万吨/10万吨</w:t>
            </w:r>
          </w:p>
        </w:tc>
        <w:tc>
          <w:tcPr>
            <w:tcW w:type="dxa" w:w="3118"/>
          </w:tcPr>
          <w:p>
            <w:pPr>
              <w:spacing w:lineRule="exact" w:line="600"/>
              <w:jc w:val="center"/>
            </w:pPr>
            <w:r/>
            <w:r>
              <w:rPr>
                <w:rFonts w:ascii="仿宋_GB2312" w:hAnsi="仿宋_GB2312" w:eastAsia="仿宋_GB2312"/>
                <w:b w:val="0"/>
                <w:color w:val="000000"/>
                <w:sz w:val="32"/>
              </w:rPr>
              <w:t>百度百科</w:t>
            </w:r>
          </w:p>
        </w:tc>
      </w:tr>
      <w:tr>
        <w:tc>
          <w:tcPr>
            <w:tcW w:type="dxa" w:w="2835"/>
          </w:tcPr>
          <w:p>
            <w:pPr>
              <w:spacing w:lineRule="exact" w:line="600"/>
              <w:jc w:val="center"/>
            </w:pPr>
            <w:r/>
            <w:r>
              <w:rPr>
                <w:rFonts w:ascii="仿宋_GB2312" w:hAnsi="仿宋_GB2312" w:eastAsia="仿宋_GB2312"/>
                <w:b w:val="0"/>
                <w:color w:val="000000"/>
                <w:sz w:val="32"/>
              </w:rPr>
              <w:t>南郊镇交易额</w:t>
            </w:r>
          </w:p>
        </w:tc>
        <w:tc>
          <w:tcPr>
            <w:tcW w:type="dxa" w:w="2835"/>
          </w:tcPr>
          <w:p>
            <w:pPr>
              <w:spacing w:lineRule="exact" w:line="600"/>
              <w:jc w:val="center"/>
            </w:pPr>
            <w:r/>
            <w:r>
              <w:rPr>
                <w:rFonts w:ascii="仿宋_GB2312" w:hAnsi="仿宋_GB2312" w:eastAsia="仿宋_GB2312"/>
                <w:b w:val="0"/>
                <w:color w:val="000000"/>
                <w:sz w:val="32"/>
              </w:rPr>
              <w:t>超200亿元</w:t>
            </w:r>
          </w:p>
        </w:tc>
        <w:tc>
          <w:tcPr>
            <w:tcW w:type="dxa" w:w="3118"/>
          </w:tcPr>
          <w:p>
            <w:pPr>
              <w:spacing w:lineRule="exact" w:line="600"/>
              <w:jc w:val="center"/>
            </w:pPr>
            <w:r/>
            <w:r>
              <w:rPr>
                <w:rFonts w:ascii="仿宋_GB2312" w:hAnsi="仿宋_GB2312" w:eastAsia="仿宋_GB2312"/>
                <w:b w:val="0"/>
                <w:color w:val="000000"/>
                <w:sz w:val="32"/>
              </w:rPr>
              <w:t>大众网</w:t>
            </w:r>
          </w:p>
        </w:tc>
      </w:tr>
      <w:tr>
        <w:tc>
          <w:tcPr>
            <w:tcW w:type="dxa" w:w="2835"/>
          </w:tcPr>
          <w:p>
            <w:pPr>
              <w:spacing w:lineRule="exact" w:line="600"/>
              <w:jc w:val="center"/>
            </w:pPr>
            <w:r/>
            <w:r>
              <w:rPr>
                <w:rFonts w:ascii="仿宋_GB2312" w:hAnsi="仿宋_GB2312" w:eastAsia="仿宋_GB2312"/>
                <w:b w:val="0"/>
                <w:color w:val="000000"/>
                <w:sz w:val="32"/>
              </w:rPr>
              <w:t>集群地位</w:t>
            </w:r>
          </w:p>
        </w:tc>
        <w:tc>
          <w:tcPr>
            <w:tcW w:type="dxa" w:w="2835"/>
          </w:tcPr>
          <w:p>
            <w:pPr>
              <w:spacing w:lineRule="exact" w:line="600"/>
              <w:jc w:val="center"/>
            </w:pPr>
            <w:r/>
            <w:r>
              <w:rPr>
                <w:rFonts w:ascii="仿宋_GB2312" w:hAnsi="仿宋_GB2312" w:eastAsia="仿宋_GB2312"/>
                <w:b w:val="0"/>
                <w:color w:val="000000"/>
                <w:sz w:val="32"/>
              </w:rPr>
              <w:t>全国第三集散地</w:t>
            </w:r>
          </w:p>
        </w:tc>
        <w:tc>
          <w:tcPr>
            <w:tcW w:type="dxa" w:w="3118"/>
          </w:tcPr>
          <w:p>
            <w:pPr>
              <w:spacing w:lineRule="exact" w:line="600"/>
              <w:jc w:val="center"/>
            </w:pPr>
            <w:r/>
            <w:r>
              <w:rPr>
                <w:rFonts w:ascii="仿宋_GB2312" w:hAnsi="仿宋_GB2312" w:eastAsia="仿宋_GB2312"/>
                <w:b w:val="0"/>
                <w:color w:val="000000"/>
                <w:sz w:val="32"/>
              </w:rPr>
              <w:t>江北第一</w:t>
            </w:r>
          </w:p>
        </w:tc>
      </w:tr>
      <w:tr>
        <w:tc>
          <w:tcPr>
            <w:tcW w:type="dxa" w:w="2835"/>
          </w:tcPr>
          <w:p>
            <w:pPr>
              <w:spacing w:lineRule="exact" w:line="600"/>
              <w:jc w:val="center"/>
            </w:pPr>
            <w:r/>
            <w:r>
              <w:rPr>
                <w:rFonts w:ascii="仿宋_GB2312" w:hAnsi="仿宋_GB2312" w:eastAsia="仿宋_GB2312"/>
                <w:b w:val="0"/>
                <w:color w:val="000000"/>
                <w:sz w:val="32"/>
              </w:rPr>
              <w:t>展览会参展</w:t>
            </w:r>
          </w:p>
        </w:tc>
        <w:tc>
          <w:tcPr>
            <w:tcW w:type="dxa" w:w="2835"/>
          </w:tcPr>
          <w:p>
            <w:pPr>
              <w:spacing w:lineRule="exact" w:line="600"/>
              <w:jc w:val="center"/>
            </w:pPr>
            <w:r/>
            <w:r>
              <w:rPr>
                <w:rFonts w:ascii="仿宋_GB2312" w:hAnsi="仿宋_GB2312" w:eastAsia="仿宋_GB2312"/>
                <w:b w:val="0"/>
                <w:color w:val="000000"/>
                <w:sz w:val="32"/>
              </w:rPr>
              <w:t>500+企业</w:t>
            </w:r>
          </w:p>
        </w:tc>
        <w:tc>
          <w:tcPr>
            <w:tcW w:type="dxa" w:w="3118"/>
          </w:tcPr>
          <w:p>
            <w:pPr>
              <w:spacing w:lineRule="exact" w:line="600"/>
              <w:jc w:val="center"/>
            </w:pPr>
            <w:r/>
            <w:r>
              <w:rPr>
                <w:rFonts w:ascii="仿宋_GB2312" w:hAnsi="仿宋_GB2312" w:eastAsia="仿宋_GB2312"/>
                <w:b w:val="0"/>
                <w:color w:val="000000"/>
                <w:sz w:val="32"/>
              </w:rPr>
              <w:t>周村区</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商贸物流是畅通产业链供应链的关键。山东推动传统产业转型与现代服务业融合，周村不锈钢2025年9月入选省「十强产业」雁阵形产业集群。国家扩大内需、基建与装备制造需求支撑不锈钢流通规模；数字商务与供应链金融政策助力周村由传统贸易向「贸易+金融+数字」升级（来源：周村区政府、山东省工信厅）。</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周村规划建设700公顷不锈钢产业集聚区，聚力打造集仓储、贸易、加工于一体的千亿级集群。作为全国最大不锈钢二级（终端）市场，周村承担北方地区不锈钢集散与分拨功能，产品上千种、从业人员近万人，年交易额由500亿元升至突破600亿元（来源：周村区政府官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集聚区</w:t>
            </w:r>
          </w:p>
        </w:tc>
        <w:tc>
          <w:tcPr>
            <w:tcW w:type="dxa" w:w="2835"/>
          </w:tcPr>
          <w:p>
            <w:pPr>
              <w:spacing w:lineRule="exact" w:line="600"/>
              <w:jc w:val="center"/>
            </w:pPr>
            <w:r/>
            <w:r>
              <w:rPr>
                <w:rFonts w:ascii="仿宋_GB2312" w:hAnsi="仿宋_GB2312" w:eastAsia="仿宋_GB2312"/>
                <w:b w:val="0"/>
                <w:color w:val="000000"/>
                <w:sz w:val="32"/>
              </w:rPr>
              <w:t>700公顷</w:t>
            </w:r>
          </w:p>
        </w:tc>
        <w:tc>
          <w:tcPr>
            <w:tcW w:type="dxa" w:w="2835"/>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交易额</w:t>
            </w:r>
          </w:p>
        </w:tc>
        <w:tc>
          <w:tcPr>
            <w:tcW w:type="dxa" w:w="2835"/>
          </w:tcPr>
          <w:p>
            <w:pPr>
              <w:spacing w:lineRule="exact" w:line="600"/>
              <w:jc w:val="center"/>
            </w:pPr>
            <w:r/>
            <w:r>
              <w:rPr>
                <w:rFonts w:ascii="仿宋_GB2312" w:hAnsi="仿宋_GB2312" w:eastAsia="仿宋_GB2312"/>
                <w:b w:val="0"/>
                <w:color w:val="000000"/>
                <w:sz w:val="32"/>
              </w:rPr>
              <w:t>突破600亿元</w:t>
            </w:r>
          </w:p>
        </w:tc>
        <w:tc>
          <w:tcPr>
            <w:tcW w:type="dxa" w:w="2835"/>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生产经营业户</w:t>
            </w:r>
          </w:p>
        </w:tc>
        <w:tc>
          <w:tcPr>
            <w:tcW w:type="dxa" w:w="2835"/>
          </w:tcPr>
          <w:p>
            <w:pPr>
              <w:spacing w:lineRule="exact" w:line="600"/>
              <w:jc w:val="center"/>
            </w:pPr>
            <w:r/>
            <w:r>
              <w:rPr>
                <w:rFonts w:ascii="仿宋_GB2312" w:hAnsi="仿宋_GB2312" w:eastAsia="仿宋_GB2312"/>
                <w:b w:val="0"/>
                <w:color w:val="000000"/>
                <w:sz w:val="32"/>
              </w:rPr>
              <w:t>超千家</w:t>
            </w:r>
          </w:p>
        </w:tc>
        <w:tc>
          <w:tcPr>
            <w:tcW w:type="dxa" w:w="2835"/>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116家</w:t>
            </w:r>
          </w:p>
        </w:tc>
        <w:tc>
          <w:tcPr>
            <w:tcW w:type="dxa" w:w="2835"/>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服务企业</w:t>
            </w:r>
          </w:p>
        </w:tc>
        <w:tc>
          <w:tcPr>
            <w:tcW w:type="dxa" w:w="2835"/>
          </w:tcPr>
          <w:p>
            <w:pPr>
              <w:spacing w:lineRule="exact" w:line="600"/>
              <w:jc w:val="center"/>
            </w:pPr>
            <w:r/>
            <w:r>
              <w:rPr>
                <w:rFonts w:ascii="仿宋_GB2312" w:hAnsi="仿宋_GB2312" w:eastAsia="仿宋_GB2312"/>
                <w:b w:val="0"/>
                <w:color w:val="000000"/>
                <w:sz w:val="32"/>
              </w:rPr>
              <w:t>2500余家</w:t>
            </w:r>
          </w:p>
        </w:tc>
        <w:tc>
          <w:tcPr>
            <w:tcW w:type="dxa" w:w="2835"/>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从业人员</w:t>
            </w:r>
          </w:p>
        </w:tc>
        <w:tc>
          <w:tcPr>
            <w:tcW w:type="dxa" w:w="2835"/>
          </w:tcPr>
          <w:p>
            <w:pPr>
              <w:spacing w:lineRule="exact" w:line="600"/>
              <w:jc w:val="center"/>
            </w:pPr>
            <w:r/>
            <w:r>
              <w:rPr>
                <w:rFonts w:ascii="仿宋_GB2312" w:hAnsi="仿宋_GB2312" w:eastAsia="仿宋_GB2312"/>
                <w:b w:val="0"/>
                <w:color w:val="000000"/>
                <w:sz w:val="32"/>
              </w:rPr>
              <w:t>近万人</w:t>
            </w:r>
          </w:p>
        </w:tc>
        <w:tc>
          <w:tcPr>
            <w:tcW w:type="dxa" w:w="2835"/>
          </w:tcPr>
          <w:p>
            <w:pPr>
              <w:spacing w:lineRule="exact" w:line="600"/>
              <w:jc w:val="center"/>
            </w:pPr>
            <w:r/>
            <w:r>
              <w:rPr>
                <w:rFonts w:ascii="仿宋_GB2312" w:hAnsi="仿宋_GB2312" w:eastAsia="仿宋_GB2312"/>
                <w:b w:val="0"/>
                <w:color w:val="000000"/>
                <w:sz w:val="32"/>
              </w:rPr>
              <w:t>周村区</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（一）商贸流通体系</w:t>
      </w:r>
    </w:p>
    <w:p>
      <w:pPr>
        <w:spacing w:lineRule="exact" w:line="600" w:before="0" w:after="0"/>
        <w:ind w:firstLine="420"/>
        <w:jc w:val="both"/>
      </w:pPr>
      <w:r>
        <w:rPr>
          <w:rFonts w:ascii="仿宋_GB2312" w:hAnsi="仿宋_GB2312" w:eastAsia="仿宋_GB2312"/>
          <w:b w:val="0"/>
          <w:color w:val="000000"/>
          <w:sz w:val="32"/>
        </w:rPr>
        <w:t>周村不锈钢商贸以「钢厂代理+终端分拨」为核心：新世纪不锈钢为太钢北方唯一核心代理、青山集团北方一级渠道，一手牵十大钢厂上游资源、一手搭下游服务网络，开创上下游协同模式。全区超千家经营业户构成密集贸易网络，服务2500余家不锈钢消费企业，形成从原料到终端的高效流通（来源：百度百科、周村区政府）。</w:t>
      </w:r>
    </w:p>
    <w:p>
      <w:pPr>
        <w:spacing w:lineRule="exact" w:line="600" w:before="120" w:after="120"/>
        <w:ind w:firstLine="420"/>
        <w:jc w:val="left"/>
      </w:pPr>
      <w:r>
        <w:rPr>
          <w:rFonts w:ascii="楷体_GB2312" w:hAnsi="楷体_GB2312" w:eastAsia="楷体_GB2312"/>
          <w:b w:val="0"/>
          <w:color w:val="000000"/>
          <w:sz w:val="32"/>
        </w:rPr>
        <w:t>（二）仓储物流与监管</w:t>
      </w:r>
    </w:p>
    <w:p>
      <w:pPr>
        <w:spacing w:lineRule="exact" w:line="600" w:before="0" w:after="0"/>
        <w:ind w:firstLine="420"/>
        <w:jc w:val="both"/>
      </w:pPr>
      <w:r>
        <w:rPr>
          <w:rFonts w:ascii="仿宋_GB2312" w:hAnsi="仿宋_GB2312" w:eastAsia="仿宋_GB2312"/>
          <w:b w:val="0"/>
          <w:color w:val="000000"/>
          <w:sz w:val="32"/>
        </w:rPr>
        <w:t>仓储物流是商贸枢纽。新世纪联合政府平台与山东高速供应链集团建成北方首座不锈钢国有化监管仓库，实现货权监管与动产质押；园区经营面积近100万平方米（中大慧科、天河、龙马等），配套物流分拨。泰山钢铁（淄博）不锈钢应用创新基地等落成，完善「贸易+仓储+加工+物流」一体化（来源：大众网、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模式/规模</w:t>
            </w:r>
          </w:p>
        </w:tc>
        <w:tc>
          <w:tcPr>
            <w:tcW w:type="dxa" w:w="2551"/>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钢厂代理</w:t>
            </w:r>
          </w:p>
        </w:tc>
        <w:tc>
          <w:tcPr>
            <w:tcW w:type="dxa" w:w="3402"/>
          </w:tcPr>
          <w:p>
            <w:pPr>
              <w:spacing w:lineRule="exact" w:line="600"/>
              <w:jc w:val="center"/>
            </w:pPr>
            <w:r/>
            <w:r>
              <w:rPr>
                <w:rFonts w:ascii="仿宋_GB2312" w:hAnsi="仿宋_GB2312" w:eastAsia="仿宋_GB2312"/>
                <w:b w:val="0"/>
                <w:color w:val="000000"/>
                <w:sz w:val="32"/>
              </w:rPr>
              <w:t>太钢/青山核心渠道</w:t>
            </w:r>
          </w:p>
        </w:tc>
        <w:tc>
          <w:tcPr>
            <w:tcW w:type="dxa" w:w="2551"/>
          </w:tcPr>
          <w:p>
            <w:pPr>
              <w:spacing w:lineRule="exact" w:line="600"/>
              <w:jc w:val="center"/>
            </w:pPr>
            <w:r/>
            <w:r>
              <w:rPr>
                <w:rFonts w:ascii="仿宋_GB2312" w:hAnsi="仿宋_GB2312" w:eastAsia="仿宋_GB2312"/>
                <w:b w:val="0"/>
                <w:color w:val="000000"/>
                <w:sz w:val="32"/>
              </w:rPr>
              <w:t>新世纪</w:t>
            </w:r>
          </w:p>
        </w:tc>
      </w:tr>
      <w:tr>
        <w:tc>
          <w:tcPr>
            <w:tcW w:type="dxa" w:w="2551"/>
          </w:tcPr>
          <w:p>
            <w:pPr>
              <w:spacing w:lineRule="exact" w:line="600"/>
              <w:jc w:val="center"/>
            </w:pPr>
            <w:r/>
            <w:r>
              <w:rPr>
                <w:rFonts w:ascii="仿宋_GB2312" w:hAnsi="仿宋_GB2312" w:eastAsia="仿宋_GB2312"/>
                <w:b w:val="0"/>
                <w:color w:val="000000"/>
                <w:sz w:val="32"/>
              </w:rPr>
              <w:t>监管仓库</w:t>
            </w:r>
          </w:p>
        </w:tc>
        <w:tc>
          <w:tcPr>
            <w:tcW w:type="dxa" w:w="3402"/>
          </w:tcPr>
          <w:p>
            <w:pPr>
              <w:spacing w:lineRule="exact" w:line="600"/>
              <w:jc w:val="center"/>
            </w:pPr>
            <w:r/>
            <w:r>
              <w:rPr>
                <w:rFonts w:ascii="仿宋_GB2312" w:hAnsi="仿宋_GB2312" w:eastAsia="仿宋_GB2312"/>
                <w:b w:val="0"/>
                <w:color w:val="000000"/>
                <w:sz w:val="32"/>
              </w:rPr>
              <w:t>北方首座国有化</w:t>
            </w:r>
          </w:p>
        </w:tc>
        <w:tc>
          <w:tcPr>
            <w:tcW w:type="dxa" w:w="2551"/>
          </w:tcPr>
          <w:p>
            <w:pPr>
              <w:spacing w:lineRule="exact" w:line="600"/>
              <w:jc w:val="center"/>
            </w:pPr>
            <w:r/>
            <w:r>
              <w:rPr>
                <w:rFonts w:ascii="仿宋_GB2312" w:hAnsi="仿宋_GB2312" w:eastAsia="仿宋_GB2312"/>
                <w:b w:val="0"/>
                <w:color w:val="000000"/>
                <w:sz w:val="32"/>
              </w:rPr>
              <w:t>新世纪+高速</w:t>
            </w:r>
          </w:p>
        </w:tc>
      </w:tr>
      <w:tr>
        <w:tc>
          <w:tcPr>
            <w:tcW w:type="dxa" w:w="2551"/>
          </w:tcPr>
          <w:p>
            <w:pPr>
              <w:spacing w:lineRule="exact" w:line="600"/>
              <w:jc w:val="center"/>
            </w:pPr>
            <w:r/>
            <w:r>
              <w:rPr>
                <w:rFonts w:ascii="仿宋_GB2312" w:hAnsi="仿宋_GB2312" w:eastAsia="仿宋_GB2312"/>
                <w:b w:val="0"/>
                <w:color w:val="000000"/>
                <w:sz w:val="32"/>
              </w:rPr>
              <w:t>园区仓储</w:t>
            </w:r>
          </w:p>
        </w:tc>
        <w:tc>
          <w:tcPr>
            <w:tcW w:type="dxa" w:w="3402"/>
          </w:tcPr>
          <w:p>
            <w:pPr>
              <w:spacing w:lineRule="exact" w:line="600"/>
              <w:jc w:val="center"/>
            </w:pPr>
            <w:r/>
            <w:r>
              <w:rPr>
                <w:rFonts w:ascii="仿宋_GB2312" w:hAnsi="仿宋_GB2312" w:eastAsia="仿宋_GB2312"/>
                <w:b w:val="0"/>
                <w:color w:val="000000"/>
                <w:sz w:val="32"/>
              </w:rPr>
              <w:t>近100万㎡</w:t>
            </w:r>
          </w:p>
        </w:tc>
        <w:tc>
          <w:tcPr>
            <w:tcW w:type="dxa" w:w="2551"/>
          </w:tcPr>
          <w:p>
            <w:pPr>
              <w:spacing w:lineRule="exact" w:line="600"/>
              <w:jc w:val="center"/>
            </w:pPr>
            <w:r/>
            <w:r>
              <w:rPr>
                <w:rFonts w:ascii="仿宋_GB2312" w:hAnsi="仿宋_GB2312" w:eastAsia="仿宋_GB2312"/>
                <w:b w:val="0"/>
                <w:color w:val="000000"/>
                <w:sz w:val="32"/>
              </w:rPr>
              <w:t>中大慧科等</w:t>
            </w:r>
          </w:p>
        </w:tc>
      </w:tr>
      <w:tr>
        <w:tc>
          <w:tcPr>
            <w:tcW w:type="dxa" w:w="2551"/>
          </w:tcPr>
          <w:p>
            <w:pPr>
              <w:spacing w:lineRule="exact" w:line="600"/>
              <w:jc w:val="center"/>
            </w:pPr>
            <w:r/>
            <w:r>
              <w:rPr>
                <w:rFonts w:ascii="仿宋_GB2312" w:hAnsi="仿宋_GB2312" w:eastAsia="仿宋_GB2312"/>
                <w:b w:val="0"/>
                <w:color w:val="000000"/>
                <w:sz w:val="32"/>
              </w:rPr>
              <w:t>服务网络</w:t>
            </w:r>
          </w:p>
        </w:tc>
        <w:tc>
          <w:tcPr>
            <w:tcW w:type="dxa" w:w="3402"/>
          </w:tcPr>
          <w:p>
            <w:pPr>
              <w:spacing w:lineRule="exact" w:line="600"/>
              <w:jc w:val="center"/>
            </w:pPr>
            <w:r/>
            <w:r>
              <w:rPr>
                <w:rFonts w:ascii="仿宋_GB2312" w:hAnsi="仿宋_GB2312" w:eastAsia="仿宋_GB2312"/>
                <w:b w:val="0"/>
                <w:color w:val="000000"/>
                <w:sz w:val="32"/>
              </w:rPr>
              <w:t>2500余家消费企业</w:t>
            </w:r>
          </w:p>
        </w:tc>
        <w:tc>
          <w:tcPr>
            <w:tcW w:type="dxa" w:w="2551"/>
          </w:tcPr>
          <w:p>
            <w:pPr>
              <w:spacing w:lineRule="exact" w:line="600"/>
              <w:jc w:val="center"/>
            </w:pPr>
            <w:r/>
            <w:r>
              <w:rPr>
                <w:rFonts w:ascii="仿宋_GB2312" w:hAnsi="仿宋_GB2312" w:eastAsia="仿宋_GB2312"/>
                <w:b w:val="0"/>
                <w:color w:val="000000"/>
                <w:sz w:val="32"/>
              </w:rPr>
              <w:t>周村集群</w:t>
            </w:r>
          </w:p>
        </w:tc>
      </w:tr>
      <w:tr>
        <w:tc>
          <w:tcPr>
            <w:tcW w:type="dxa" w:w="2551"/>
          </w:tcPr>
          <w:p>
            <w:pPr>
              <w:spacing w:lineRule="exact" w:line="600"/>
              <w:jc w:val="center"/>
            </w:pPr>
            <w:r/>
            <w:r>
              <w:rPr>
                <w:rFonts w:ascii="仿宋_GB2312" w:hAnsi="仿宋_GB2312" w:eastAsia="仿宋_GB2312"/>
                <w:b w:val="0"/>
                <w:color w:val="000000"/>
                <w:sz w:val="32"/>
              </w:rPr>
              <w:t>物流分拨</w:t>
            </w:r>
          </w:p>
        </w:tc>
        <w:tc>
          <w:tcPr>
            <w:tcW w:type="dxa" w:w="3402"/>
          </w:tcPr>
          <w:p>
            <w:pPr>
              <w:spacing w:lineRule="exact" w:line="600"/>
              <w:jc w:val="center"/>
            </w:pPr>
            <w:r/>
            <w:r>
              <w:rPr>
                <w:rFonts w:ascii="仿宋_GB2312" w:hAnsi="仿宋_GB2312" w:eastAsia="仿宋_GB2312"/>
                <w:b w:val="0"/>
                <w:color w:val="000000"/>
                <w:sz w:val="32"/>
              </w:rPr>
              <w:t>终端市场枢纽</w:t>
            </w:r>
          </w:p>
        </w:tc>
        <w:tc>
          <w:tcPr>
            <w:tcW w:type="dxa" w:w="2551"/>
          </w:tcPr>
          <w:p>
            <w:pPr>
              <w:spacing w:lineRule="exact" w:line="600"/>
              <w:jc w:val="center"/>
            </w:pPr>
            <w:r/>
            <w:r>
              <w:rPr>
                <w:rFonts w:ascii="仿宋_GB2312" w:hAnsi="仿宋_GB2312" w:eastAsia="仿宋_GB2312"/>
                <w:b w:val="0"/>
                <w:color w:val="000000"/>
                <w:sz w:val="32"/>
              </w:rPr>
              <w:t>周村</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（一）市场规模与地位</w:t>
      </w:r>
    </w:p>
    <w:p>
      <w:pPr>
        <w:spacing w:lineRule="exact" w:line="600" w:before="0" w:after="0"/>
        <w:ind w:firstLine="420"/>
        <w:jc w:val="both"/>
      </w:pPr>
      <w:r>
        <w:rPr>
          <w:rFonts w:ascii="仿宋_GB2312" w:hAnsi="仿宋_GB2312" w:eastAsia="仿宋_GB2312"/>
          <w:b w:val="0"/>
          <w:color w:val="000000"/>
          <w:sz w:val="32"/>
        </w:rPr>
        <w:t>周村2025年不锈钢交易额突破600亿元，稳居江北最大不锈钢集散地、全国最大终端市场；南郊镇300家企业创造超200亿元交易额。产品覆盖板材、棒、型、管等数十门类上千品种，从600亿元向千亿级目标迈进。全国每三双安防手套/鞋来自高密、每三吨不锈钢流通周村占重要份额（类比），周村是全国不锈钢供应链关键节点（来源：经济日报、大众网）。</w:t>
      </w:r>
    </w:p>
    <w:p>
      <w:pPr>
        <w:spacing w:lineRule="exact" w:line="600" w:before="120" w:after="120"/>
        <w:ind w:firstLine="420"/>
        <w:jc w:val="left"/>
      </w:pPr>
      <w:r>
        <w:rPr>
          <w:rFonts w:ascii="楷体_GB2312" w:hAnsi="楷体_GB2312" w:eastAsia="楷体_GB2312"/>
          <w:b w:val="0"/>
          <w:color w:val="000000"/>
          <w:sz w:val="32"/>
        </w:rPr>
        <w:t>（二）竞争与模式创新</w:t>
      </w:r>
    </w:p>
    <w:p>
      <w:pPr>
        <w:spacing w:lineRule="exact" w:line="600" w:before="0" w:after="0"/>
        <w:ind w:firstLine="420"/>
        <w:jc w:val="both"/>
      </w:pPr>
      <w:r>
        <w:rPr>
          <w:rFonts w:ascii="仿宋_GB2312" w:hAnsi="仿宋_GB2312" w:eastAsia="仿宋_GB2312"/>
          <w:b w:val="0"/>
          <w:color w:val="000000"/>
          <w:sz w:val="32"/>
        </w:rPr>
        <w:t>传统贸易同质竞争激烈，周村以「生态共建」突围：新世纪构建年加工70万吨、仓储10万吨规模体系并孵化新优特园；「国有化监管仓库+世纪行金融」破解中小企业集采资金难题，形成「闭环赋能、互为上下游」共生格局。两届中国（周村）不锈钢展览会强化品牌与撮合功能（来源：大众网、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交易额</w:t>
            </w:r>
          </w:p>
        </w:tc>
        <w:tc>
          <w:tcPr>
            <w:tcW w:type="dxa" w:w="3402"/>
          </w:tcPr>
          <w:p>
            <w:pPr>
              <w:spacing w:lineRule="exact" w:line="600"/>
              <w:jc w:val="center"/>
            </w:pPr>
            <w:r/>
            <w:r>
              <w:rPr>
                <w:rFonts w:ascii="仿宋_GB2312" w:hAnsi="仿宋_GB2312" w:eastAsia="仿宋_GB2312"/>
                <w:b w:val="0"/>
                <w:color w:val="000000"/>
                <w:sz w:val="32"/>
              </w:rPr>
              <w:t>600亿元（2025）</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551"/>
          </w:tcPr>
          <w:p>
            <w:pPr>
              <w:spacing w:lineRule="exact" w:line="600"/>
              <w:jc w:val="center"/>
            </w:pPr>
            <w:r/>
            <w:r>
              <w:rPr>
                <w:rFonts w:ascii="仿宋_GB2312" w:hAnsi="仿宋_GB2312" w:eastAsia="仿宋_GB2312"/>
                <w:b w:val="0"/>
                <w:color w:val="000000"/>
                <w:sz w:val="32"/>
              </w:rPr>
              <w:t>南郊镇</w:t>
            </w:r>
          </w:p>
        </w:tc>
        <w:tc>
          <w:tcPr>
            <w:tcW w:type="dxa" w:w="3402"/>
          </w:tcPr>
          <w:p>
            <w:pPr>
              <w:spacing w:lineRule="exact" w:line="600"/>
              <w:jc w:val="center"/>
            </w:pPr>
            <w:r/>
            <w:r>
              <w:rPr>
                <w:rFonts w:ascii="仿宋_GB2312" w:hAnsi="仿宋_GB2312" w:eastAsia="仿宋_GB2312"/>
                <w:b w:val="0"/>
                <w:color w:val="000000"/>
                <w:sz w:val="32"/>
              </w:rPr>
              <w:t>超200亿元</w:t>
            </w:r>
          </w:p>
        </w:tc>
        <w:tc>
          <w:tcPr>
            <w:tcW w:type="dxa" w:w="2551"/>
          </w:tcPr>
          <w:p>
            <w:pPr>
              <w:spacing w:lineRule="exact" w:line="600"/>
              <w:jc w:val="center"/>
            </w:pPr>
            <w:r/>
            <w:r>
              <w:rPr>
                <w:rFonts w:ascii="仿宋_GB2312" w:hAnsi="仿宋_GB2312" w:eastAsia="仿宋_GB2312"/>
                <w:b w:val="0"/>
                <w:color w:val="000000"/>
                <w:sz w:val="32"/>
              </w:rPr>
              <w:t>大众网</w:t>
            </w:r>
          </w:p>
        </w:tc>
      </w:tr>
      <w:tr>
        <w:tc>
          <w:tcPr>
            <w:tcW w:type="dxa" w:w="2551"/>
          </w:tcPr>
          <w:p>
            <w:pPr>
              <w:spacing w:lineRule="exact" w:line="600"/>
              <w:jc w:val="center"/>
            </w:pPr>
            <w:r/>
            <w:r>
              <w:rPr>
                <w:rFonts w:ascii="仿宋_GB2312" w:hAnsi="仿宋_GB2312" w:eastAsia="仿宋_GB2312"/>
                <w:b w:val="0"/>
                <w:color w:val="000000"/>
                <w:sz w:val="32"/>
              </w:rPr>
              <w:t>监管模式</w:t>
            </w:r>
          </w:p>
        </w:tc>
        <w:tc>
          <w:tcPr>
            <w:tcW w:type="dxa" w:w="3402"/>
          </w:tcPr>
          <w:p>
            <w:pPr>
              <w:spacing w:lineRule="exact" w:line="600"/>
              <w:jc w:val="center"/>
            </w:pPr>
            <w:r/>
            <w:r>
              <w:rPr>
                <w:rFonts w:ascii="仿宋_GB2312" w:hAnsi="仿宋_GB2312" w:eastAsia="仿宋_GB2312"/>
                <w:b w:val="0"/>
                <w:color w:val="000000"/>
                <w:sz w:val="32"/>
              </w:rPr>
              <w:t>国有化仓库</w:t>
            </w:r>
          </w:p>
        </w:tc>
        <w:tc>
          <w:tcPr>
            <w:tcW w:type="dxa" w:w="2551"/>
          </w:tcPr>
          <w:p>
            <w:pPr>
              <w:spacing w:lineRule="exact" w:line="600"/>
              <w:jc w:val="center"/>
            </w:pPr>
            <w:r/>
            <w:r>
              <w:rPr>
                <w:rFonts w:ascii="仿宋_GB2312" w:hAnsi="仿宋_GB2312" w:eastAsia="仿宋_GB2312"/>
                <w:b w:val="0"/>
                <w:color w:val="000000"/>
                <w:sz w:val="32"/>
              </w:rPr>
              <w:t>新世纪</w:t>
            </w:r>
          </w:p>
        </w:tc>
      </w:tr>
      <w:tr>
        <w:tc>
          <w:tcPr>
            <w:tcW w:type="dxa" w:w="2551"/>
          </w:tcPr>
          <w:p>
            <w:pPr>
              <w:spacing w:lineRule="exact" w:line="600"/>
              <w:jc w:val="center"/>
            </w:pPr>
            <w:r/>
            <w:r>
              <w:rPr>
                <w:rFonts w:ascii="仿宋_GB2312" w:hAnsi="仿宋_GB2312" w:eastAsia="仿宋_GB2312"/>
                <w:b w:val="0"/>
                <w:color w:val="000000"/>
                <w:sz w:val="32"/>
              </w:rPr>
              <w:t>展览会</w:t>
            </w:r>
          </w:p>
        </w:tc>
        <w:tc>
          <w:tcPr>
            <w:tcW w:type="dxa" w:w="3402"/>
          </w:tcPr>
          <w:p>
            <w:pPr>
              <w:spacing w:lineRule="exact" w:line="600"/>
              <w:jc w:val="center"/>
            </w:pPr>
            <w:r/>
            <w:r>
              <w:rPr>
                <w:rFonts w:ascii="仿宋_GB2312" w:hAnsi="仿宋_GB2312" w:eastAsia="仿宋_GB2312"/>
                <w:b w:val="0"/>
                <w:color w:val="000000"/>
                <w:sz w:val="32"/>
              </w:rPr>
              <w:t>两届中国周村展</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551"/>
          </w:tcPr>
          <w:p>
            <w:pPr>
              <w:spacing w:lineRule="exact" w:line="600"/>
              <w:jc w:val="center"/>
            </w:pPr>
            <w:r/>
            <w:r>
              <w:rPr>
                <w:rFonts w:ascii="仿宋_GB2312" w:hAnsi="仿宋_GB2312" w:eastAsia="仿宋_GB2312"/>
                <w:b w:val="0"/>
                <w:color w:val="000000"/>
                <w:sz w:val="32"/>
              </w:rPr>
              <w:t>目标</w:t>
            </w:r>
          </w:p>
        </w:tc>
        <w:tc>
          <w:tcPr>
            <w:tcW w:type="dxa" w:w="3402"/>
          </w:tcPr>
          <w:p>
            <w:pPr>
              <w:spacing w:lineRule="exact" w:line="600"/>
              <w:jc w:val="center"/>
            </w:pPr>
            <w:r/>
            <w:r>
              <w:rPr>
                <w:rFonts w:ascii="仿宋_GB2312" w:hAnsi="仿宋_GB2312" w:eastAsia="仿宋_GB2312"/>
                <w:b w:val="0"/>
                <w:color w:val="000000"/>
                <w:sz w:val="32"/>
              </w:rPr>
              <w:t>千亿级</w:t>
            </w:r>
          </w:p>
        </w:tc>
        <w:tc>
          <w:tcPr>
            <w:tcW w:type="dxa" w:w="2551"/>
          </w:tcPr>
          <w:p>
            <w:pPr>
              <w:spacing w:lineRule="exact" w:line="600"/>
              <w:jc w:val="center"/>
            </w:pPr>
            <w:r/>
            <w:r>
              <w:rPr>
                <w:rFonts w:ascii="仿宋_GB2312" w:hAnsi="仿宋_GB2312" w:eastAsia="仿宋_GB2312"/>
                <w:b w:val="0"/>
                <w:color w:val="000000"/>
                <w:sz w:val="32"/>
              </w:rPr>
              <w:t>周村区</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（一）贸易与物流企业梯队</w:t>
      </w:r>
    </w:p>
    <w:p>
      <w:pPr>
        <w:spacing w:lineRule="exact" w:line="600" w:before="0" w:after="0"/>
        <w:ind w:firstLine="420"/>
        <w:jc w:val="both"/>
      </w:pPr>
      <w:r>
        <w:rPr>
          <w:rFonts w:ascii="仿宋_GB2312" w:hAnsi="仿宋_GB2312" w:eastAsia="仿宋_GB2312"/>
          <w:b w:val="0"/>
          <w:color w:val="000000"/>
          <w:sz w:val="32"/>
        </w:rPr>
        <w:t>周村不锈钢商贸物流企业超千家，龙头包括新世纪不锈钢（贸易加工+供应链金融）、世纪正华金属科技（新材料精细加工与流通）、万志达（贸易+加工+仓储+物流全链条）、伟业（贸易+绿色建材）等。规上企业116家，形成密集商贸网络。首届、第二届不锈钢展览会组织500余家、全国企业参展，平台集聚效应强（来源：周村区政府、大众网）。</w:t>
      </w:r>
    </w:p>
    <w:p>
      <w:pPr>
        <w:spacing w:lineRule="exact" w:line="600" w:before="120" w:after="120"/>
        <w:ind w:firstLine="420"/>
        <w:jc w:val="left"/>
      </w:pPr>
      <w:r>
        <w:rPr>
          <w:rFonts w:ascii="楷体_GB2312" w:hAnsi="楷体_GB2312" w:eastAsia="楷体_GB2312"/>
          <w:b w:val="0"/>
          <w:color w:val="000000"/>
          <w:sz w:val="32"/>
        </w:rPr>
        <w:t>（二）平台与基础设施</w:t>
      </w:r>
    </w:p>
    <w:p>
      <w:pPr>
        <w:spacing w:lineRule="exact" w:line="600" w:before="0" w:after="0"/>
        <w:ind w:firstLine="420"/>
        <w:jc w:val="both"/>
      </w:pPr>
      <w:r>
        <w:rPr>
          <w:rFonts w:ascii="仿宋_GB2312" w:hAnsi="仿宋_GB2312" w:eastAsia="仿宋_GB2312"/>
          <w:b w:val="0"/>
          <w:color w:val="000000"/>
          <w:sz w:val="32"/>
        </w:rPr>
        <w:t>已建成中大慧科、天河二期、龙马等多个园区（经营近100万㎡）；新优特产业园、万志达产业园加快建设；北方首座不锈钢国有化监管仓库投用；泰山钢铁（淄博）不锈钢应用创新基地落成。两届中国（周村）不锈钢展览会吸引北京、上海、佛山、无锡等地500余家企业，强化商贸枢纽地位（来源：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主体/平台</w:t>
            </w:r>
          </w:p>
        </w:tc>
        <w:tc>
          <w:tcPr>
            <w:tcW w:type="dxa" w:w="3118"/>
          </w:tcPr>
          <w:p>
            <w:pPr>
              <w:spacing w:lineRule="exact" w:line="600"/>
              <w:jc w:val="center"/>
            </w:pPr>
            <w:r/>
            <w:r>
              <w:rPr>
                <w:rFonts w:ascii="黑体" w:hAnsi="黑体" w:eastAsia="黑体"/>
                <w:b/>
                <w:color w:val="000000"/>
                <w:sz w:val="32"/>
              </w:rPr>
              <w:t>规模/能级</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世纪正华</w:t>
            </w:r>
          </w:p>
        </w:tc>
        <w:tc>
          <w:tcPr>
            <w:tcW w:type="dxa" w:w="3118"/>
          </w:tcPr>
          <w:p>
            <w:pPr>
              <w:spacing w:lineRule="exact" w:line="600"/>
              <w:jc w:val="center"/>
            </w:pPr>
            <w:r/>
            <w:r>
              <w:rPr>
                <w:rFonts w:ascii="仿宋_GB2312" w:hAnsi="仿宋_GB2312" w:eastAsia="仿宋_GB2312"/>
                <w:b w:val="0"/>
                <w:color w:val="000000"/>
                <w:sz w:val="32"/>
              </w:rPr>
              <w:t>新材料精细加工流通</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监管仓库</w:t>
            </w:r>
          </w:p>
        </w:tc>
        <w:tc>
          <w:tcPr>
            <w:tcW w:type="dxa" w:w="3118"/>
          </w:tcPr>
          <w:p>
            <w:pPr>
              <w:spacing w:lineRule="exact" w:line="600"/>
              <w:jc w:val="center"/>
            </w:pPr>
            <w:r/>
            <w:r>
              <w:rPr>
                <w:rFonts w:ascii="仿宋_GB2312" w:hAnsi="仿宋_GB2312" w:eastAsia="仿宋_GB2312"/>
                <w:b w:val="0"/>
                <w:color w:val="000000"/>
                <w:sz w:val="32"/>
              </w:rPr>
              <w:t>北方首座</w:t>
            </w:r>
          </w:p>
        </w:tc>
        <w:tc>
          <w:tcPr>
            <w:tcW w:type="dxa" w:w="2551"/>
          </w:tcPr>
          <w:p>
            <w:pPr>
              <w:spacing w:lineRule="exact" w:line="600"/>
              <w:jc w:val="center"/>
            </w:pPr>
            <w:r/>
            <w:r>
              <w:rPr>
                <w:rFonts w:ascii="仿宋_GB2312" w:hAnsi="仿宋_GB2312" w:eastAsia="仿宋_GB2312"/>
                <w:b w:val="0"/>
                <w:color w:val="000000"/>
                <w:sz w:val="32"/>
              </w:rPr>
              <w:t>大众网</w:t>
            </w:r>
          </w:p>
        </w:tc>
      </w:tr>
      <w:tr>
        <w:tc>
          <w:tcPr>
            <w:tcW w:type="dxa" w:w="2835"/>
          </w:tcPr>
          <w:p>
            <w:pPr>
              <w:spacing w:lineRule="exact" w:line="600"/>
              <w:jc w:val="center"/>
            </w:pPr>
            <w:r/>
            <w:r>
              <w:rPr>
                <w:rFonts w:ascii="仿宋_GB2312" w:hAnsi="仿宋_GB2312" w:eastAsia="仿宋_GB2312"/>
                <w:b w:val="0"/>
                <w:color w:val="000000"/>
                <w:sz w:val="32"/>
              </w:rPr>
              <w:t>园区</w:t>
            </w:r>
          </w:p>
        </w:tc>
        <w:tc>
          <w:tcPr>
            <w:tcW w:type="dxa" w:w="3118"/>
          </w:tcPr>
          <w:p>
            <w:pPr>
              <w:spacing w:lineRule="exact" w:line="600"/>
              <w:jc w:val="center"/>
            </w:pPr>
            <w:r/>
            <w:r>
              <w:rPr>
                <w:rFonts w:ascii="仿宋_GB2312" w:hAnsi="仿宋_GB2312" w:eastAsia="仿宋_GB2312"/>
                <w:b w:val="0"/>
                <w:color w:val="000000"/>
                <w:sz w:val="32"/>
              </w:rPr>
              <w:t>近100万㎡</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展览会</w:t>
            </w:r>
          </w:p>
        </w:tc>
        <w:tc>
          <w:tcPr>
            <w:tcW w:type="dxa" w:w="3118"/>
          </w:tcPr>
          <w:p>
            <w:pPr>
              <w:spacing w:lineRule="exact" w:line="600"/>
              <w:jc w:val="center"/>
            </w:pPr>
            <w:r/>
            <w:r>
              <w:rPr>
                <w:rFonts w:ascii="仿宋_GB2312" w:hAnsi="仿宋_GB2312" w:eastAsia="仿宋_GB2312"/>
                <w:b w:val="0"/>
                <w:color w:val="000000"/>
                <w:sz w:val="32"/>
              </w:rPr>
              <w:t>500+企业参展</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3118"/>
          </w:tcPr>
          <w:p>
            <w:pPr>
              <w:spacing w:lineRule="exact" w:line="600"/>
              <w:jc w:val="center"/>
            </w:pPr>
            <w:r/>
            <w:r>
              <w:rPr>
                <w:rFonts w:ascii="仿宋_GB2312" w:hAnsi="仿宋_GB2312" w:eastAsia="仿宋_GB2312"/>
                <w:b w:val="0"/>
                <w:color w:val="000000"/>
                <w:sz w:val="32"/>
              </w:rPr>
              <w:t>116家</w:t>
            </w:r>
          </w:p>
        </w:tc>
        <w:tc>
          <w:tcPr>
            <w:tcW w:type="dxa" w:w="2551"/>
          </w:tcPr>
          <w:p>
            <w:pPr>
              <w:spacing w:lineRule="exact" w:line="600"/>
              <w:jc w:val="center"/>
            </w:pPr>
            <w:r/>
            <w:r>
              <w:rPr>
                <w:rFonts w:ascii="仿宋_GB2312" w:hAnsi="仿宋_GB2312" w:eastAsia="仿宋_GB2312"/>
                <w:b w:val="0"/>
                <w:color w:val="000000"/>
                <w:sz w:val="32"/>
              </w:rPr>
              <w:t>2025</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（一）数字贸易与电商</w:t>
      </w:r>
    </w:p>
    <w:p>
      <w:pPr>
        <w:spacing w:lineRule="exact" w:line="600" w:before="0" w:after="0"/>
        <w:ind w:firstLine="420"/>
        <w:jc w:val="both"/>
      </w:pPr>
      <w:r>
        <w:rPr>
          <w:rFonts w:ascii="仿宋_GB2312" w:hAnsi="仿宋_GB2312" w:eastAsia="仿宋_GB2312"/>
          <w:b w:val="0"/>
          <w:color w:val="000000"/>
          <w:sz w:val="32"/>
        </w:rPr>
        <w:t>周村不锈钢企业推进线上线下融合，搭建金属电子交易中心与精加工项目（伟业2017年建金属电子交易中心）。行业共性研判：不锈钢流通正由线下撮合向「线上交易+智能仓储+供应链金融」数字平台演进，提升撮合效率与风控水平（来源：伟业资料、行业研判）。</w:t>
      </w:r>
    </w:p>
    <w:p>
      <w:pPr>
        <w:spacing w:lineRule="exact" w:line="600" w:before="120" w:after="120"/>
        <w:ind w:firstLine="420"/>
        <w:jc w:val="left"/>
      </w:pPr>
      <w:r>
        <w:rPr>
          <w:rFonts w:ascii="楷体_GB2312" w:hAnsi="楷体_GB2312" w:eastAsia="楷体_GB2312"/>
          <w:b w:val="0"/>
          <w:color w:val="000000"/>
          <w:sz w:val="32"/>
        </w:rPr>
        <w:t>（二）监管科技与金融创新</w:t>
      </w:r>
    </w:p>
    <w:p>
      <w:pPr>
        <w:spacing w:lineRule="exact" w:line="600" w:before="0" w:after="0"/>
        <w:ind w:firstLine="420"/>
        <w:jc w:val="both"/>
      </w:pPr>
      <w:r>
        <w:rPr>
          <w:rFonts w:ascii="仿宋_GB2312" w:hAnsi="仿宋_GB2312" w:eastAsia="仿宋_GB2312"/>
          <w:b w:val="0"/>
          <w:color w:val="000000"/>
          <w:sz w:val="32"/>
        </w:rPr>
        <w:t>新世纪联合山东高速供应链建成北方首座不锈钢国有化监管仓库，实现对在库货物的货权监管与动产质押风控；与无锡锡商银行推出「世纪行」金融产品，以存货质押缓解中小企业集中采购资金压力。该模式是商贸物流领域风控与金融基础设施的重要创新（来源：大众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技术/模式</w:t>
            </w:r>
          </w:p>
        </w:tc>
        <w:tc>
          <w:tcPr>
            <w:tcW w:type="dxa" w:w="3118"/>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意义</w:t>
            </w:r>
          </w:p>
        </w:tc>
      </w:tr>
      <w:tr>
        <w:tc>
          <w:tcPr>
            <w:tcW w:type="dxa" w:w="2835"/>
          </w:tcPr>
          <w:p>
            <w:pPr>
              <w:spacing w:lineRule="exact" w:line="600"/>
              <w:jc w:val="center"/>
            </w:pPr>
            <w:r/>
            <w:r>
              <w:rPr>
                <w:rFonts w:ascii="仿宋_GB2312" w:hAnsi="仿宋_GB2312" w:eastAsia="仿宋_GB2312"/>
                <w:b w:val="0"/>
                <w:color w:val="000000"/>
                <w:sz w:val="32"/>
              </w:rPr>
              <w:t>电子交易</w:t>
            </w:r>
          </w:p>
        </w:tc>
        <w:tc>
          <w:tcPr>
            <w:tcW w:type="dxa" w:w="3118"/>
          </w:tcPr>
          <w:p>
            <w:pPr>
              <w:spacing w:lineRule="exact" w:line="600"/>
              <w:jc w:val="center"/>
            </w:pPr>
            <w:r/>
            <w:r>
              <w:rPr>
                <w:rFonts w:ascii="仿宋_GB2312" w:hAnsi="仿宋_GB2312" w:eastAsia="仿宋_GB2312"/>
                <w:b w:val="0"/>
                <w:color w:val="000000"/>
                <w:sz w:val="32"/>
              </w:rPr>
              <w:t>金属电子交易中心</w:t>
            </w:r>
          </w:p>
        </w:tc>
        <w:tc>
          <w:tcPr>
            <w:tcW w:type="dxa" w:w="2551"/>
          </w:tcPr>
          <w:p>
            <w:pPr>
              <w:spacing w:lineRule="exact" w:line="600"/>
              <w:jc w:val="center"/>
            </w:pPr>
            <w:r/>
            <w:r>
              <w:rPr>
                <w:rFonts w:ascii="仿宋_GB2312" w:hAnsi="仿宋_GB2312" w:eastAsia="仿宋_GB2312"/>
                <w:b w:val="0"/>
                <w:color w:val="000000"/>
                <w:sz w:val="32"/>
              </w:rPr>
              <w:t>线上撮合</w:t>
            </w:r>
          </w:p>
        </w:tc>
      </w:tr>
      <w:tr>
        <w:tc>
          <w:tcPr>
            <w:tcW w:type="dxa" w:w="2835"/>
          </w:tcPr>
          <w:p>
            <w:pPr>
              <w:spacing w:lineRule="exact" w:line="600"/>
              <w:jc w:val="center"/>
            </w:pPr>
            <w:r/>
            <w:r>
              <w:rPr>
                <w:rFonts w:ascii="仿宋_GB2312" w:hAnsi="仿宋_GB2312" w:eastAsia="仿宋_GB2312"/>
                <w:b w:val="0"/>
                <w:color w:val="000000"/>
                <w:sz w:val="32"/>
              </w:rPr>
              <w:t>监管仓库</w:t>
            </w:r>
          </w:p>
        </w:tc>
        <w:tc>
          <w:tcPr>
            <w:tcW w:type="dxa" w:w="3118"/>
          </w:tcPr>
          <w:p>
            <w:pPr>
              <w:spacing w:lineRule="exact" w:line="600"/>
              <w:jc w:val="center"/>
            </w:pPr>
            <w:r/>
            <w:r>
              <w:rPr>
                <w:rFonts w:ascii="仿宋_GB2312" w:hAnsi="仿宋_GB2312" w:eastAsia="仿宋_GB2312"/>
                <w:b w:val="0"/>
                <w:color w:val="000000"/>
                <w:sz w:val="32"/>
              </w:rPr>
              <w:t>国有化货权监管</w:t>
            </w:r>
          </w:p>
        </w:tc>
        <w:tc>
          <w:tcPr>
            <w:tcW w:type="dxa" w:w="2551"/>
          </w:tcPr>
          <w:p>
            <w:pPr>
              <w:spacing w:lineRule="exact" w:line="600"/>
              <w:jc w:val="center"/>
            </w:pPr>
            <w:r/>
            <w:r>
              <w:rPr>
                <w:rFonts w:ascii="仿宋_GB2312" w:hAnsi="仿宋_GB2312" w:eastAsia="仿宋_GB2312"/>
                <w:b w:val="0"/>
                <w:color w:val="000000"/>
                <w:sz w:val="32"/>
              </w:rPr>
              <w:t>风控基石</w:t>
            </w:r>
          </w:p>
        </w:tc>
      </w:tr>
      <w:tr>
        <w:tc>
          <w:tcPr>
            <w:tcW w:type="dxa" w:w="2835"/>
          </w:tcPr>
          <w:p>
            <w:pPr>
              <w:spacing w:lineRule="exact" w:line="600"/>
              <w:jc w:val="center"/>
            </w:pPr>
            <w:r/>
            <w:r>
              <w:rPr>
                <w:rFonts w:ascii="仿宋_GB2312" w:hAnsi="仿宋_GB2312" w:eastAsia="仿宋_GB2312"/>
                <w:b w:val="0"/>
                <w:color w:val="000000"/>
                <w:sz w:val="32"/>
              </w:rPr>
              <w:t>世纪行</w:t>
            </w:r>
          </w:p>
        </w:tc>
        <w:tc>
          <w:tcPr>
            <w:tcW w:type="dxa" w:w="3118"/>
          </w:tcPr>
          <w:p>
            <w:pPr>
              <w:spacing w:lineRule="exact" w:line="600"/>
              <w:jc w:val="center"/>
            </w:pPr>
            <w:r/>
            <w:r>
              <w:rPr>
                <w:rFonts w:ascii="仿宋_GB2312" w:hAnsi="仿宋_GB2312" w:eastAsia="仿宋_GB2312"/>
                <w:b w:val="0"/>
                <w:color w:val="000000"/>
                <w:sz w:val="32"/>
              </w:rPr>
              <w:t>存货质押金融</w:t>
            </w:r>
          </w:p>
        </w:tc>
        <w:tc>
          <w:tcPr>
            <w:tcW w:type="dxa" w:w="2551"/>
          </w:tcPr>
          <w:p>
            <w:pPr>
              <w:spacing w:lineRule="exact" w:line="600"/>
              <w:jc w:val="center"/>
            </w:pPr>
            <w:r/>
            <w:r>
              <w:rPr>
                <w:rFonts w:ascii="仿宋_GB2312" w:hAnsi="仿宋_GB2312" w:eastAsia="仿宋_GB2312"/>
                <w:b w:val="0"/>
                <w:color w:val="000000"/>
                <w:sz w:val="32"/>
              </w:rPr>
              <w:t>缓解资金</w:t>
            </w:r>
          </w:p>
        </w:tc>
      </w:tr>
      <w:tr>
        <w:tc>
          <w:tcPr>
            <w:tcW w:type="dxa" w:w="2835"/>
          </w:tcPr>
          <w:p>
            <w:pPr>
              <w:spacing w:lineRule="exact" w:line="600"/>
              <w:jc w:val="center"/>
            </w:pPr>
            <w:r/>
            <w:r>
              <w:rPr>
                <w:rFonts w:ascii="仿宋_GB2312" w:hAnsi="仿宋_GB2312" w:eastAsia="仿宋_GB2312"/>
                <w:b w:val="0"/>
                <w:color w:val="000000"/>
                <w:sz w:val="32"/>
              </w:rPr>
              <w:t>数字仓储</w:t>
            </w:r>
          </w:p>
        </w:tc>
        <w:tc>
          <w:tcPr>
            <w:tcW w:type="dxa" w:w="3118"/>
          </w:tcPr>
          <w:p>
            <w:pPr>
              <w:spacing w:lineRule="exact" w:line="600"/>
              <w:jc w:val="center"/>
            </w:pPr>
            <w:r/>
            <w:r>
              <w:rPr>
                <w:rFonts w:ascii="仿宋_GB2312" w:hAnsi="仿宋_GB2312" w:eastAsia="仿宋_GB2312"/>
                <w:b w:val="0"/>
                <w:color w:val="000000"/>
                <w:sz w:val="32"/>
              </w:rPr>
              <w:t>智能仓储</w:t>
            </w:r>
          </w:p>
        </w:tc>
        <w:tc>
          <w:tcPr>
            <w:tcW w:type="dxa" w:w="2551"/>
          </w:tcPr>
          <w:p>
            <w:pPr>
              <w:spacing w:lineRule="exact" w:line="600"/>
              <w:jc w:val="center"/>
            </w:pPr>
            <w:r/>
            <w:r>
              <w:rPr>
                <w:rFonts w:ascii="仿宋_GB2312" w:hAnsi="仿宋_GB2312" w:eastAsia="仿宋_GB2312"/>
                <w:b w:val="0"/>
                <w:color w:val="000000"/>
                <w:sz w:val="32"/>
              </w:rPr>
              <w:t>效率提升</w:t>
            </w:r>
          </w:p>
        </w:tc>
      </w:tr>
      <w:tr>
        <w:tc>
          <w:tcPr>
            <w:tcW w:type="dxa" w:w="2835"/>
          </w:tcPr>
          <w:p>
            <w:pPr>
              <w:spacing w:lineRule="exact" w:line="600"/>
              <w:jc w:val="center"/>
            </w:pPr>
            <w:r/>
            <w:r>
              <w:rPr>
                <w:rFonts w:ascii="仿宋_GB2312" w:hAnsi="仿宋_GB2312" w:eastAsia="仿宋_GB2312"/>
                <w:b w:val="0"/>
                <w:color w:val="000000"/>
                <w:sz w:val="32"/>
              </w:rPr>
              <w:t>平台</w:t>
            </w:r>
          </w:p>
        </w:tc>
        <w:tc>
          <w:tcPr>
            <w:tcW w:type="dxa" w:w="3118"/>
          </w:tcPr>
          <w:p>
            <w:pPr>
              <w:spacing w:lineRule="exact" w:line="600"/>
              <w:jc w:val="center"/>
            </w:pPr>
            <w:r/>
            <w:r>
              <w:rPr>
                <w:rFonts w:ascii="仿宋_GB2312" w:hAnsi="仿宋_GB2312" w:eastAsia="仿宋_GB2312"/>
                <w:b w:val="0"/>
                <w:color w:val="000000"/>
                <w:sz w:val="32"/>
              </w:rPr>
              <w:t>两届展览会</w:t>
            </w:r>
          </w:p>
        </w:tc>
        <w:tc>
          <w:tcPr>
            <w:tcW w:type="dxa" w:w="2551"/>
          </w:tcPr>
          <w:p>
            <w:pPr>
              <w:spacing w:lineRule="exact" w:line="600"/>
              <w:jc w:val="center"/>
            </w:pPr>
            <w:r/>
            <w:r>
              <w:rPr>
                <w:rFonts w:ascii="仿宋_GB2312" w:hAnsi="仿宋_GB2312" w:eastAsia="仿宋_GB2312"/>
                <w:b w:val="0"/>
                <w:color w:val="000000"/>
                <w:sz w:val="32"/>
              </w:rPr>
              <w:t>品牌撮合</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（一）流通成本与效率</w:t>
      </w:r>
    </w:p>
    <w:p>
      <w:pPr>
        <w:spacing w:lineRule="exact" w:line="600" w:before="0" w:after="0"/>
        <w:ind w:firstLine="420"/>
        <w:jc w:val="both"/>
      </w:pPr>
      <w:r>
        <w:rPr>
          <w:rFonts w:ascii="仿宋_GB2312" w:hAnsi="仿宋_GB2312" w:eastAsia="仿宋_GB2312"/>
          <w:b w:val="0"/>
          <w:color w:val="000000"/>
          <w:sz w:val="32"/>
        </w:rPr>
        <w:t>周村「短距离、低成本」闭环生态压缩流通成本：贸易、加工、仓储、物流就近配套，新世纪构建70万吨加工+10万吨仓储体系，伟业6万㎡现货仓储保障交期。国有化监管仓库提升存货周转与融资效率，降低中小企业资金占用（来源：百度百科、大众网）。</w:t>
      </w:r>
    </w:p>
    <w:p>
      <w:pPr>
        <w:spacing w:lineRule="exact" w:line="600" w:before="120" w:after="120"/>
        <w:ind w:firstLine="420"/>
        <w:jc w:val="left"/>
      </w:pPr>
      <w:r>
        <w:rPr>
          <w:rFonts w:ascii="楷体_GB2312" w:hAnsi="楷体_GB2312" w:eastAsia="楷体_GB2312"/>
          <w:b w:val="0"/>
          <w:color w:val="000000"/>
          <w:sz w:val="32"/>
        </w:rPr>
        <w:t>（二）金融与政策保障</w:t>
      </w:r>
    </w:p>
    <w:p>
      <w:pPr>
        <w:spacing w:lineRule="exact" w:line="600" w:before="0" w:after="0"/>
        <w:ind w:firstLine="420"/>
        <w:jc w:val="both"/>
      </w:pPr>
      <w:r>
        <w:rPr>
          <w:rFonts w:ascii="仿宋_GB2312" w:hAnsi="仿宋_GB2312" w:eastAsia="仿宋_GB2312"/>
          <w:b w:val="0"/>
          <w:color w:val="000000"/>
          <w:sz w:val="32"/>
        </w:rPr>
        <w:t>周村区提供审批、规划、建设、供电、金融一揽子保障；「世纪行」金融产品与监管仓库构成供应链金融基础设施；省「十链百群万企」融链固链对接活动落地周村，深化订单与金融协同。两届展览会搭建产销对接平台（来源：周村区政府、山东省工信厅）。</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118"/>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效果</w:t>
            </w:r>
          </w:p>
        </w:tc>
      </w:tr>
      <w:tr>
        <w:tc>
          <w:tcPr>
            <w:tcW w:type="dxa" w:w="2835"/>
          </w:tcPr>
          <w:p>
            <w:pPr>
              <w:spacing w:lineRule="exact" w:line="600"/>
              <w:jc w:val="center"/>
            </w:pPr>
            <w:r/>
            <w:r>
              <w:rPr>
                <w:rFonts w:ascii="仿宋_GB2312" w:hAnsi="仿宋_GB2312" w:eastAsia="仿宋_GB2312"/>
                <w:b w:val="0"/>
                <w:color w:val="000000"/>
                <w:sz w:val="32"/>
              </w:rPr>
              <w:t>监管金融</w:t>
            </w:r>
          </w:p>
        </w:tc>
        <w:tc>
          <w:tcPr>
            <w:tcW w:type="dxa" w:w="3118"/>
          </w:tcPr>
          <w:p>
            <w:pPr>
              <w:spacing w:lineRule="exact" w:line="600"/>
              <w:jc w:val="center"/>
            </w:pPr>
            <w:r/>
            <w:r>
              <w:rPr>
                <w:rFonts w:ascii="仿宋_GB2312" w:hAnsi="仿宋_GB2312" w:eastAsia="仿宋_GB2312"/>
                <w:b w:val="0"/>
                <w:color w:val="000000"/>
                <w:sz w:val="32"/>
              </w:rPr>
              <w:t>世纪行/监管仓</w:t>
            </w:r>
          </w:p>
        </w:tc>
        <w:tc>
          <w:tcPr>
            <w:tcW w:type="dxa" w:w="2551"/>
          </w:tcPr>
          <w:p>
            <w:pPr>
              <w:spacing w:lineRule="exact" w:line="600"/>
              <w:jc w:val="center"/>
            </w:pPr>
            <w:r/>
            <w:r>
              <w:rPr>
                <w:rFonts w:ascii="仿宋_GB2312" w:hAnsi="仿宋_GB2312" w:eastAsia="仿宋_GB2312"/>
                <w:b w:val="0"/>
                <w:color w:val="000000"/>
                <w:sz w:val="32"/>
              </w:rPr>
              <w:t>降资金压</w:t>
            </w:r>
          </w:p>
        </w:tc>
      </w:tr>
      <w:tr>
        <w:tc>
          <w:tcPr>
            <w:tcW w:type="dxa" w:w="2835"/>
          </w:tcPr>
          <w:p>
            <w:pPr>
              <w:spacing w:lineRule="exact" w:line="600"/>
              <w:jc w:val="center"/>
            </w:pPr>
            <w:r/>
            <w:r>
              <w:rPr>
                <w:rFonts w:ascii="仿宋_GB2312" w:hAnsi="仿宋_GB2312" w:eastAsia="仿宋_GB2312"/>
                <w:b w:val="0"/>
                <w:color w:val="000000"/>
                <w:sz w:val="32"/>
              </w:rPr>
              <w:t>仓储</w:t>
            </w:r>
          </w:p>
        </w:tc>
        <w:tc>
          <w:tcPr>
            <w:tcW w:type="dxa" w:w="3118"/>
          </w:tcPr>
          <w:p>
            <w:pPr>
              <w:spacing w:lineRule="exact" w:line="600"/>
              <w:jc w:val="center"/>
            </w:pPr>
            <w:r/>
            <w:r>
              <w:rPr>
                <w:rFonts w:ascii="仿宋_GB2312" w:hAnsi="仿宋_GB2312" w:eastAsia="仿宋_GB2312"/>
                <w:b w:val="0"/>
                <w:color w:val="000000"/>
                <w:sz w:val="32"/>
              </w:rPr>
              <w:t>70万+10万吨</w:t>
            </w:r>
          </w:p>
        </w:tc>
        <w:tc>
          <w:tcPr>
            <w:tcW w:type="dxa" w:w="2551"/>
          </w:tcPr>
          <w:p>
            <w:pPr>
              <w:spacing w:lineRule="exact" w:line="600"/>
              <w:jc w:val="center"/>
            </w:pPr>
            <w:r/>
            <w:r>
              <w:rPr>
                <w:rFonts w:ascii="仿宋_GB2312" w:hAnsi="仿宋_GB2312" w:eastAsia="仿宋_GB2312"/>
                <w:b w:val="0"/>
                <w:color w:val="000000"/>
                <w:sz w:val="32"/>
              </w:rPr>
              <w:t>交期保障</w:t>
            </w:r>
          </w:p>
        </w:tc>
      </w:tr>
      <w:tr>
        <w:tc>
          <w:tcPr>
            <w:tcW w:type="dxa" w:w="2835"/>
          </w:tcPr>
          <w:p>
            <w:pPr>
              <w:spacing w:lineRule="exact" w:line="600"/>
              <w:jc w:val="center"/>
            </w:pPr>
            <w:r/>
            <w:r>
              <w:rPr>
                <w:rFonts w:ascii="仿宋_GB2312" w:hAnsi="仿宋_GB2312" w:eastAsia="仿宋_GB2312"/>
                <w:b w:val="0"/>
                <w:color w:val="000000"/>
                <w:sz w:val="32"/>
              </w:rPr>
              <w:t>一揽子</w:t>
            </w:r>
          </w:p>
        </w:tc>
        <w:tc>
          <w:tcPr>
            <w:tcW w:type="dxa" w:w="3118"/>
          </w:tcPr>
          <w:p>
            <w:pPr>
              <w:spacing w:lineRule="exact" w:line="600"/>
              <w:jc w:val="center"/>
            </w:pPr>
            <w:r/>
            <w:r>
              <w:rPr>
                <w:rFonts w:ascii="仿宋_GB2312" w:hAnsi="仿宋_GB2312" w:eastAsia="仿宋_GB2312"/>
                <w:b w:val="0"/>
                <w:color w:val="000000"/>
                <w:sz w:val="32"/>
              </w:rPr>
              <w:t>审批金融等</w:t>
            </w:r>
          </w:p>
        </w:tc>
        <w:tc>
          <w:tcPr>
            <w:tcW w:type="dxa" w:w="2551"/>
          </w:tcPr>
          <w:p>
            <w:pPr>
              <w:spacing w:lineRule="exact" w:line="600"/>
              <w:jc w:val="center"/>
            </w:pPr>
            <w:r/>
            <w:r>
              <w:rPr>
                <w:rFonts w:ascii="仿宋_GB2312" w:hAnsi="仿宋_GB2312" w:eastAsia="仿宋_GB2312"/>
                <w:b w:val="0"/>
                <w:color w:val="000000"/>
                <w:sz w:val="32"/>
              </w:rPr>
              <w:t>营商优化</w:t>
            </w:r>
          </w:p>
        </w:tc>
      </w:tr>
      <w:tr>
        <w:tc>
          <w:tcPr>
            <w:tcW w:type="dxa" w:w="2835"/>
          </w:tcPr>
          <w:p>
            <w:pPr>
              <w:spacing w:lineRule="exact" w:line="600"/>
              <w:jc w:val="center"/>
            </w:pPr>
            <w:r/>
            <w:r>
              <w:rPr>
                <w:rFonts w:ascii="仿宋_GB2312" w:hAnsi="仿宋_GB2312" w:eastAsia="仿宋_GB2312"/>
                <w:b w:val="0"/>
                <w:color w:val="000000"/>
                <w:sz w:val="32"/>
              </w:rPr>
              <w:t>对接活动</w:t>
            </w:r>
          </w:p>
        </w:tc>
        <w:tc>
          <w:tcPr>
            <w:tcW w:type="dxa" w:w="3118"/>
          </w:tcPr>
          <w:p>
            <w:pPr>
              <w:spacing w:lineRule="exact" w:line="600"/>
              <w:jc w:val="center"/>
            </w:pPr>
            <w:r/>
            <w:r>
              <w:rPr>
                <w:rFonts w:ascii="仿宋_GB2312" w:hAnsi="仿宋_GB2312" w:eastAsia="仿宋_GB2312"/>
                <w:b w:val="0"/>
                <w:color w:val="000000"/>
                <w:sz w:val="32"/>
              </w:rPr>
              <w:t>省级融链固链</w:t>
            </w:r>
          </w:p>
        </w:tc>
        <w:tc>
          <w:tcPr>
            <w:tcW w:type="dxa" w:w="2551"/>
          </w:tcPr>
          <w:p>
            <w:pPr>
              <w:spacing w:lineRule="exact" w:line="600"/>
              <w:jc w:val="center"/>
            </w:pPr>
            <w:r/>
            <w:r>
              <w:rPr>
                <w:rFonts w:ascii="仿宋_GB2312" w:hAnsi="仿宋_GB2312" w:eastAsia="仿宋_GB2312"/>
                <w:b w:val="0"/>
                <w:color w:val="000000"/>
                <w:sz w:val="32"/>
              </w:rPr>
              <w:t>订单协同</w:t>
            </w:r>
          </w:p>
        </w:tc>
      </w:tr>
      <w:tr>
        <w:tc>
          <w:tcPr>
            <w:tcW w:type="dxa" w:w="2835"/>
          </w:tcPr>
          <w:p>
            <w:pPr>
              <w:spacing w:lineRule="exact" w:line="600"/>
              <w:jc w:val="center"/>
            </w:pPr>
            <w:r/>
            <w:r>
              <w:rPr>
                <w:rFonts w:ascii="仿宋_GB2312" w:hAnsi="仿宋_GB2312" w:eastAsia="仿宋_GB2312"/>
                <w:b w:val="0"/>
                <w:color w:val="000000"/>
                <w:sz w:val="32"/>
              </w:rPr>
              <w:t>展览会</w:t>
            </w:r>
          </w:p>
        </w:tc>
        <w:tc>
          <w:tcPr>
            <w:tcW w:type="dxa" w:w="3118"/>
          </w:tcPr>
          <w:p>
            <w:pPr>
              <w:spacing w:lineRule="exact" w:line="600"/>
              <w:jc w:val="center"/>
            </w:pPr>
            <w:r/>
            <w:r>
              <w:rPr>
                <w:rFonts w:ascii="仿宋_GB2312" w:hAnsi="仿宋_GB2312" w:eastAsia="仿宋_GB2312"/>
                <w:b w:val="0"/>
                <w:color w:val="000000"/>
                <w:sz w:val="32"/>
              </w:rPr>
              <w:t>两届</w:t>
            </w:r>
          </w:p>
        </w:tc>
        <w:tc>
          <w:tcPr>
            <w:tcW w:type="dxa" w:w="2551"/>
          </w:tcPr>
          <w:p>
            <w:pPr>
              <w:spacing w:lineRule="exact" w:line="600"/>
              <w:jc w:val="center"/>
            </w:pPr>
            <w:r/>
            <w:r>
              <w:rPr>
                <w:rFonts w:ascii="仿宋_GB2312" w:hAnsi="仿宋_GB2312" w:eastAsia="仿宋_GB2312"/>
                <w:b w:val="0"/>
                <w:color w:val="000000"/>
                <w:sz w:val="32"/>
              </w:rPr>
              <w:t>产销平台</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千亿目标与省「十强」集群政策；二是数字贸易：线上交易+智能仓储提升效率；三是供应链金融：监管仓库模式可复制推广；四是全球通道：青山、太钢等代理网络利于进出口；五是展会经济：两届中国周村展强化枢纽品牌（来源：周村区政府、山东省工信厅）。</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一是镍铬价格剧烈波动，存货跌价与资金占用风险；二是贸易摩擦与反倾销影响进出口；三是传统贸易同质化、利润摊薄；四是金融监管与质押风控要求高。需完善价格避险、期货套保与数字化风控（来源：行业研判、大众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2835"/>
          </w:tcPr>
          <w:p>
            <w:pPr>
              <w:spacing w:lineRule="exact" w:line="600"/>
              <w:jc w:val="center"/>
            </w:pPr>
            <w:r/>
            <w:r>
              <w:rPr>
                <w:rFonts w:ascii="黑体" w:hAnsi="黑体" w:eastAsia="黑体"/>
                <w:b/>
                <w:color w:val="000000"/>
                <w:sz w:val="32"/>
              </w:rPr>
              <w:t>应对</w:t>
            </w:r>
          </w:p>
        </w:tc>
      </w:tr>
      <w:tr>
        <w:tc>
          <w:tcPr>
            <w:tcW w:type="dxa" w:w="2268"/>
          </w:tcPr>
          <w:p>
            <w:pPr>
              <w:spacing w:lineRule="exact" w:line="600"/>
              <w:jc w:val="center"/>
            </w:pPr>
            <w:r/>
            <w:r>
              <w:rPr>
                <w:rFonts w:ascii="仿宋_GB2312" w:hAnsi="仿宋_GB2312" w:eastAsia="仿宋_GB2312"/>
                <w:b w:val="0"/>
                <w:color w:val="000000"/>
                <w:sz w:val="32"/>
              </w:rPr>
              <w:t>价格波</w:t>
            </w:r>
          </w:p>
        </w:tc>
        <w:tc>
          <w:tcPr>
            <w:tcW w:type="dxa" w:w="3402"/>
          </w:tcPr>
          <w:p>
            <w:pPr>
              <w:spacing w:lineRule="exact" w:line="600"/>
              <w:jc w:val="center"/>
            </w:pPr>
            <w:r/>
            <w:r>
              <w:rPr>
                <w:rFonts w:ascii="仿宋_GB2312" w:hAnsi="仿宋_GB2312" w:eastAsia="仿宋_GB2312"/>
                <w:b w:val="0"/>
                <w:color w:val="000000"/>
                <w:sz w:val="32"/>
              </w:rPr>
              <w:t>镍铬剧烈</w:t>
            </w:r>
          </w:p>
        </w:tc>
        <w:tc>
          <w:tcPr>
            <w:tcW w:type="dxa" w:w="2835"/>
          </w:tcPr>
          <w:p>
            <w:pPr>
              <w:spacing w:lineRule="exact" w:line="600"/>
              <w:jc w:val="center"/>
            </w:pPr>
            <w:r/>
            <w:r>
              <w:rPr>
                <w:rFonts w:ascii="仿宋_GB2312" w:hAnsi="仿宋_GB2312" w:eastAsia="仿宋_GB2312"/>
                <w:b w:val="0"/>
                <w:color w:val="000000"/>
                <w:sz w:val="32"/>
              </w:rPr>
              <w:t>套保/库存</w:t>
            </w:r>
          </w:p>
        </w:tc>
      </w:tr>
      <w:tr>
        <w:tc>
          <w:tcPr>
            <w:tcW w:type="dxa" w:w="2268"/>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反倾销</w:t>
            </w:r>
          </w:p>
        </w:tc>
        <w:tc>
          <w:tcPr>
            <w:tcW w:type="dxa" w:w="2835"/>
          </w:tcPr>
          <w:p>
            <w:pPr>
              <w:spacing w:lineRule="exact" w:line="600"/>
              <w:jc w:val="center"/>
            </w:pPr>
            <w:r/>
            <w:r>
              <w:rPr>
                <w:rFonts w:ascii="仿宋_GB2312" w:hAnsi="仿宋_GB2312" w:eastAsia="仿宋_GB2312"/>
                <w:b w:val="0"/>
                <w:color w:val="000000"/>
                <w:sz w:val="32"/>
              </w:rPr>
              <w:t>多元市场</w:t>
            </w:r>
          </w:p>
        </w:tc>
      </w:tr>
      <w:tr>
        <w:tc>
          <w:tcPr>
            <w:tcW w:type="dxa" w:w="2268"/>
          </w:tcPr>
          <w:p>
            <w:pPr>
              <w:spacing w:lineRule="exact" w:line="600"/>
              <w:jc w:val="center"/>
            </w:pPr>
            <w:r/>
            <w:r>
              <w:rPr>
                <w:rFonts w:ascii="仿宋_GB2312" w:hAnsi="仿宋_GB2312" w:eastAsia="仿宋_GB2312"/>
                <w:b w:val="0"/>
                <w:color w:val="000000"/>
                <w:sz w:val="32"/>
              </w:rPr>
              <w:t>同质竞争</w:t>
            </w:r>
          </w:p>
        </w:tc>
        <w:tc>
          <w:tcPr>
            <w:tcW w:type="dxa" w:w="3402"/>
          </w:tcPr>
          <w:p>
            <w:pPr>
              <w:spacing w:lineRule="exact" w:line="600"/>
              <w:jc w:val="center"/>
            </w:pPr>
            <w:r/>
            <w:r>
              <w:rPr>
                <w:rFonts w:ascii="仿宋_GB2312" w:hAnsi="仿宋_GB2312" w:eastAsia="仿宋_GB2312"/>
                <w:b w:val="0"/>
                <w:color w:val="000000"/>
                <w:sz w:val="32"/>
              </w:rPr>
              <w:t>利润摊薄</w:t>
            </w:r>
          </w:p>
        </w:tc>
        <w:tc>
          <w:tcPr>
            <w:tcW w:type="dxa" w:w="2835"/>
          </w:tcPr>
          <w:p>
            <w:pPr>
              <w:spacing w:lineRule="exact" w:line="600"/>
              <w:jc w:val="center"/>
            </w:pPr>
            <w:r/>
            <w:r>
              <w:rPr>
                <w:rFonts w:ascii="仿宋_GB2312" w:hAnsi="仿宋_GB2312" w:eastAsia="仿宋_GB2312"/>
                <w:b w:val="0"/>
                <w:color w:val="000000"/>
                <w:sz w:val="32"/>
              </w:rPr>
              <w:t>高端+金融</w:t>
            </w:r>
          </w:p>
        </w:tc>
      </w:tr>
      <w:tr>
        <w:tc>
          <w:tcPr>
            <w:tcW w:type="dxa" w:w="2268"/>
          </w:tcPr>
          <w:p>
            <w:pPr>
              <w:spacing w:lineRule="exact" w:line="600"/>
              <w:jc w:val="center"/>
            </w:pPr>
            <w:r/>
            <w:r>
              <w:rPr>
                <w:rFonts w:ascii="仿宋_GB2312" w:hAnsi="仿宋_GB2312" w:eastAsia="仿宋_GB2312"/>
                <w:b w:val="0"/>
                <w:color w:val="000000"/>
                <w:sz w:val="32"/>
              </w:rPr>
              <w:t>金融风险</w:t>
            </w:r>
          </w:p>
        </w:tc>
        <w:tc>
          <w:tcPr>
            <w:tcW w:type="dxa" w:w="3402"/>
          </w:tcPr>
          <w:p>
            <w:pPr>
              <w:spacing w:lineRule="exact" w:line="600"/>
              <w:jc w:val="center"/>
            </w:pPr>
            <w:r/>
            <w:r>
              <w:rPr>
                <w:rFonts w:ascii="仿宋_GB2312" w:hAnsi="仿宋_GB2312" w:eastAsia="仿宋_GB2312"/>
                <w:b w:val="0"/>
                <w:color w:val="000000"/>
                <w:sz w:val="32"/>
              </w:rPr>
              <w:t>质押风控</w:t>
            </w:r>
          </w:p>
        </w:tc>
        <w:tc>
          <w:tcPr>
            <w:tcW w:type="dxa" w:w="2835"/>
          </w:tcPr>
          <w:p>
            <w:pPr>
              <w:spacing w:lineRule="exact" w:line="600"/>
              <w:jc w:val="center"/>
            </w:pPr>
            <w:r/>
            <w:r>
              <w:rPr>
                <w:rFonts w:ascii="仿宋_GB2312" w:hAnsi="仿宋_GB2312" w:eastAsia="仿宋_GB2312"/>
                <w:b w:val="0"/>
                <w:color w:val="000000"/>
                <w:sz w:val="32"/>
              </w:rPr>
              <w:t>数字监管</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（一）数字贸易与平台化</w:t>
      </w:r>
    </w:p>
    <w:p>
      <w:pPr>
        <w:spacing w:lineRule="exact" w:line="600" w:before="0" w:after="0"/>
        <w:ind w:firstLine="420"/>
        <w:jc w:val="both"/>
      </w:pPr>
      <w:r>
        <w:rPr>
          <w:rFonts w:ascii="仿宋_GB2312" w:hAnsi="仿宋_GB2312" w:eastAsia="仿宋_GB2312"/>
          <w:b w:val="0"/>
          <w:color w:val="000000"/>
          <w:sz w:val="32"/>
        </w:rPr>
        <w:t>推动「线上交易+智能仓储+供应链金融」一体化平台，扩大金属电子交易中心覆盖；以国有化监管仓库为风控底座，推广存货质押融资。两届展览会持续做大平台，加强沟通交流与成果展览，共谋产业发展（来源：周村区政府、伟业资料）。</w:t>
      </w:r>
    </w:p>
    <w:p>
      <w:pPr>
        <w:spacing w:lineRule="exact" w:line="600" w:before="120" w:after="120"/>
        <w:ind w:firstLine="420"/>
        <w:jc w:val="left"/>
      </w:pPr>
      <w:r>
        <w:rPr>
          <w:rFonts w:ascii="楷体_GB2312" w:hAnsi="楷体_GB2312" w:eastAsia="楷体_GB2312"/>
          <w:b w:val="0"/>
          <w:color w:val="000000"/>
          <w:sz w:val="32"/>
        </w:rPr>
        <w:t>（二）枢纽化与全球化</w:t>
      </w:r>
    </w:p>
    <w:p>
      <w:pPr>
        <w:spacing w:lineRule="exact" w:line="600" w:before="0" w:after="0"/>
        <w:ind w:firstLine="420"/>
        <w:jc w:val="both"/>
      </w:pPr>
      <w:r>
        <w:rPr>
          <w:rFonts w:ascii="仿宋_GB2312" w:hAnsi="仿宋_GB2312" w:eastAsia="仿宋_GB2312"/>
          <w:b w:val="0"/>
          <w:color w:val="000000"/>
          <w:sz w:val="32"/>
        </w:rPr>
        <w:t>做强江北最大集散地与全国终端市场枢纽功能，依托青山、太钢代理网络拓展全球通道；新优特园孵化准专精特新企业形成闭环共生；以「厚道、诚信、开放、包容」鲁商精神优化营商环境，向千亿级不锈钢产业集群迈进（来源：经济日报、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目标</w:t>
            </w:r>
          </w:p>
        </w:tc>
      </w:tr>
      <w:tr>
        <w:tc>
          <w:tcPr>
            <w:tcW w:type="dxa" w:w="2551"/>
          </w:tcPr>
          <w:p>
            <w:pPr>
              <w:spacing w:lineRule="exact" w:line="600"/>
              <w:jc w:val="center"/>
            </w:pPr>
            <w:r/>
            <w:r>
              <w:rPr>
                <w:rFonts w:ascii="仿宋_GB2312" w:hAnsi="仿宋_GB2312" w:eastAsia="仿宋_GB2312"/>
                <w:b w:val="0"/>
                <w:color w:val="000000"/>
                <w:sz w:val="32"/>
              </w:rPr>
              <w:t>数字平台</w:t>
            </w:r>
          </w:p>
        </w:tc>
        <w:tc>
          <w:tcPr>
            <w:tcW w:type="dxa" w:w="3402"/>
          </w:tcPr>
          <w:p>
            <w:pPr>
              <w:spacing w:lineRule="exact" w:line="600"/>
              <w:jc w:val="center"/>
            </w:pPr>
            <w:r/>
            <w:r>
              <w:rPr>
                <w:rFonts w:ascii="仿宋_GB2312" w:hAnsi="仿宋_GB2312" w:eastAsia="仿宋_GB2312"/>
                <w:b w:val="0"/>
                <w:color w:val="000000"/>
                <w:sz w:val="32"/>
              </w:rPr>
              <w:t>线上+智能仓+金融</w:t>
            </w:r>
          </w:p>
        </w:tc>
        <w:tc>
          <w:tcPr>
            <w:tcW w:type="dxa" w:w="2551"/>
          </w:tcPr>
          <w:p>
            <w:pPr>
              <w:spacing w:lineRule="exact" w:line="600"/>
              <w:jc w:val="center"/>
            </w:pPr>
            <w:r/>
            <w:r>
              <w:rPr>
                <w:rFonts w:ascii="仿宋_GB2312" w:hAnsi="仿宋_GB2312" w:eastAsia="仿宋_GB2312"/>
                <w:b w:val="0"/>
                <w:color w:val="000000"/>
                <w:sz w:val="32"/>
              </w:rPr>
              <w:t>效率风控</w:t>
            </w:r>
          </w:p>
        </w:tc>
      </w:tr>
      <w:tr>
        <w:tc>
          <w:tcPr>
            <w:tcW w:type="dxa" w:w="2551"/>
          </w:tcPr>
          <w:p>
            <w:pPr>
              <w:spacing w:lineRule="exact" w:line="600"/>
              <w:jc w:val="center"/>
            </w:pPr>
            <w:r/>
            <w:r>
              <w:rPr>
                <w:rFonts w:ascii="仿宋_GB2312" w:hAnsi="仿宋_GB2312" w:eastAsia="仿宋_GB2312"/>
                <w:b w:val="0"/>
                <w:color w:val="000000"/>
                <w:sz w:val="32"/>
              </w:rPr>
              <w:t>枢纽升级</w:t>
            </w:r>
          </w:p>
        </w:tc>
        <w:tc>
          <w:tcPr>
            <w:tcW w:type="dxa" w:w="3402"/>
          </w:tcPr>
          <w:p>
            <w:pPr>
              <w:spacing w:lineRule="exact" w:line="600"/>
              <w:jc w:val="center"/>
            </w:pPr>
            <w:r/>
            <w:r>
              <w:rPr>
                <w:rFonts w:ascii="仿宋_GB2312" w:hAnsi="仿宋_GB2312" w:eastAsia="仿宋_GB2312"/>
                <w:b w:val="0"/>
                <w:color w:val="000000"/>
                <w:sz w:val="32"/>
              </w:rPr>
              <w:t>集散地→千亿</w:t>
            </w:r>
          </w:p>
        </w:tc>
        <w:tc>
          <w:tcPr>
            <w:tcW w:type="dxa" w:w="2551"/>
          </w:tcPr>
          <w:p>
            <w:pPr>
              <w:spacing w:lineRule="exact" w:line="600"/>
              <w:jc w:val="center"/>
            </w:pPr>
            <w:r/>
            <w:r>
              <w:rPr>
                <w:rFonts w:ascii="仿宋_GB2312" w:hAnsi="仿宋_GB2312" w:eastAsia="仿宋_GB2312"/>
                <w:b w:val="0"/>
                <w:color w:val="000000"/>
                <w:sz w:val="32"/>
              </w:rPr>
              <w:t>集群目标</w:t>
            </w:r>
          </w:p>
        </w:tc>
      </w:tr>
      <w:tr>
        <w:tc>
          <w:tcPr>
            <w:tcW w:type="dxa" w:w="2551"/>
          </w:tcPr>
          <w:p>
            <w:pPr>
              <w:spacing w:lineRule="exact" w:line="600"/>
              <w:jc w:val="center"/>
            </w:pPr>
            <w:r/>
            <w:r>
              <w:rPr>
                <w:rFonts w:ascii="仿宋_GB2312" w:hAnsi="仿宋_GB2312" w:eastAsia="仿宋_GB2312"/>
                <w:b w:val="0"/>
                <w:color w:val="000000"/>
                <w:sz w:val="32"/>
              </w:rPr>
              <w:t>全球通道</w:t>
            </w:r>
          </w:p>
        </w:tc>
        <w:tc>
          <w:tcPr>
            <w:tcW w:type="dxa" w:w="3402"/>
          </w:tcPr>
          <w:p>
            <w:pPr>
              <w:spacing w:lineRule="exact" w:line="600"/>
              <w:jc w:val="center"/>
            </w:pPr>
            <w:r/>
            <w:r>
              <w:rPr>
                <w:rFonts w:ascii="仿宋_GB2312" w:hAnsi="仿宋_GB2312" w:eastAsia="仿宋_GB2312"/>
                <w:b w:val="0"/>
                <w:color w:val="000000"/>
                <w:sz w:val="32"/>
              </w:rPr>
              <w:t>钢厂代理网络</w:t>
            </w:r>
          </w:p>
        </w:tc>
        <w:tc>
          <w:tcPr>
            <w:tcW w:type="dxa" w:w="2551"/>
          </w:tcPr>
          <w:p>
            <w:pPr>
              <w:spacing w:lineRule="exact" w:line="600"/>
              <w:jc w:val="center"/>
            </w:pPr>
            <w:r/>
            <w:r>
              <w:rPr>
                <w:rFonts w:ascii="仿宋_GB2312" w:hAnsi="仿宋_GB2312" w:eastAsia="仿宋_GB2312"/>
                <w:b w:val="0"/>
                <w:color w:val="000000"/>
                <w:sz w:val="32"/>
              </w:rPr>
              <w:t>进出口</w:t>
            </w:r>
          </w:p>
        </w:tc>
      </w:tr>
      <w:tr>
        <w:tc>
          <w:tcPr>
            <w:tcW w:type="dxa" w:w="2551"/>
          </w:tcPr>
          <w:p>
            <w:pPr>
              <w:spacing w:lineRule="exact" w:line="600"/>
              <w:jc w:val="center"/>
            </w:pPr>
            <w:r/>
            <w:r>
              <w:rPr>
                <w:rFonts w:ascii="仿宋_GB2312" w:hAnsi="仿宋_GB2312" w:eastAsia="仿宋_GB2312"/>
                <w:b w:val="0"/>
                <w:color w:val="000000"/>
                <w:sz w:val="32"/>
              </w:rPr>
              <w:t>生态</w:t>
            </w:r>
          </w:p>
        </w:tc>
        <w:tc>
          <w:tcPr>
            <w:tcW w:type="dxa" w:w="3402"/>
          </w:tcPr>
          <w:p>
            <w:pPr>
              <w:spacing w:lineRule="exact" w:line="600"/>
              <w:jc w:val="center"/>
            </w:pPr>
            <w:r/>
            <w:r>
              <w:rPr>
                <w:rFonts w:ascii="仿宋_GB2312" w:hAnsi="仿宋_GB2312" w:eastAsia="仿宋_GB2312"/>
                <w:b w:val="0"/>
                <w:color w:val="000000"/>
                <w:sz w:val="32"/>
              </w:rPr>
              <w:t>新优特孵化</w:t>
            </w:r>
          </w:p>
        </w:tc>
        <w:tc>
          <w:tcPr>
            <w:tcW w:type="dxa" w:w="2551"/>
          </w:tcPr>
          <w:p>
            <w:pPr>
              <w:spacing w:lineRule="exact" w:line="600"/>
              <w:jc w:val="center"/>
            </w:pPr>
            <w:r/>
            <w:r>
              <w:rPr>
                <w:rFonts w:ascii="仿宋_GB2312" w:hAnsi="仿宋_GB2312" w:eastAsia="仿宋_GB2312"/>
                <w:b w:val="0"/>
                <w:color w:val="000000"/>
                <w:sz w:val="32"/>
              </w:rPr>
              <w:t>闭环共生</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（一）基础设施与平台建设</w:t>
      </w:r>
    </w:p>
    <w:p>
      <w:pPr>
        <w:spacing w:lineRule="exact" w:line="600" w:before="0" w:after="0"/>
        <w:ind w:firstLine="420"/>
        <w:jc w:val="both"/>
      </w:pPr>
      <w:r>
        <w:rPr>
          <w:rFonts w:ascii="仿宋_GB2312" w:hAnsi="仿宋_GB2312" w:eastAsia="仿宋_GB2312"/>
          <w:b w:val="0"/>
          <w:color w:val="000000"/>
          <w:sz w:val="32"/>
        </w:rPr>
        <w:t>北方首座不锈钢国有化监管仓库、金属电子交易中心、园区仓储物流基建（近100万㎡园区）需要持续投入；新优特园等园区建设需配套资金。建议以专项债、产业基金与银行授信支持商贸物流基础设施建设（来源：大众网、周村区政府）。</w:t>
      </w:r>
    </w:p>
    <w:p>
      <w:pPr>
        <w:spacing w:lineRule="exact" w:line="600" w:before="120" w:after="120"/>
        <w:ind w:firstLine="420"/>
        <w:jc w:val="left"/>
      </w:pPr>
      <w:r>
        <w:rPr>
          <w:rFonts w:ascii="楷体_GB2312" w:hAnsi="楷体_GB2312" w:eastAsia="楷体_GB2312"/>
          <w:b w:val="0"/>
          <w:color w:val="000000"/>
          <w:sz w:val="32"/>
        </w:rPr>
        <w:t>（二）供应链金融扩容</w:t>
      </w:r>
    </w:p>
    <w:p>
      <w:pPr>
        <w:spacing w:lineRule="exact" w:line="600" w:before="0" w:after="0"/>
        <w:ind w:firstLine="420"/>
        <w:jc w:val="both"/>
      </w:pPr>
      <w:r>
        <w:rPr>
          <w:rFonts w:ascii="仿宋_GB2312" w:hAnsi="仿宋_GB2312" w:eastAsia="仿宋_GB2312"/>
          <w:b w:val="0"/>
          <w:color w:val="000000"/>
          <w:sz w:val="32"/>
        </w:rPr>
        <w:t>「监管仓库+世纪行」模式已验证可行，但覆盖中小企业面仍需扩大。建议引入更多银行与保理机构、设立不锈钢产业基金、发展存货质押与应收账款融资，缓解集采资金压力；支持龙头企业股权融资加速平台化与全球化布局（来源：大众网、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规模/对象</w:t>
            </w:r>
          </w:p>
        </w:tc>
        <w:tc>
          <w:tcPr>
            <w:tcW w:type="dxa" w:w="2551"/>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监管/交易中心</w:t>
            </w:r>
          </w:p>
        </w:tc>
        <w:tc>
          <w:tcPr>
            <w:tcW w:type="dxa" w:w="3118"/>
          </w:tcPr>
          <w:p>
            <w:pPr>
              <w:spacing w:lineRule="exact" w:line="600"/>
              <w:jc w:val="center"/>
            </w:pPr>
            <w:r/>
            <w:r>
              <w:rPr>
                <w:rFonts w:ascii="仿宋_GB2312" w:hAnsi="仿宋_GB2312" w:eastAsia="仿宋_GB2312"/>
                <w:b w:val="0"/>
                <w:color w:val="000000"/>
                <w:sz w:val="32"/>
              </w:rPr>
              <w:t>基础设施</w:t>
            </w:r>
          </w:p>
        </w:tc>
        <w:tc>
          <w:tcPr>
            <w:tcW w:type="dxa" w:w="2551"/>
          </w:tcPr>
          <w:p>
            <w:pPr>
              <w:spacing w:lineRule="exact" w:line="600"/>
              <w:jc w:val="center"/>
            </w:pPr>
            <w:r/>
            <w:r>
              <w:rPr>
                <w:rFonts w:ascii="仿宋_GB2312" w:hAnsi="仿宋_GB2312" w:eastAsia="仿宋_GB2312"/>
                <w:b w:val="0"/>
                <w:color w:val="000000"/>
                <w:sz w:val="32"/>
              </w:rPr>
              <w:t>专项债+贷</w:t>
            </w:r>
          </w:p>
        </w:tc>
      </w:tr>
      <w:tr>
        <w:tc>
          <w:tcPr>
            <w:tcW w:type="dxa" w:w="2835"/>
          </w:tcPr>
          <w:p>
            <w:pPr>
              <w:spacing w:lineRule="exact" w:line="600"/>
              <w:jc w:val="center"/>
            </w:pPr>
            <w:r/>
            <w:r>
              <w:rPr>
                <w:rFonts w:ascii="仿宋_GB2312" w:hAnsi="仿宋_GB2312" w:eastAsia="仿宋_GB2312"/>
                <w:b w:val="0"/>
                <w:color w:val="000000"/>
                <w:sz w:val="32"/>
              </w:rPr>
              <w:t>供应链金融</w:t>
            </w:r>
          </w:p>
        </w:tc>
        <w:tc>
          <w:tcPr>
            <w:tcW w:type="dxa" w:w="3118"/>
          </w:tcPr>
          <w:p>
            <w:pPr>
              <w:spacing w:lineRule="exact" w:line="600"/>
              <w:jc w:val="center"/>
            </w:pPr>
            <w:r/>
            <w:r>
              <w:rPr>
                <w:rFonts w:ascii="仿宋_GB2312" w:hAnsi="仿宋_GB2312" w:eastAsia="仿宋_GB2312"/>
                <w:b w:val="0"/>
                <w:color w:val="000000"/>
                <w:sz w:val="32"/>
              </w:rPr>
              <w:t>世纪行扩容</w:t>
            </w:r>
          </w:p>
        </w:tc>
        <w:tc>
          <w:tcPr>
            <w:tcW w:type="dxa" w:w="2551"/>
          </w:tcPr>
          <w:p>
            <w:pPr>
              <w:spacing w:lineRule="exact" w:line="600"/>
              <w:jc w:val="center"/>
            </w:pPr>
            <w:r/>
            <w:r>
              <w:rPr>
                <w:rFonts w:ascii="仿宋_GB2312" w:hAnsi="仿宋_GB2312" w:eastAsia="仿宋_GB2312"/>
                <w:b w:val="0"/>
                <w:color w:val="000000"/>
                <w:sz w:val="32"/>
              </w:rPr>
              <w:t>存货质押</w:t>
            </w:r>
          </w:p>
        </w:tc>
      </w:tr>
      <w:tr>
        <w:tc>
          <w:tcPr>
            <w:tcW w:type="dxa" w:w="2835"/>
          </w:tcPr>
          <w:p>
            <w:pPr>
              <w:spacing w:lineRule="exact" w:line="600"/>
              <w:jc w:val="center"/>
            </w:pPr>
            <w:r/>
            <w:r>
              <w:rPr>
                <w:rFonts w:ascii="仿宋_GB2312" w:hAnsi="仿宋_GB2312" w:eastAsia="仿宋_GB2312"/>
                <w:b w:val="0"/>
                <w:color w:val="000000"/>
                <w:sz w:val="32"/>
              </w:rPr>
              <w:t>产业基金</w:t>
            </w:r>
          </w:p>
        </w:tc>
        <w:tc>
          <w:tcPr>
            <w:tcW w:type="dxa" w:w="3118"/>
          </w:tcPr>
          <w:p>
            <w:pPr>
              <w:spacing w:lineRule="exact" w:line="600"/>
              <w:jc w:val="center"/>
            </w:pPr>
            <w:r/>
            <w:r>
              <w:rPr>
                <w:rFonts w:ascii="仿宋_GB2312" w:hAnsi="仿宋_GB2312" w:eastAsia="仿宋_GB2312"/>
                <w:b w:val="0"/>
                <w:color w:val="000000"/>
                <w:sz w:val="32"/>
              </w:rPr>
              <w:t>建议设立</w:t>
            </w:r>
          </w:p>
        </w:tc>
        <w:tc>
          <w:tcPr>
            <w:tcW w:type="dxa" w:w="2551"/>
          </w:tcPr>
          <w:p>
            <w:pPr>
              <w:spacing w:lineRule="exact" w:line="600"/>
              <w:jc w:val="center"/>
            </w:pPr>
            <w:r/>
            <w:r>
              <w:rPr>
                <w:rFonts w:ascii="仿宋_GB2312" w:hAnsi="仿宋_GB2312" w:eastAsia="仿宋_GB2312"/>
                <w:b w:val="0"/>
                <w:color w:val="000000"/>
                <w:sz w:val="32"/>
              </w:rPr>
              <w:t>股权+债权</w:t>
            </w:r>
          </w:p>
        </w:tc>
      </w:tr>
      <w:tr>
        <w:tc>
          <w:tcPr>
            <w:tcW w:type="dxa" w:w="2835"/>
          </w:tcPr>
          <w:p>
            <w:pPr>
              <w:spacing w:lineRule="exact" w:line="600"/>
              <w:jc w:val="center"/>
            </w:pPr>
            <w:r/>
            <w:r>
              <w:rPr>
                <w:rFonts w:ascii="仿宋_GB2312" w:hAnsi="仿宋_GB2312" w:eastAsia="仿宋_GB2312"/>
                <w:b w:val="0"/>
                <w:color w:val="000000"/>
                <w:sz w:val="32"/>
              </w:rPr>
              <w:t>园区基建</w:t>
            </w:r>
          </w:p>
        </w:tc>
        <w:tc>
          <w:tcPr>
            <w:tcW w:type="dxa" w:w="3118"/>
          </w:tcPr>
          <w:p>
            <w:pPr>
              <w:spacing w:lineRule="exact" w:line="600"/>
              <w:jc w:val="center"/>
            </w:pPr>
            <w:r/>
            <w:r>
              <w:rPr>
                <w:rFonts w:ascii="仿宋_GB2312" w:hAnsi="仿宋_GB2312" w:eastAsia="仿宋_GB2312"/>
                <w:b w:val="0"/>
                <w:color w:val="000000"/>
                <w:sz w:val="32"/>
              </w:rPr>
              <w:t>新优特等</w:t>
            </w:r>
          </w:p>
        </w:tc>
        <w:tc>
          <w:tcPr>
            <w:tcW w:type="dxa" w:w="2551"/>
          </w:tcPr>
          <w:p>
            <w:pPr>
              <w:spacing w:lineRule="exact" w:line="600"/>
              <w:jc w:val="center"/>
            </w:pPr>
            <w:r/>
            <w:r>
              <w:rPr>
                <w:rFonts w:ascii="仿宋_GB2312" w:hAnsi="仿宋_GB2312" w:eastAsia="仿宋_GB2312"/>
                <w:b w:val="0"/>
                <w:color w:val="000000"/>
                <w:sz w:val="32"/>
              </w:rPr>
              <w:t>银行授信</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世纪正华金属科技有限公司：不锈钢新材料精细加工与流通代表企业，位于周村不锈钢产业园，为首届、第二届中国（周村）不锈钢展览会重点参观企业，参与不锈钢新材料精细加工、终端应用与创新基地建设，是集群商贸物流与加工协同的重要节点。来源：周村区政府展览会报道。</w:t>
      </w:r>
    </w:p>
    <w:p>
      <w:pPr>
        <w:spacing w:lineRule="exact" w:line="600" w:before="0" w:after="0"/>
        <w:ind w:firstLine="420"/>
        <w:jc w:val="both"/>
      </w:pPr>
      <w:r>
        <w:rPr>
          <w:rFonts w:ascii="仿宋_GB2312" w:hAnsi="仿宋_GB2312" w:eastAsia="仿宋_GB2312"/>
          <w:b w:val="0"/>
          <w:color w:val="000000"/>
          <w:sz w:val="32"/>
        </w:rPr>
        <w:t>山东新世纪不锈钢集团有限公司：太钢北方唯一核心代理、青山集团北方一级渠道，年加工70万吨、仓储10万吨，年营业额约7亿元；联合山东高速供应链建成北方首座不锈钢国有化监管仓库，与无锡锡商银行推「世纪行」金融产品，是商贸物流与供应链金融核心平台。来源：百度百科、大众网。</w:t>
      </w:r>
    </w:p>
    <w:p>
      <w:pPr>
        <w:spacing w:lineRule="exact" w:line="600" w:before="0" w:after="0"/>
        <w:ind w:firstLine="420"/>
        <w:jc w:val="both"/>
      </w:pPr>
      <w:r>
        <w:rPr>
          <w:rFonts w:ascii="仿宋_GB2312" w:hAnsi="仿宋_GB2312" w:eastAsia="仿宋_GB2312"/>
          <w:b w:val="0"/>
          <w:color w:val="000000"/>
          <w:sz w:val="32"/>
        </w:rPr>
        <w:t>淄博伟业不锈钢有限公司：集不锈钢产品生产、加工、贸易于一体，2017年建成金属电子交易中心与精加工项目，拥有6万㎡现货仓储，是周村商贸与绿色建材板材流通重要企业，周村区纳税前十、服务业十强。来源：伟业资料、大众网。</w:t>
      </w:r>
    </w:p>
    <w:p>
      <w:pPr>
        <w:spacing w:lineRule="exact" w:line="600" w:before="0" w:after="0"/>
        <w:jc w:val="left"/>
      </w:pPr>
      <w:r>
        <w:rPr>
          <w:rFonts w:ascii="仿宋_GB2312" w:hAnsi="仿宋_GB2312" w:eastAsia="仿宋_GB2312"/>
          <w:b w:val="0"/>
          <w:color w:val="000000"/>
          <w:sz w:val="28"/>
        </w:rPr>
        <w:t>主要数据来源：周村区政府官网两届中国（周村）不锈钢展览会报道；经济日报《山东淄博周村区：攀高引强再锻「新钢」》（2026-04-11）；大众网《解码小镇冠军丨周村区南郊镇》（2025-11-19）；山东省工信厅《融链聚势，淄博不锈钢产业向深向精》（2026-05-29）；百度百科「山东新世纪不锈钢有限公司」；伟业不锈钢企业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