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山东淄博周村（不锈钢深加工）特色产业集群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不锈钢深加工制品行业深度分析报告</w:t>
      </w:r>
    </w:p>
    <w:p>
      <w:pPr>
        <w:spacing w:lineRule="exact" w:line="600" w:before="0" w:after="0"/>
        <w:jc w:val="left"/>
      </w:pPr>
      <w:r>
        <w:rPr>
          <w:rFonts w:ascii="仿宋_GB2312" w:hAnsi="仿宋_GB2312" w:eastAsia="仿宋_GB2312"/>
          <w:b w:val="0"/>
          <w:color w:val="000000"/>
          <w:sz w:val="28"/>
        </w:rPr>
        <w:t>本报告聚焦不锈钢深加工制品（精密加工、管材、管件、医疗/环保设备件等），数据来源于周村区政府、经济日报、大众网及企业资料，数据截至2024—2026年。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周村不锈钢深加工制品涵盖板材表面处理、精密管材、工业特种管件、医疗器械与环保设备精密件等，是集群从「传统贸易」迈向「高端制造」的核心环节。全区不锈钢生产经营业户超千家、规上企业116家，2025年交易额突破600亿元。代表企业山东新世纪不锈钢集团年加工能力70万吨、仓储10万吨，为太钢北方唯一核心代理、青山集团北方一级渠道；山东金润德深耕工业特种管件近二十年，跻身国家专精特新「小巨人」与省制造业单项冠军；万志达投资3.05亿元建不锈钢医疗器械加工项目（年产20万吨），填补国内空白。深加工制品正由低端红海向高铁制动管、医疗精密件、绿色低碳高端品类跃升，技术、装备与品牌壁垒逐步构建。</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周村不锈钢交易额</w:t>
            </w:r>
          </w:p>
        </w:tc>
        <w:tc>
          <w:tcPr>
            <w:tcW w:type="dxa" w:w="2835"/>
          </w:tcPr>
          <w:p>
            <w:pPr>
              <w:spacing w:lineRule="exact" w:line="600"/>
              <w:jc w:val="center"/>
            </w:pPr>
            <w:r/>
            <w:r>
              <w:rPr>
                <w:rFonts w:ascii="仿宋_GB2312" w:hAnsi="仿宋_GB2312" w:eastAsia="仿宋_GB2312"/>
                <w:b w:val="0"/>
                <w:color w:val="000000"/>
                <w:sz w:val="32"/>
              </w:rPr>
              <w:t>突破600亿元</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116家</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新世纪加工能力</w:t>
            </w:r>
          </w:p>
        </w:tc>
        <w:tc>
          <w:tcPr>
            <w:tcW w:type="dxa" w:w="2835"/>
          </w:tcPr>
          <w:p>
            <w:pPr>
              <w:spacing w:lineRule="exact" w:line="600"/>
              <w:jc w:val="center"/>
            </w:pPr>
            <w:r/>
            <w:r>
              <w:rPr>
                <w:rFonts w:ascii="仿宋_GB2312" w:hAnsi="仿宋_GB2312" w:eastAsia="仿宋_GB2312"/>
                <w:b w:val="0"/>
                <w:color w:val="000000"/>
                <w:sz w:val="32"/>
              </w:rPr>
              <w:t>70万吨/年</w:t>
            </w:r>
          </w:p>
        </w:tc>
        <w:tc>
          <w:tcPr>
            <w:tcW w:type="dxa" w:w="3118"/>
          </w:tcPr>
          <w:p>
            <w:pPr>
              <w:spacing w:lineRule="exact" w:line="600"/>
              <w:jc w:val="center"/>
            </w:pPr>
            <w:r/>
            <w:r>
              <w:rPr>
                <w:rFonts w:ascii="仿宋_GB2312" w:hAnsi="仿宋_GB2312" w:eastAsia="仿宋_GB2312"/>
                <w:b w:val="0"/>
                <w:color w:val="000000"/>
                <w:sz w:val="32"/>
              </w:rPr>
              <w:t>百度百科</w:t>
            </w:r>
          </w:p>
        </w:tc>
      </w:tr>
      <w:tr>
        <w:tc>
          <w:tcPr>
            <w:tcW w:type="dxa" w:w="2835"/>
          </w:tcPr>
          <w:p>
            <w:pPr>
              <w:spacing w:lineRule="exact" w:line="600"/>
              <w:jc w:val="center"/>
            </w:pPr>
            <w:r/>
            <w:r>
              <w:rPr>
                <w:rFonts w:ascii="仿宋_GB2312" w:hAnsi="仿宋_GB2312" w:eastAsia="仿宋_GB2312"/>
                <w:b w:val="0"/>
                <w:color w:val="000000"/>
                <w:sz w:val="32"/>
              </w:rPr>
              <w:t>新世纪仓储</w:t>
            </w:r>
          </w:p>
        </w:tc>
        <w:tc>
          <w:tcPr>
            <w:tcW w:type="dxa" w:w="2835"/>
          </w:tcPr>
          <w:p>
            <w:pPr>
              <w:spacing w:lineRule="exact" w:line="600"/>
              <w:jc w:val="center"/>
            </w:pPr>
            <w:r/>
            <w:r>
              <w:rPr>
                <w:rFonts w:ascii="仿宋_GB2312" w:hAnsi="仿宋_GB2312" w:eastAsia="仿宋_GB2312"/>
                <w:b w:val="0"/>
                <w:color w:val="000000"/>
                <w:sz w:val="32"/>
              </w:rPr>
              <w:t>10万吨</w:t>
            </w:r>
          </w:p>
        </w:tc>
        <w:tc>
          <w:tcPr>
            <w:tcW w:type="dxa" w:w="3118"/>
          </w:tcPr>
          <w:p>
            <w:pPr>
              <w:spacing w:lineRule="exact" w:line="600"/>
              <w:jc w:val="center"/>
            </w:pPr>
            <w:r/>
            <w:r>
              <w:rPr>
                <w:rFonts w:ascii="仿宋_GB2312" w:hAnsi="仿宋_GB2312" w:eastAsia="仿宋_GB2312"/>
                <w:b w:val="0"/>
                <w:color w:val="000000"/>
                <w:sz w:val="32"/>
              </w:rPr>
              <w:t>百度百科</w:t>
            </w:r>
          </w:p>
        </w:tc>
      </w:tr>
      <w:tr>
        <w:tc>
          <w:tcPr>
            <w:tcW w:type="dxa" w:w="2835"/>
          </w:tcPr>
          <w:p>
            <w:pPr>
              <w:spacing w:lineRule="exact" w:line="600"/>
              <w:jc w:val="center"/>
            </w:pPr>
            <w:r/>
            <w:r>
              <w:rPr>
                <w:rFonts w:ascii="仿宋_GB2312" w:hAnsi="仿宋_GB2312" w:eastAsia="仿宋_GB2312"/>
                <w:b w:val="0"/>
                <w:color w:val="000000"/>
                <w:sz w:val="32"/>
              </w:rPr>
              <w:t>万志达项目</w:t>
            </w:r>
          </w:p>
        </w:tc>
        <w:tc>
          <w:tcPr>
            <w:tcW w:type="dxa" w:w="2835"/>
          </w:tcPr>
          <w:p>
            <w:pPr>
              <w:spacing w:lineRule="exact" w:line="600"/>
              <w:jc w:val="center"/>
            </w:pPr>
            <w:r/>
            <w:r>
              <w:rPr>
                <w:rFonts w:ascii="仿宋_GB2312" w:hAnsi="仿宋_GB2312" w:eastAsia="仿宋_GB2312"/>
                <w:b w:val="0"/>
                <w:color w:val="000000"/>
                <w:sz w:val="32"/>
              </w:rPr>
              <w:t>3.05亿元/20万吨</w:t>
            </w:r>
          </w:p>
        </w:tc>
        <w:tc>
          <w:tcPr>
            <w:tcW w:type="dxa" w:w="3118"/>
          </w:tcPr>
          <w:p>
            <w:pPr>
              <w:spacing w:lineRule="exact" w:line="600"/>
              <w:jc w:val="center"/>
            </w:pPr>
            <w:r/>
            <w:r>
              <w:rPr>
                <w:rFonts w:ascii="仿宋_GB2312" w:hAnsi="仿宋_GB2312" w:eastAsia="仿宋_GB2312"/>
                <w:b w:val="0"/>
                <w:color w:val="000000"/>
                <w:sz w:val="32"/>
              </w:rPr>
              <w:t>大众网</w:t>
            </w:r>
          </w:p>
        </w:tc>
      </w:tr>
      <w:tr>
        <w:tc>
          <w:tcPr>
            <w:tcW w:type="dxa" w:w="2835"/>
          </w:tcPr>
          <w:p>
            <w:pPr>
              <w:spacing w:lineRule="exact" w:line="600"/>
              <w:jc w:val="center"/>
            </w:pPr>
            <w:r/>
            <w:r>
              <w:rPr>
                <w:rFonts w:ascii="仿宋_GB2312" w:hAnsi="仿宋_GB2312" w:eastAsia="仿宋_GB2312"/>
                <w:b w:val="0"/>
                <w:color w:val="000000"/>
                <w:sz w:val="32"/>
              </w:rPr>
              <w:t>生产经营业户</w:t>
            </w:r>
          </w:p>
        </w:tc>
        <w:tc>
          <w:tcPr>
            <w:tcW w:type="dxa" w:w="2835"/>
          </w:tcPr>
          <w:p>
            <w:pPr>
              <w:spacing w:lineRule="exact" w:line="600"/>
              <w:jc w:val="center"/>
            </w:pPr>
            <w:r/>
            <w:r>
              <w:rPr>
                <w:rFonts w:ascii="仿宋_GB2312" w:hAnsi="仿宋_GB2312" w:eastAsia="仿宋_GB2312"/>
                <w:b w:val="0"/>
                <w:color w:val="000000"/>
                <w:sz w:val="32"/>
              </w:rPr>
              <w:t>超千家</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园区经营面积</w:t>
            </w:r>
          </w:p>
        </w:tc>
        <w:tc>
          <w:tcPr>
            <w:tcW w:type="dxa" w:w="2835"/>
          </w:tcPr>
          <w:p>
            <w:pPr>
              <w:spacing w:lineRule="exact" w:line="600"/>
              <w:jc w:val="center"/>
            </w:pPr>
            <w:r/>
            <w:r>
              <w:rPr>
                <w:rFonts w:ascii="仿宋_GB2312" w:hAnsi="仿宋_GB2312" w:eastAsia="仿宋_GB2312"/>
                <w:b w:val="0"/>
                <w:color w:val="000000"/>
                <w:sz w:val="32"/>
              </w:rPr>
              <w:t>近100万㎡</w:t>
            </w:r>
          </w:p>
        </w:tc>
        <w:tc>
          <w:tcPr>
            <w:tcW w:type="dxa" w:w="3118"/>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集群地位</w:t>
            </w:r>
          </w:p>
        </w:tc>
        <w:tc>
          <w:tcPr>
            <w:tcW w:type="dxa" w:w="2835"/>
          </w:tcPr>
          <w:p>
            <w:pPr>
              <w:spacing w:lineRule="exact" w:line="600"/>
              <w:jc w:val="center"/>
            </w:pPr>
            <w:r/>
            <w:r>
              <w:rPr>
                <w:rFonts w:ascii="仿宋_GB2312" w:hAnsi="仿宋_GB2312" w:eastAsia="仿宋_GB2312"/>
                <w:b w:val="0"/>
                <w:color w:val="000000"/>
                <w:sz w:val="32"/>
              </w:rPr>
              <w:t>全国第三集散地</w:t>
            </w:r>
          </w:p>
        </w:tc>
        <w:tc>
          <w:tcPr>
            <w:tcW w:type="dxa" w:w="3118"/>
          </w:tcPr>
          <w:p>
            <w:pPr>
              <w:spacing w:lineRule="exact" w:line="600"/>
              <w:jc w:val="center"/>
            </w:pPr>
            <w:r/>
            <w:r>
              <w:rPr>
                <w:rFonts w:ascii="仿宋_GB2312" w:hAnsi="仿宋_GB2312" w:eastAsia="仿宋_GB2312"/>
                <w:b w:val="0"/>
                <w:color w:val="000000"/>
                <w:sz w:val="32"/>
              </w:rPr>
              <w:t>江北第一</w:t>
            </w:r>
          </w:p>
        </w:tc>
      </w:tr>
      <w:tr>
        <w:tc>
          <w:tcPr>
            <w:tcW w:type="dxa" w:w="2835"/>
          </w:tcPr>
          <w:p>
            <w:pPr>
              <w:spacing w:lineRule="exact" w:line="600"/>
              <w:jc w:val="center"/>
            </w:pPr>
            <w:r/>
            <w:r>
              <w:rPr>
                <w:rFonts w:ascii="仿宋_GB2312" w:hAnsi="仿宋_GB2312" w:eastAsia="仿宋_GB2312"/>
                <w:b w:val="0"/>
                <w:color w:val="000000"/>
                <w:sz w:val="32"/>
              </w:rPr>
              <w:t>新优特园</w:t>
            </w:r>
          </w:p>
        </w:tc>
        <w:tc>
          <w:tcPr>
            <w:tcW w:type="dxa" w:w="2835"/>
          </w:tcPr>
          <w:p>
            <w:pPr>
              <w:spacing w:lineRule="exact" w:line="600"/>
              <w:jc w:val="center"/>
            </w:pPr>
            <w:r/>
            <w:r>
              <w:rPr>
                <w:rFonts w:ascii="仿宋_GB2312" w:hAnsi="仿宋_GB2312" w:eastAsia="仿宋_GB2312"/>
                <w:b w:val="0"/>
                <w:color w:val="000000"/>
                <w:sz w:val="32"/>
              </w:rPr>
              <w:t>75亩/5万㎡</w:t>
            </w:r>
          </w:p>
        </w:tc>
        <w:tc>
          <w:tcPr>
            <w:tcW w:type="dxa" w:w="3118"/>
          </w:tcPr>
          <w:p>
            <w:pPr>
              <w:spacing w:lineRule="exact" w:line="600"/>
              <w:jc w:val="center"/>
            </w:pPr>
            <w:r/>
            <w:r>
              <w:rPr>
                <w:rFonts w:ascii="仿宋_GB2312" w:hAnsi="仿宋_GB2312" w:eastAsia="仿宋_GB2312"/>
                <w:b w:val="0"/>
                <w:color w:val="000000"/>
                <w:sz w:val="32"/>
              </w:rPr>
              <w:t>大众网</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不锈钢深加工制品属先进材料制造，服务于装备制造、医疗器械、环保、新能源等战略领域。山东省推动传统产业「三化」转型，周村不锈钢2025年9月入选省「十强产业」雁阵形产业集群；省「十链百群万企」不锈钢深加工特色产业集群融链固链对接活动2026年5月在周村举行，政策与平台双重加持（来源：周村区政府、山东省工信厅）。</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周村历经30余年发展，构建「原料供应—精深加工—成品贸易—配套服务」完整产业体系，从上世纪90年代起步成为江北规模最大、全国知名的不锈钢产业集聚地。2025年交易额突破600亿元，规上企业116家，产品覆盖板材、棒材、型材、管材等数十门类上千品种，深加工制品是价值链提升的关键（来源：经济日报、山东省工信厅）。</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交易额</w:t>
            </w:r>
          </w:p>
        </w:tc>
        <w:tc>
          <w:tcPr>
            <w:tcW w:type="dxa" w:w="2835"/>
          </w:tcPr>
          <w:p>
            <w:pPr>
              <w:spacing w:lineRule="exact" w:line="600"/>
              <w:jc w:val="center"/>
            </w:pPr>
            <w:r/>
            <w:r>
              <w:rPr>
                <w:rFonts w:ascii="仿宋_GB2312" w:hAnsi="仿宋_GB2312" w:eastAsia="仿宋_GB2312"/>
                <w:b w:val="0"/>
                <w:color w:val="000000"/>
                <w:sz w:val="32"/>
              </w:rPr>
              <w:t>突破600亿元</w:t>
            </w:r>
          </w:p>
        </w:tc>
        <w:tc>
          <w:tcPr>
            <w:tcW w:type="dxa" w:w="2835"/>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116家</w:t>
            </w:r>
          </w:p>
        </w:tc>
        <w:tc>
          <w:tcPr>
            <w:tcW w:type="dxa" w:w="2835"/>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产业积淀</w:t>
            </w:r>
          </w:p>
        </w:tc>
        <w:tc>
          <w:tcPr>
            <w:tcW w:type="dxa" w:w="2835"/>
          </w:tcPr>
          <w:p>
            <w:pPr>
              <w:spacing w:lineRule="exact" w:line="600"/>
              <w:jc w:val="center"/>
            </w:pPr>
            <w:r/>
            <w:r>
              <w:rPr>
                <w:rFonts w:ascii="仿宋_GB2312" w:hAnsi="仿宋_GB2312" w:eastAsia="仿宋_GB2312"/>
                <w:b w:val="0"/>
                <w:color w:val="000000"/>
                <w:sz w:val="32"/>
              </w:rPr>
              <w:t>30余年</w:t>
            </w:r>
          </w:p>
        </w:tc>
        <w:tc>
          <w:tcPr>
            <w:tcW w:type="dxa" w:w="2835"/>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体系</w:t>
            </w:r>
          </w:p>
        </w:tc>
        <w:tc>
          <w:tcPr>
            <w:tcW w:type="dxa" w:w="2835"/>
          </w:tcPr>
          <w:p>
            <w:pPr>
              <w:spacing w:lineRule="exact" w:line="600"/>
              <w:jc w:val="center"/>
            </w:pPr>
            <w:r/>
            <w:r>
              <w:rPr>
                <w:rFonts w:ascii="仿宋_GB2312" w:hAnsi="仿宋_GB2312" w:eastAsia="仿宋_GB2312"/>
                <w:b w:val="0"/>
                <w:color w:val="000000"/>
                <w:sz w:val="32"/>
              </w:rPr>
              <w:t>原料-加工-贸易-服务</w:t>
            </w:r>
          </w:p>
        </w:tc>
        <w:tc>
          <w:tcPr>
            <w:tcW w:type="dxa" w:w="2835"/>
          </w:tcPr>
          <w:p>
            <w:pPr>
              <w:spacing w:lineRule="exact" w:line="600"/>
              <w:jc w:val="center"/>
            </w:pPr>
            <w:r/>
            <w:r>
              <w:rPr>
                <w:rFonts w:ascii="仿宋_GB2312" w:hAnsi="仿宋_GB2312" w:eastAsia="仿宋_GB2312"/>
                <w:b w:val="0"/>
                <w:color w:val="000000"/>
                <w:sz w:val="32"/>
              </w:rPr>
              <w:t>山东省工信厅</w:t>
            </w:r>
          </w:p>
        </w:tc>
      </w:tr>
      <w:tr>
        <w:tc>
          <w:tcPr>
            <w:tcW w:type="dxa" w:w="2835"/>
          </w:tcPr>
          <w:p>
            <w:pPr>
              <w:spacing w:lineRule="exact" w:line="600"/>
              <w:jc w:val="center"/>
            </w:pPr>
            <w:r/>
            <w:r>
              <w:rPr>
                <w:rFonts w:ascii="仿宋_GB2312" w:hAnsi="仿宋_GB2312" w:eastAsia="仿宋_GB2312"/>
                <w:b w:val="0"/>
                <w:color w:val="000000"/>
                <w:sz w:val="32"/>
              </w:rPr>
              <w:t>集群地位</w:t>
            </w:r>
          </w:p>
        </w:tc>
        <w:tc>
          <w:tcPr>
            <w:tcW w:type="dxa" w:w="2835"/>
          </w:tcPr>
          <w:p>
            <w:pPr>
              <w:spacing w:lineRule="exact" w:line="600"/>
              <w:jc w:val="center"/>
            </w:pPr>
            <w:r/>
            <w:r>
              <w:rPr>
                <w:rFonts w:ascii="仿宋_GB2312" w:hAnsi="仿宋_GB2312" w:eastAsia="仿宋_GB2312"/>
                <w:b w:val="0"/>
                <w:color w:val="000000"/>
                <w:sz w:val="32"/>
              </w:rPr>
              <w:t>江北最大</w:t>
            </w:r>
          </w:p>
        </w:tc>
        <w:tc>
          <w:tcPr>
            <w:tcW w:type="dxa" w:w="2835"/>
          </w:tcPr>
          <w:p>
            <w:pPr>
              <w:spacing w:lineRule="exact" w:line="600"/>
              <w:jc w:val="center"/>
            </w:pPr>
            <w:r/>
            <w:r>
              <w:rPr>
                <w:rFonts w:ascii="仿宋_GB2312" w:hAnsi="仿宋_GB2312" w:eastAsia="仿宋_GB2312"/>
                <w:b w:val="0"/>
                <w:color w:val="000000"/>
                <w:sz w:val="32"/>
              </w:rPr>
              <w:t>全国知名</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（一）深加工制品门类</w:t>
      </w:r>
    </w:p>
    <w:p>
      <w:pPr>
        <w:spacing w:lineRule="exact" w:line="600" w:before="0" w:after="0"/>
        <w:ind w:firstLine="420"/>
        <w:jc w:val="both"/>
      </w:pPr>
      <w:r>
        <w:rPr>
          <w:rFonts w:ascii="仿宋_GB2312" w:hAnsi="仿宋_GB2312" w:eastAsia="仿宋_GB2312"/>
          <w:b w:val="0"/>
          <w:color w:val="000000"/>
          <w:sz w:val="32"/>
        </w:rPr>
        <w:t>周村不锈钢深加工制品包括：板材表面处理（8K镜面、油磨、拉丝、压瓦、雕花）、精密管材与管件、工业特种管件、医疗器械精密加工件、环保设备件、建筑装饰一体板等。新世纪不锈钢构建年加工70万吨体系，覆盖200/300/400系板管型材全流程金属定制加工；金润德专注不锈钢管道近二十年；万志达产品覆盖医疗、环保、化工设备高端领域（来源：大众网、企业资料）。</w:t>
      </w:r>
    </w:p>
    <w:p>
      <w:pPr>
        <w:spacing w:lineRule="exact" w:line="600" w:before="120" w:after="120"/>
        <w:ind w:firstLine="420"/>
        <w:jc w:val="left"/>
      </w:pPr>
      <w:r>
        <w:rPr>
          <w:rFonts w:ascii="楷体_GB2312" w:hAnsi="楷体_GB2312" w:eastAsia="楷体_GB2312"/>
          <w:b w:val="0"/>
          <w:color w:val="000000"/>
          <w:sz w:val="32"/>
        </w:rPr>
        <w:t>（二）上游原料与下游应用</w:t>
      </w:r>
    </w:p>
    <w:p>
      <w:pPr>
        <w:spacing w:lineRule="exact" w:line="600" w:before="0" w:after="0"/>
        <w:ind w:firstLine="420"/>
        <w:jc w:val="both"/>
      </w:pPr>
      <w:r>
        <w:rPr>
          <w:rFonts w:ascii="仿宋_GB2312" w:hAnsi="仿宋_GB2312" w:eastAsia="仿宋_GB2312"/>
          <w:b w:val="0"/>
          <w:color w:val="000000"/>
          <w:sz w:val="32"/>
        </w:rPr>
        <w:t>上游原料来自太钢、宝钢、青山、酒钢、浦项等十大钢厂，新世纪为太钢北方唯一核心代理、青山北方一级渠道，一手牵上游资源、一手建下游网络。下游应用辐射造纸机械、化工设备、食品机械、医疗器械、环保设备、建筑装饰等，并形成「贸易+加工+仓储+物流」全链条服务（来源：百度百科、大众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品类/产能</w:t>
            </w:r>
          </w:p>
        </w:tc>
        <w:tc>
          <w:tcPr>
            <w:tcW w:type="dxa" w:w="2551"/>
          </w:tcPr>
          <w:p>
            <w:pPr>
              <w:spacing w:lineRule="exact" w:line="600"/>
              <w:jc w:val="center"/>
            </w:pPr>
            <w:r/>
            <w:r>
              <w:rPr>
                <w:rFonts w:ascii="黑体" w:hAnsi="黑体" w:eastAsia="黑体"/>
                <w:b/>
                <w:color w:val="000000"/>
                <w:sz w:val="32"/>
              </w:rPr>
              <w:t>主体</w:t>
            </w:r>
          </w:p>
        </w:tc>
      </w:tr>
      <w:tr>
        <w:tc>
          <w:tcPr>
            <w:tcW w:type="dxa" w:w="2551"/>
          </w:tcPr>
          <w:p>
            <w:pPr>
              <w:spacing w:lineRule="exact" w:line="600"/>
              <w:jc w:val="center"/>
            </w:pPr>
            <w:r/>
            <w:r>
              <w:rPr>
                <w:rFonts w:ascii="仿宋_GB2312" w:hAnsi="仿宋_GB2312" w:eastAsia="仿宋_GB2312"/>
                <w:b w:val="0"/>
                <w:color w:val="000000"/>
                <w:sz w:val="32"/>
              </w:rPr>
              <w:t>表面处理</w:t>
            </w:r>
          </w:p>
        </w:tc>
        <w:tc>
          <w:tcPr>
            <w:tcW w:type="dxa" w:w="3402"/>
          </w:tcPr>
          <w:p>
            <w:pPr>
              <w:spacing w:lineRule="exact" w:line="600"/>
              <w:jc w:val="center"/>
            </w:pPr>
            <w:r/>
            <w:r>
              <w:rPr>
                <w:rFonts w:ascii="仿宋_GB2312" w:hAnsi="仿宋_GB2312" w:eastAsia="仿宋_GB2312"/>
                <w:b w:val="0"/>
                <w:color w:val="000000"/>
                <w:sz w:val="32"/>
              </w:rPr>
              <w:t>8K/油磨/拉丝/雕花</w:t>
            </w:r>
          </w:p>
        </w:tc>
        <w:tc>
          <w:tcPr>
            <w:tcW w:type="dxa" w:w="2551"/>
          </w:tcPr>
          <w:p>
            <w:pPr>
              <w:spacing w:lineRule="exact" w:line="600"/>
              <w:jc w:val="center"/>
            </w:pPr>
            <w:r/>
            <w:r>
              <w:rPr>
                <w:rFonts w:ascii="仿宋_GB2312" w:hAnsi="仿宋_GB2312" w:eastAsia="仿宋_GB2312"/>
                <w:b w:val="0"/>
                <w:color w:val="000000"/>
                <w:sz w:val="32"/>
              </w:rPr>
              <w:t>加工企业</w:t>
            </w:r>
          </w:p>
        </w:tc>
      </w:tr>
      <w:tr>
        <w:tc>
          <w:tcPr>
            <w:tcW w:type="dxa" w:w="2551"/>
          </w:tcPr>
          <w:p>
            <w:pPr>
              <w:spacing w:lineRule="exact" w:line="600"/>
              <w:jc w:val="center"/>
            </w:pPr>
            <w:r/>
            <w:r>
              <w:rPr>
                <w:rFonts w:ascii="仿宋_GB2312" w:hAnsi="仿宋_GB2312" w:eastAsia="仿宋_GB2312"/>
                <w:b w:val="0"/>
                <w:color w:val="000000"/>
                <w:sz w:val="32"/>
              </w:rPr>
              <w:t>精密管材</w:t>
            </w:r>
          </w:p>
        </w:tc>
        <w:tc>
          <w:tcPr>
            <w:tcW w:type="dxa" w:w="3402"/>
          </w:tcPr>
          <w:p>
            <w:pPr>
              <w:spacing w:lineRule="exact" w:line="600"/>
              <w:jc w:val="center"/>
            </w:pPr>
            <w:r/>
            <w:r>
              <w:rPr>
                <w:rFonts w:ascii="仿宋_GB2312" w:hAnsi="仿宋_GB2312" w:eastAsia="仿宋_GB2312"/>
                <w:b w:val="0"/>
                <w:color w:val="000000"/>
                <w:sz w:val="32"/>
              </w:rPr>
              <w:t>工业特种管件</w:t>
            </w:r>
          </w:p>
        </w:tc>
        <w:tc>
          <w:tcPr>
            <w:tcW w:type="dxa" w:w="2551"/>
          </w:tcPr>
          <w:p>
            <w:pPr>
              <w:spacing w:lineRule="exact" w:line="600"/>
              <w:jc w:val="center"/>
            </w:pPr>
            <w:r/>
            <w:r>
              <w:rPr>
                <w:rFonts w:ascii="仿宋_GB2312" w:hAnsi="仿宋_GB2312" w:eastAsia="仿宋_GB2312"/>
                <w:b w:val="0"/>
                <w:color w:val="000000"/>
                <w:sz w:val="32"/>
              </w:rPr>
              <w:t>金润德</w:t>
            </w:r>
          </w:p>
        </w:tc>
      </w:tr>
      <w:tr>
        <w:tc>
          <w:tcPr>
            <w:tcW w:type="dxa" w:w="2551"/>
          </w:tcPr>
          <w:p>
            <w:pPr>
              <w:spacing w:lineRule="exact" w:line="600"/>
              <w:jc w:val="center"/>
            </w:pPr>
            <w:r/>
            <w:r>
              <w:rPr>
                <w:rFonts w:ascii="仿宋_GB2312" w:hAnsi="仿宋_GB2312" w:eastAsia="仿宋_GB2312"/>
                <w:b w:val="0"/>
                <w:color w:val="000000"/>
                <w:sz w:val="32"/>
              </w:rPr>
              <w:t>医疗精密件</w:t>
            </w:r>
          </w:p>
        </w:tc>
        <w:tc>
          <w:tcPr>
            <w:tcW w:type="dxa" w:w="3402"/>
          </w:tcPr>
          <w:p>
            <w:pPr>
              <w:spacing w:lineRule="exact" w:line="600"/>
              <w:jc w:val="center"/>
            </w:pPr>
            <w:r/>
            <w:r>
              <w:rPr>
                <w:rFonts w:ascii="仿宋_GB2312" w:hAnsi="仿宋_GB2312" w:eastAsia="仿宋_GB2312"/>
                <w:b w:val="0"/>
                <w:color w:val="000000"/>
                <w:sz w:val="32"/>
              </w:rPr>
              <w:t>年产20万吨项目</w:t>
            </w:r>
          </w:p>
        </w:tc>
        <w:tc>
          <w:tcPr>
            <w:tcW w:type="dxa" w:w="2551"/>
          </w:tcPr>
          <w:p>
            <w:pPr>
              <w:spacing w:lineRule="exact" w:line="600"/>
              <w:jc w:val="center"/>
            </w:pPr>
            <w:r/>
            <w:r>
              <w:rPr>
                <w:rFonts w:ascii="仿宋_GB2312" w:hAnsi="仿宋_GB2312" w:eastAsia="仿宋_GB2312"/>
                <w:b w:val="0"/>
                <w:color w:val="000000"/>
                <w:sz w:val="32"/>
              </w:rPr>
              <w:t>万志达</w:t>
            </w:r>
          </w:p>
        </w:tc>
      </w:tr>
      <w:tr>
        <w:tc>
          <w:tcPr>
            <w:tcW w:type="dxa" w:w="2551"/>
          </w:tcPr>
          <w:p>
            <w:pPr>
              <w:spacing w:lineRule="exact" w:line="600"/>
              <w:jc w:val="center"/>
            </w:pPr>
            <w:r/>
            <w:r>
              <w:rPr>
                <w:rFonts w:ascii="仿宋_GB2312" w:hAnsi="仿宋_GB2312" w:eastAsia="仿宋_GB2312"/>
                <w:b w:val="0"/>
                <w:color w:val="000000"/>
                <w:sz w:val="32"/>
              </w:rPr>
              <w:t>加工总能力</w:t>
            </w:r>
          </w:p>
        </w:tc>
        <w:tc>
          <w:tcPr>
            <w:tcW w:type="dxa" w:w="3402"/>
          </w:tcPr>
          <w:p>
            <w:pPr>
              <w:spacing w:lineRule="exact" w:line="600"/>
              <w:jc w:val="center"/>
            </w:pPr>
            <w:r/>
            <w:r>
              <w:rPr>
                <w:rFonts w:ascii="仿宋_GB2312" w:hAnsi="仿宋_GB2312" w:eastAsia="仿宋_GB2312"/>
                <w:b w:val="0"/>
                <w:color w:val="000000"/>
                <w:sz w:val="32"/>
              </w:rPr>
              <w:t>年70万吨</w:t>
            </w:r>
          </w:p>
        </w:tc>
        <w:tc>
          <w:tcPr>
            <w:tcW w:type="dxa" w:w="2551"/>
          </w:tcPr>
          <w:p>
            <w:pPr>
              <w:spacing w:lineRule="exact" w:line="600"/>
              <w:jc w:val="center"/>
            </w:pPr>
            <w:r/>
            <w:r>
              <w:rPr>
                <w:rFonts w:ascii="仿宋_GB2312" w:hAnsi="仿宋_GB2312" w:eastAsia="仿宋_GB2312"/>
                <w:b w:val="0"/>
                <w:color w:val="000000"/>
                <w:sz w:val="32"/>
              </w:rPr>
              <w:t>新世纪</w:t>
            </w:r>
          </w:p>
        </w:tc>
      </w:tr>
      <w:tr>
        <w:tc>
          <w:tcPr>
            <w:tcW w:type="dxa" w:w="2551"/>
          </w:tcPr>
          <w:p>
            <w:pPr>
              <w:spacing w:lineRule="exact" w:line="600"/>
              <w:jc w:val="center"/>
            </w:pPr>
            <w:r/>
            <w:r>
              <w:rPr>
                <w:rFonts w:ascii="仿宋_GB2312" w:hAnsi="仿宋_GB2312" w:eastAsia="仿宋_GB2312"/>
                <w:b w:val="0"/>
                <w:color w:val="000000"/>
                <w:sz w:val="32"/>
              </w:rPr>
              <w:t>下游应用</w:t>
            </w:r>
          </w:p>
        </w:tc>
        <w:tc>
          <w:tcPr>
            <w:tcW w:type="dxa" w:w="3402"/>
          </w:tcPr>
          <w:p>
            <w:pPr>
              <w:spacing w:lineRule="exact" w:line="600"/>
              <w:jc w:val="center"/>
            </w:pPr>
            <w:r/>
            <w:r>
              <w:rPr>
                <w:rFonts w:ascii="仿宋_GB2312" w:hAnsi="仿宋_GB2312" w:eastAsia="仿宋_GB2312"/>
                <w:b w:val="0"/>
                <w:color w:val="000000"/>
                <w:sz w:val="32"/>
              </w:rPr>
              <w:t>医疗/环保/化工等</w:t>
            </w:r>
          </w:p>
        </w:tc>
        <w:tc>
          <w:tcPr>
            <w:tcW w:type="dxa" w:w="2551"/>
          </w:tcPr>
          <w:p>
            <w:pPr>
              <w:spacing w:lineRule="exact" w:line="600"/>
              <w:jc w:val="center"/>
            </w:pPr>
            <w:r/>
            <w:r>
              <w:rPr>
                <w:rFonts w:ascii="仿宋_GB2312" w:hAnsi="仿宋_GB2312" w:eastAsia="仿宋_GB2312"/>
                <w:b w:val="0"/>
                <w:color w:val="000000"/>
                <w:sz w:val="32"/>
              </w:rPr>
              <w:t>多行业</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（一）市场规模与需求</w:t>
      </w:r>
    </w:p>
    <w:p>
      <w:pPr>
        <w:spacing w:lineRule="exact" w:line="600" w:before="0" w:after="0"/>
        <w:ind w:firstLine="420"/>
        <w:jc w:val="both"/>
      </w:pPr>
      <w:r>
        <w:rPr>
          <w:rFonts w:ascii="仿宋_GB2312" w:hAnsi="仿宋_GB2312" w:eastAsia="仿宋_GB2312"/>
          <w:b w:val="0"/>
          <w:color w:val="000000"/>
          <w:sz w:val="32"/>
        </w:rPr>
        <w:t>周村不锈钢2025年交易额突破600亿元，南郊镇300家企业创造超200亿元交易额，服务不锈钢消费企业2500余家。下游医疗、环保、新能源装备对高端不锈钢精密件需求增长，万志达成为中车、新华医疗等设备供应商，订单逆势增长。行业共性研判：传统板材贸易需求平稳，高端精密制品需求快增（来源：经济日报、大众网）。</w:t>
      </w:r>
    </w:p>
    <w:p>
      <w:pPr>
        <w:spacing w:lineRule="exact" w:line="600" w:before="120" w:after="120"/>
        <w:ind w:firstLine="420"/>
        <w:jc w:val="left"/>
      </w:pPr>
      <w:r>
        <w:rPr>
          <w:rFonts w:ascii="楷体_GB2312" w:hAnsi="楷体_GB2312" w:eastAsia="楷体_GB2312"/>
          <w:b w:val="0"/>
          <w:color w:val="000000"/>
          <w:sz w:val="32"/>
        </w:rPr>
        <w:t>（二）竞争格局与突围</w:t>
      </w:r>
    </w:p>
    <w:p>
      <w:pPr>
        <w:spacing w:lineRule="exact" w:line="600" w:before="0" w:after="0"/>
        <w:ind w:firstLine="420"/>
        <w:jc w:val="both"/>
      </w:pPr>
      <w:r>
        <w:rPr>
          <w:rFonts w:ascii="仿宋_GB2312" w:hAnsi="仿宋_GB2312" w:eastAsia="仿宋_GB2312"/>
          <w:b w:val="0"/>
          <w:color w:val="000000"/>
          <w:sz w:val="32"/>
        </w:rPr>
        <w:t>低端深加工同质竞争激烈，龙头企业以技术与合作突围：金润德与全球流体输送领军玫德集团达成战略合作，巩固国内不锈钢工业特种管件技术优势；青志达（万志达+青山控股）将刹车制动管由普铁客车延伸至高铁动车组领域；万志达二期高端装备制造项目新增研发投入深耕刹车制动管。差异化与高端化成为竞争主轴（来源：经济日报、大众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主体</w:t>
            </w:r>
          </w:p>
        </w:tc>
      </w:tr>
      <w:tr>
        <w:tc>
          <w:tcPr>
            <w:tcW w:type="dxa" w:w="2551"/>
          </w:tcPr>
          <w:p>
            <w:pPr>
              <w:spacing w:lineRule="exact" w:line="600"/>
              <w:jc w:val="center"/>
            </w:pPr>
            <w:r/>
            <w:r>
              <w:rPr>
                <w:rFonts w:ascii="仿宋_GB2312" w:hAnsi="仿宋_GB2312" w:eastAsia="仿宋_GB2312"/>
                <w:b w:val="0"/>
                <w:color w:val="000000"/>
                <w:sz w:val="32"/>
              </w:rPr>
              <w:t>交易额</w:t>
            </w:r>
          </w:p>
        </w:tc>
        <w:tc>
          <w:tcPr>
            <w:tcW w:type="dxa" w:w="3402"/>
          </w:tcPr>
          <w:p>
            <w:pPr>
              <w:spacing w:lineRule="exact" w:line="600"/>
              <w:jc w:val="center"/>
            </w:pPr>
            <w:r/>
            <w:r>
              <w:rPr>
                <w:rFonts w:ascii="仿宋_GB2312" w:hAnsi="仿宋_GB2312" w:eastAsia="仿宋_GB2312"/>
                <w:b w:val="0"/>
                <w:color w:val="000000"/>
                <w:sz w:val="32"/>
              </w:rPr>
              <w:t>600亿元（2025）</w:t>
            </w:r>
          </w:p>
        </w:tc>
        <w:tc>
          <w:tcPr>
            <w:tcW w:type="dxa" w:w="2551"/>
          </w:tcPr>
          <w:p>
            <w:pPr>
              <w:spacing w:lineRule="exact" w:line="600"/>
              <w:jc w:val="center"/>
            </w:pPr>
            <w:r/>
            <w:r>
              <w:rPr>
                <w:rFonts w:ascii="仿宋_GB2312" w:hAnsi="仿宋_GB2312" w:eastAsia="仿宋_GB2312"/>
                <w:b w:val="0"/>
                <w:color w:val="000000"/>
                <w:sz w:val="32"/>
              </w:rPr>
              <w:t>周村区</w:t>
            </w:r>
          </w:p>
        </w:tc>
      </w:tr>
      <w:tr>
        <w:tc>
          <w:tcPr>
            <w:tcW w:type="dxa" w:w="2551"/>
          </w:tcPr>
          <w:p>
            <w:pPr>
              <w:spacing w:lineRule="exact" w:line="600"/>
              <w:jc w:val="center"/>
            </w:pPr>
            <w:r/>
            <w:r>
              <w:rPr>
                <w:rFonts w:ascii="仿宋_GB2312" w:hAnsi="仿宋_GB2312" w:eastAsia="仿宋_GB2312"/>
                <w:b w:val="0"/>
                <w:color w:val="000000"/>
                <w:sz w:val="32"/>
              </w:rPr>
              <w:t>南郊镇</w:t>
            </w:r>
          </w:p>
        </w:tc>
        <w:tc>
          <w:tcPr>
            <w:tcW w:type="dxa" w:w="3402"/>
          </w:tcPr>
          <w:p>
            <w:pPr>
              <w:spacing w:lineRule="exact" w:line="600"/>
              <w:jc w:val="center"/>
            </w:pPr>
            <w:r/>
            <w:r>
              <w:rPr>
                <w:rFonts w:ascii="仿宋_GB2312" w:hAnsi="仿宋_GB2312" w:eastAsia="仿宋_GB2312"/>
                <w:b w:val="0"/>
                <w:color w:val="000000"/>
                <w:sz w:val="32"/>
              </w:rPr>
              <w:t>超200亿元</w:t>
            </w:r>
          </w:p>
        </w:tc>
        <w:tc>
          <w:tcPr>
            <w:tcW w:type="dxa" w:w="2551"/>
          </w:tcPr>
          <w:p>
            <w:pPr>
              <w:spacing w:lineRule="exact" w:line="600"/>
              <w:jc w:val="center"/>
            </w:pPr>
            <w:r/>
            <w:r>
              <w:rPr>
                <w:rFonts w:ascii="仿宋_GB2312" w:hAnsi="仿宋_GB2312" w:eastAsia="仿宋_GB2312"/>
                <w:b w:val="0"/>
                <w:color w:val="000000"/>
                <w:sz w:val="32"/>
              </w:rPr>
              <w:t>大众网</w:t>
            </w:r>
          </w:p>
        </w:tc>
      </w:tr>
      <w:tr>
        <w:tc>
          <w:tcPr>
            <w:tcW w:type="dxa" w:w="2551"/>
          </w:tcPr>
          <w:p>
            <w:pPr>
              <w:spacing w:lineRule="exact" w:line="600"/>
              <w:jc w:val="center"/>
            </w:pPr>
            <w:r/>
            <w:r>
              <w:rPr>
                <w:rFonts w:ascii="仿宋_GB2312" w:hAnsi="仿宋_GB2312" w:eastAsia="仿宋_GB2312"/>
                <w:b w:val="0"/>
                <w:color w:val="000000"/>
                <w:sz w:val="32"/>
              </w:rPr>
              <w:t>高端合作</w:t>
            </w:r>
          </w:p>
        </w:tc>
        <w:tc>
          <w:tcPr>
            <w:tcW w:type="dxa" w:w="3402"/>
          </w:tcPr>
          <w:p>
            <w:pPr>
              <w:spacing w:lineRule="exact" w:line="600"/>
              <w:jc w:val="center"/>
            </w:pPr>
            <w:r/>
            <w:r>
              <w:rPr>
                <w:rFonts w:ascii="仿宋_GB2312" w:hAnsi="仿宋_GB2312" w:eastAsia="仿宋_GB2312"/>
                <w:b w:val="0"/>
                <w:color w:val="000000"/>
                <w:sz w:val="32"/>
              </w:rPr>
              <w:t>金润德+玫德</w:t>
            </w:r>
          </w:p>
        </w:tc>
        <w:tc>
          <w:tcPr>
            <w:tcW w:type="dxa" w:w="2551"/>
          </w:tcPr>
          <w:p>
            <w:pPr>
              <w:spacing w:lineRule="exact" w:line="600"/>
              <w:jc w:val="center"/>
            </w:pPr>
            <w:r/>
            <w:r>
              <w:rPr>
                <w:rFonts w:ascii="仿宋_GB2312" w:hAnsi="仿宋_GB2312" w:eastAsia="仿宋_GB2312"/>
                <w:b w:val="0"/>
                <w:color w:val="000000"/>
                <w:sz w:val="32"/>
              </w:rPr>
              <w:t>管件</w:t>
            </w:r>
          </w:p>
        </w:tc>
      </w:tr>
      <w:tr>
        <w:tc>
          <w:tcPr>
            <w:tcW w:type="dxa" w:w="2551"/>
          </w:tcPr>
          <w:p>
            <w:pPr>
              <w:spacing w:lineRule="exact" w:line="600"/>
              <w:jc w:val="center"/>
            </w:pPr>
            <w:r/>
            <w:r>
              <w:rPr>
                <w:rFonts w:ascii="仿宋_GB2312" w:hAnsi="仿宋_GB2312" w:eastAsia="仿宋_GB2312"/>
                <w:b w:val="0"/>
                <w:color w:val="000000"/>
                <w:sz w:val="32"/>
              </w:rPr>
              <w:t>高铁延伸</w:t>
            </w:r>
          </w:p>
        </w:tc>
        <w:tc>
          <w:tcPr>
            <w:tcW w:type="dxa" w:w="3402"/>
          </w:tcPr>
          <w:p>
            <w:pPr>
              <w:spacing w:lineRule="exact" w:line="600"/>
              <w:jc w:val="center"/>
            </w:pPr>
            <w:r/>
            <w:r>
              <w:rPr>
                <w:rFonts w:ascii="仿宋_GB2312" w:hAnsi="仿宋_GB2312" w:eastAsia="仿宋_GB2312"/>
                <w:b w:val="0"/>
                <w:color w:val="000000"/>
                <w:sz w:val="32"/>
              </w:rPr>
              <w:t>青志达制动管</w:t>
            </w:r>
          </w:p>
        </w:tc>
        <w:tc>
          <w:tcPr>
            <w:tcW w:type="dxa" w:w="2551"/>
          </w:tcPr>
          <w:p>
            <w:pPr>
              <w:spacing w:lineRule="exact" w:line="600"/>
              <w:jc w:val="center"/>
            </w:pPr>
            <w:r/>
            <w:r>
              <w:rPr>
                <w:rFonts w:ascii="仿宋_GB2312" w:hAnsi="仿宋_GB2312" w:eastAsia="仿宋_GB2312"/>
                <w:b w:val="0"/>
                <w:color w:val="000000"/>
                <w:sz w:val="32"/>
              </w:rPr>
              <w:t>万志达</w:t>
            </w:r>
          </w:p>
        </w:tc>
      </w:tr>
      <w:tr>
        <w:tc>
          <w:tcPr>
            <w:tcW w:type="dxa" w:w="2551"/>
          </w:tcPr>
          <w:p>
            <w:pPr>
              <w:spacing w:lineRule="exact" w:line="600"/>
              <w:jc w:val="center"/>
            </w:pPr>
            <w:r/>
            <w:r>
              <w:rPr>
                <w:rFonts w:ascii="仿宋_GB2312" w:hAnsi="仿宋_GB2312" w:eastAsia="仿宋_GB2312"/>
                <w:b w:val="0"/>
                <w:color w:val="000000"/>
                <w:sz w:val="32"/>
              </w:rPr>
              <w:t>竞争</w:t>
            </w:r>
          </w:p>
        </w:tc>
        <w:tc>
          <w:tcPr>
            <w:tcW w:type="dxa" w:w="3402"/>
          </w:tcPr>
          <w:p>
            <w:pPr>
              <w:spacing w:lineRule="exact" w:line="600"/>
              <w:jc w:val="center"/>
            </w:pPr>
            <w:r/>
            <w:r>
              <w:rPr>
                <w:rFonts w:ascii="仿宋_GB2312" w:hAnsi="仿宋_GB2312" w:eastAsia="仿宋_GB2312"/>
                <w:b w:val="0"/>
                <w:color w:val="000000"/>
                <w:sz w:val="32"/>
              </w:rPr>
              <w:t>低端红海→高端</w:t>
            </w:r>
          </w:p>
        </w:tc>
        <w:tc>
          <w:tcPr>
            <w:tcW w:type="dxa" w:w="2551"/>
          </w:tcPr>
          <w:p>
            <w:pPr>
              <w:spacing w:lineRule="exact" w:line="600"/>
              <w:jc w:val="center"/>
            </w:pPr>
            <w:r/>
            <w:r>
              <w:rPr>
                <w:rFonts w:ascii="仿宋_GB2312" w:hAnsi="仿宋_GB2312" w:eastAsia="仿宋_GB2312"/>
                <w:b w:val="0"/>
                <w:color w:val="000000"/>
                <w:sz w:val="32"/>
              </w:rPr>
              <w:t>行业</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（一）企业梯队与龙头</w:t>
      </w:r>
    </w:p>
    <w:p>
      <w:pPr>
        <w:spacing w:lineRule="exact" w:line="600" w:before="0" w:after="0"/>
        <w:ind w:firstLine="420"/>
        <w:jc w:val="both"/>
      </w:pPr>
      <w:r>
        <w:rPr>
          <w:rFonts w:ascii="仿宋_GB2312" w:hAnsi="仿宋_GB2312" w:eastAsia="仿宋_GB2312"/>
          <w:b w:val="0"/>
          <w:color w:val="000000"/>
          <w:sz w:val="32"/>
        </w:rPr>
        <w:t>周村不锈钢深加工形成以新世纪（贸易加工龙头）、金润德（工业管件单项冠军）、万志达/青志达（精密制造）、伟业（绿色建材）、世纪正华（新材料精细加工）为代表的梯队。规上企业116家，其中国家专精特新「小巨人」、省制造业单项冠军等优质企业集聚。金润德为国家专精特新小巨人、省制造业单项冠军；万志达为中国中车、新华医疗供应商（来源：经济日报、大众网）。</w:t>
      </w:r>
    </w:p>
    <w:p>
      <w:pPr>
        <w:spacing w:lineRule="exact" w:line="600" w:before="120" w:after="120"/>
        <w:ind w:firstLine="420"/>
        <w:jc w:val="left"/>
      </w:pPr>
      <w:r>
        <w:rPr>
          <w:rFonts w:ascii="楷体_GB2312" w:hAnsi="楷体_GB2312" w:eastAsia="楷体_GB2312"/>
          <w:b w:val="0"/>
          <w:color w:val="000000"/>
          <w:sz w:val="32"/>
        </w:rPr>
        <w:t>（二）产业园与项目载体</w:t>
      </w:r>
    </w:p>
    <w:p>
      <w:pPr>
        <w:spacing w:lineRule="exact" w:line="600" w:before="0" w:after="0"/>
        <w:ind w:firstLine="420"/>
        <w:jc w:val="both"/>
      </w:pPr>
      <w:r>
        <w:rPr>
          <w:rFonts w:ascii="仿宋_GB2312" w:hAnsi="仿宋_GB2312" w:eastAsia="仿宋_GB2312"/>
          <w:b w:val="0"/>
          <w:color w:val="000000"/>
          <w:sz w:val="32"/>
        </w:rPr>
        <w:t>新优特装备制造产业园（75亩、5万㎡）孵化准专精特新不锈钢装备企业；万志达2022年投资3.05亿元建不锈钢医疗器械加工制造及智慧管理平台项目（获评省市重点），形成年产20万吨加工能力；二期高端装备制造项目计划新增300余万元研发投入深耕刹车制动管。园区「闭环赋能、互为上下游」共生（来源：大众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企业/园区</w:t>
            </w:r>
          </w:p>
        </w:tc>
        <w:tc>
          <w:tcPr>
            <w:tcW w:type="dxa" w:w="3118"/>
          </w:tcPr>
          <w:p>
            <w:pPr>
              <w:spacing w:lineRule="exact" w:line="600"/>
              <w:jc w:val="center"/>
            </w:pPr>
            <w:r/>
            <w:r>
              <w:rPr>
                <w:rFonts w:ascii="黑体" w:hAnsi="黑体" w:eastAsia="黑体"/>
                <w:b/>
                <w:color w:val="000000"/>
                <w:sz w:val="32"/>
              </w:rPr>
              <w:t>能级/规模</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新世纪</w:t>
            </w:r>
          </w:p>
        </w:tc>
        <w:tc>
          <w:tcPr>
            <w:tcW w:type="dxa" w:w="3118"/>
          </w:tcPr>
          <w:p>
            <w:pPr>
              <w:spacing w:lineRule="exact" w:line="600"/>
              <w:jc w:val="center"/>
            </w:pPr>
            <w:r/>
            <w:r>
              <w:rPr>
                <w:rFonts w:ascii="仿宋_GB2312" w:hAnsi="仿宋_GB2312" w:eastAsia="仿宋_GB2312"/>
                <w:b w:val="0"/>
                <w:color w:val="000000"/>
                <w:sz w:val="32"/>
              </w:rPr>
              <w:t>年加工70万吨</w:t>
            </w:r>
          </w:p>
        </w:tc>
        <w:tc>
          <w:tcPr>
            <w:tcW w:type="dxa" w:w="2551"/>
          </w:tcPr>
          <w:p>
            <w:pPr>
              <w:spacing w:lineRule="exact" w:line="600"/>
              <w:jc w:val="center"/>
            </w:pPr>
            <w:r/>
            <w:r>
              <w:rPr>
                <w:rFonts w:ascii="仿宋_GB2312" w:hAnsi="仿宋_GB2312" w:eastAsia="仿宋_GB2312"/>
                <w:b w:val="0"/>
                <w:color w:val="000000"/>
                <w:sz w:val="32"/>
              </w:rPr>
              <w:t>百度百科</w:t>
            </w:r>
          </w:p>
        </w:tc>
      </w:tr>
      <w:tr>
        <w:tc>
          <w:tcPr>
            <w:tcW w:type="dxa" w:w="2835"/>
          </w:tcPr>
          <w:p>
            <w:pPr>
              <w:spacing w:lineRule="exact" w:line="600"/>
              <w:jc w:val="center"/>
            </w:pPr>
            <w:r/>
            <w:r>
              <w:rPr>
                <w:rFonts w:ascii="仿宋_GB2312" w:hAnsi="仿宋_GB2312" w:eastAsia="仿宋_GB2312"/>
                <w:b w:val="0"/>
                <w:color w:val="000000"/>
                <w:sz w:val="32"/>
              </w:rPr>
              <w:t>金润德</w:t>
            </w:r>
          </w:p>
        </w:tc>
        <w:tc>
          <w:tcPr>
            <w:tcW w:type="dxa" w:w="3118"/>
          </w:tcPr>
          <w:p>
            <w:pPr>
              <w:spacing w:lineRule="exact" w:line="600"/>
              <w:jc w:val="center"/>
            </w:pPr>
            <w:r/>
            <w:r>
              <w:rPr>
                <w:rFonts w:ascii="仿宋_GB2312" w:hAnsi="仿宋_GB2312" w:eastAsia="仿宋_GB2312"/>
                <w:b w:val="0"/>
                <w:color w:val="000000"/>
                <w:sz w:val="32"/>
              </w:rPr>
              <w:t>国家小巨人/省单项冠军</w:t>
            </w:r>
          </w:p>
        </w:tc>
        <w:tc>
          <w:tcPr>
            <w:tcW w:type="dxa" w:w="2551"/>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万志达</w:t>
            </w:r>
          </w:p>
        </w:tc>
        <w:tc>
          <w:tcPr>
            <w:tcW w:type="dxa" w:w="3118"/>
          </w:tcPr>
          <w:p>
            <w:pPr>
              <w:spacing w:lineRule="exact" w:line="600"/>
              <w:jc w:val="center"/>
            </w:pPr>
            <w:r/>
            <w:r>
              <w:rPr>
                <w:rFonts w:ascii="仿宋_GB2312" w:hAnsi="仿宋_GB2312" w:eastAsia="仿宋_GB2312"/>
                <w:b w:val="0"/>
                <w:color w:val="000000"/>
                <w:sz w:val="32"/>
              </w:rPr>
              <w:t>3.05亿项目/20万吨</w:t>
            </w:r>
          </w:p>
        </w:tc>
        <w:tc>
          <w:tcPr>
            <w:tcW w:type="dxa" w:w="2551"/>
          </w:tcPr>
          <w:p>
            <w:pPr>
              <w:spacing w:lineRule="exact" w:line="600"/>
              <w:jc w:val="center"/>
            </w:pPr>
            <w:r/>
            <w:r>
              <w:rPr>
                <w:rFonts w:ascii="仿宋_GB2312" w:hAnsi="仿宋_GB2312" w:eastAsia="仿宋_GB2312"/>
                <w:b w:val="0"/>
                <w:color w:val="000000"/>
                <w:sz w:val="32"/>
              </w:rPr>
              <w:t>大众网</w:t>
            </w:r>
          </w:p>
        </w:tc>
      </w:tr>
      <w:tr>
        <w:tc>
          <w:tcPr>
            <w:tcW w:type="dxa" w:w="2835"/>
          </w:tcPr>
          <w:p>
            <w:pPr>
              <w:spacing w:lineRule="exact" w:line="600"/>
              <w:jc w:val="center"/>
            </w:pPr>
            <w:r/>
            <w:r>
              <w:rPr>
                <w:rFonts w:ascii="仿宋_GB2312" w:hAnsi="仿宋_GB2312" w:eastAsia="仿宋_GB2312"/>
                <w:b w:val="0"/>
                <w:color w:val="000000"/>
                <w:sz w:val="32"/>
              </w:rPr>
              <w:t>新优特园</w:t>
            </w:r>
          </w:p>
        </w:tc>
        <w:tc>
          <w:tcPr>
            <w:tcW w:type="dxa" w:w="3118"/>
          </w:tcPr>
          <w:p>
            <w:pPr>
              <w:spacing w:lineRule="exact" w:line="600"/>
              <w:jc w:val="center"/>
            </w:pPr>
            <w:r/>
            <w:r>
              <w:rPr>
                <w:rFonts w:ascii="仿宋_GB2312" w:hAnsi="仿宋_GB2312" w:eastAsia="仿宋_GB2312"/>
                <w:b w:val="0"/>
                <w:color w:val="000000"/>
                <w:sz w:val="32"/>
              </w:rPr>
              <w:t>75亩/5万㎡</w:t>
            </w:r>
          </w:p>
        </w:tc>
        <w:tc>
          <w:tcPr>
            <w:tcW w:type="dxa" w:w="2551"/>
          </w:tcPr>
          <w:p>
            <w:pPr>
              <w:spacing w:lineRule="exact" w:line="600"/>
              <w:jc w:val="center"/>
            </w:pPr>
            <w:r/>
            <w:r>
              <w:rPr>
                <w:rFonts w:ascii="仿宋_GB2312" w:hAnsi="仿宋_GB2312" w:eastAsia="仿宋_GB2312"/>
                <w:b w:val="0"/>
                <w:color w:val="000000"/>
                <w:sz w:val="32"/>
              </w:rPr>
              <w:t>大众网</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3118"/>
          </w:tcPr>
          <w:p>
            <w:pPr>
              <w:spacing w:lineRule="exact" w:line="600"/>
              <w:jc w:val="center"/>
            </w:pPr>
            <w:r/>
            <w:r>
              <w:rPr>
                <w:rFonts w:ascii="仿宋_GB2312" w:hAnsi="仿宋_GB2312" w:eastAsia="仿宋_GB2312"/>
                <w:b w:val="0"/>
                <w:color w:val="000000"/>
                <w:sz w:val="32"/>
              </w:rPr>
              <w:t>116家</w:t>
            </w:r>
          </w:p>
        </w:tc>
        <w:tc>
          <w:tcPr>
            <w:tcW w:type="dxa" w:w="2551"/>
          </w:tcPr>
          <w:p>
            <w:pPr>
              <w:spacing w:lineRule="exact" w:line="600"/>
              <w:jc w:val="center"/>
            </w:pPr>
            <w:r/>
            <w:r>
              <w:rPr>
                <w:rFonts w:ascii="仿宋_GB2312" w:hAnsi="仿宋_GB2312" w:eastAsia="仿宋_GB2312"/>
                <w:b w:val="0"/>
                <w:color w:val="000000"/>
                <w:sz w:val="32"/>
              </w:rPr>
              <w:t>2025</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（一）高端装备与工艺</w:t>
      </w:r>
    </w:p>
    <w:p>
      <w:pPr>
        <w:spacing w:lineRule="exact" w:line="600" w:before="0" w:after="0"/>
        <w:ind w:firstLine="420"/>
        <w:jc w:val="both"/>
      </w:pPr>
      <w:r>
        <w:rPr>
          <w:rFonts w:ascii="仿宋_GB2312" w:hAnsi="仿宋_GB2312" w:eastAsia="仿宋_GB2312"/>
          <w:b w:val="0"/>
          <w:color w:val="000000"/>
          <w:sz w:val="32"/>
        </w:rPr>
        <w:t>周村引进全球首台套4万瓦大幅面坡口激光、荷兰砂霸油磨、意大利意玛斯8K镜面、德国金方园精密数控等设备，打造全流程金属定制加工能力。万志达医疗器械项目投用光纤激光切割机、自动焊接机器人、数控折弯中心等智能化设备，形成年产20万吨加工能力，填补国内医疗器械精密加工件空白（来源：大众网、企业资料）。</w:t>
      </w:r>
    </w:p>
    <w:p>
      <w:pPr>
        <w:spacing w:lineRule="exact" w:line="600" w:before="120" w:after="120"/>
        <w:ind w:firstLine="420"/>
        <w:jc w:val="left"/>
      </w:pPr>
      <w:r>
        <w:rPr>
          <w:rFonts w:ascii="楷体_GB2312" w:hAnsi="楷体_GB2312" w:eastAsia="楷体_GB2312"/>
          <w:b w:val="0"/>
          <w:color w:val="000000"/>
          <w:sz w:val="32"/>
        </w:rPr>
        <w:t>（二）技术合作与研发</w:t>
      </w:r>
    </w:p>
    <w:p>
      <w:pPr>
        <w:spacing w:lineRule="exact" w:line="600" w:before="0" w:after="0"/>
        <w:ind w:firstLine="420"/>
        <w:jc w:val="both"/>
      </w:pPr>
      <w:r>
        <w:rPr>
          <w:rFonts w:ascii="仿宋_GB2312" w:hAnsi="仿宋_GB2312" w:eastAsia="仿宋_GB2312"/>
          <w:b w:val="0"/>
          <w:color w:val="000000"/>
          <w:sz w:val="32"/>
        </w:rPr>
        <w:t>金润德深耕不锈钢管道近二十年，与玫德集团（百余项国家/行业标准起草单位、销售网络覆盖140余国）合作，借力资源与渠道巩固技术领先。青志达依托青山控股研发生产，谋求高铁动车组高标准制动管。万志达二期新增研发投入深耕高端不锈钢制造。行业共性研判：研发与产学研合作是高端化底座（来源：经济日报、大众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技术/装备</w:t>
            </w:r>
          </w:p>
        </w:tc>
        <w:tc>
          <w:tcPr>
            <w:tcW w:type="dxa" w:w="3118"/>
          </w:tcPr>
          <w:p>
            <w:pPr>
              <w:spacing w:lineRule="exact" w:line="600"/>
              <w:jc w:val="center"/>
            </w:pPr>
            <w:r/>
            <w:r>
              <w:rPr>
                <w:rFonts w:ascii="黑体" w:hAnsi="黑体" w:eastAsia="黑体"/>
                <w:b/>
                <w:color w:val="000000"/>
                <w:sz w:val="32"/>
              </w:rPr>
              <w:t>参数/成果</w:t>
            </w:r>
          </w:p>
        </w:tc>
        <w:tc>
          <w:tcPr>
            <w:tcW w:type="dxa" w:w="2551"/>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4万瓦坡口激光</w:t>
            </w:r>
          </w:p>
        </w:tc>
        <w:tc>
          <w:tcPr>
            <w:tcW w:type="dxa" w:w="3118"/>
          </w:tcPr>
          <w:p>
            <w:pPr>
              <w:spacing w:lineRule="exact" w:line="600"/>
              <w:jc w:val="center"/>
            </w:pPr>
            <w:r/>
            <w:r>
              <w:rPr>
                <w:rFonts w:ascii="仿宋_GB2312" w:hAnsi="仿宋_GB2312" w:eastAsia="仿宋_GB2312"/>
                <w:b w:val="0"/>
                <w:color w:val="000000"/>
                <w:sz w:val="32"/>
              </w:rPr>
              <w:t>全球首台套</w:t>
            </w:r>
          </w:p>
        </w:tc>
        <w:tc>
          <w:tcPr>
            <w:tcW w:type="dxa" w:w="2551"/>
          </w:tcPr>
          <w:p>
            <w:pPr>
              <w:spacing w:lineRule="exact" w:line="600"/>
              <w:jc w:val="center"/>
            </w:pPr>
            <w:r/>
            <w:r>
              <w:rPr>
                <w:rFonts w:ascii="仿宋_GB2312" w:hAnsi="仿宋_GB2312" w:eastAsia="仿宋_GB2312"/>
                <w:b w:val="0"/>
                <w:color w:val="000000"/>
                <w:sz w:val="32"/>
              </w:rPr>
              <w:t>新世纪等</w:t>
            </w:r>
          </w:p>
        </w:tc>
      </w:tr>
      <w:tr>
        <w:tc>
          <w:tcPr>
            <w:tcW w:type="dxa" w:w="2835"/>
          </w:tcPr>
          <w:p>
            <w:pPr>
              <w:spacing w:lineRule="exact" w:line="600"/>
              <w:jc w:val="center"/>
            </w:pPr>
            <w:r/>
            <w:r>
              <w:rPr>
                <w:rFonts w:ascii="仿宋_GB2312" w:hAnsi="仿宋_GB2312" w:eastAsia="仿宋_GB2312"/>
                <w:b w:val="0"/>
                <w:color w:val="000000"/>
                <w:sz w:val="32"/>
              </w:rPr>
              <w:t>智能产线</w:t>
            </w:r>
          </w:p>
        </w:tc>
        <w:tc>
          <w:tcPr>
            <w:tcW w:type="dxa" w:w="3118"/>
          </w:tcPr>
          <w:p>
            <w:pPr>
              <w:spacing w:lineRule="exact" w:line="600"/>
              <w:jc w:val="center"/>
            </w:pPr>
            <w:r/>
            <w:r>
              <w:rPr>
                <w:rFonts w:ascii="仿宋_GB2312" w:hAnsi="仿宋_GB2312" w:eastAsia="仿宋_GB2312"/>
                <w:b w:val="0"/>
                <w:color w:val="000000"/>
                <w:sz w:val="32"/>
              </w:rPr>
              <w:t>激光/机器人/折弯</w:t>
            </w:r>
          </w:p>
        </w:tc>
        <w:tc>
          <w:tcPr>
            <w:tcW w:type="dxa" w:w="2551"/>
          </w:tcPr>
          <w:p>
            <w:pPr>
              <w:spacing w:lineRule="exact" w:line="600"/>
              <w:jc w:val="center"/>
            </w:pPr>
            <w:r/>
            <w:r>
              <w:rPr>
                <w:rFonts w:ascii="仿宋_GB2312" w:hAnsi="仿宋_GB2312" w:eastAsia="仿宋_GB2312"/>
                <w:b w:val="0"/>
                <w:color w:val="000000"/>
                <w:sz w:val="32"/>
              </w:rPr>
              <w:t>万志达</w:t>
            </w:r>
          </w:p>
        </w:tc>
      </w:tr>
      <w:tr>
        <w:tc>
          <w:tcPr>
            <w:tcW w:type="dxa" w:w="2835"/>
          </w:tcPr>
          <w:p>
            <w:pPr>
              <w:spacing w:lineRule="exact" w:line="600"/>
              <w:jc w:val="center"/>
            </w:pPr>
            <w:r/>
            <w:r>
              <w:rPr>
                <w:rFonts w:ascii="仿宋_GB2312" w:hAnsi="仿宋_GB2312" w:eastAsia="仿宋_GB2312"/>
                <w:b w:val="0"/>
                <w:color w:val="000000"/>
                <w:sz w:val="32"/>
              </w:rPr>
              <w:t>管件技术</w:t>
            </w:r>
          </w:p>
        </w:tc>
        <w:tc>
          <w:tcPr>
            <w:tcW w:type="dxa" w:w="3118"/>
          </w:tcPr>
          <w:p>
            <w:pPr>
              <w:spacing w:lineRule="exact" w:line="600"/>
              <w:jc w:val="center"/>
            </w:pPr>
            <w:r/>
            <w:r>
              <w:rPr>
                <w:rFonts w:ascii="仿宋_GB2312" w:hAnsi="仿宋_GB2312" w:eastAsia="仿宋_GB2312"/>
                <w:b w:val="0"/>
                <w:color w:val="000000"/>
                <w:sz w:val="32"/>
              </w:rPr>
              <w:t>行业领先</w:t>
            </w:r>
          </w:p>
        </w:tc>
        <w:tc>
          <w:tcPr>
            <w:tcW w:type="dxa" w:w="2551"/>
          </w:tcPr>
          <w:p>
            <w:pPr>
              <w:spacing w:lineRule="exact" w:line="600"/>
              <w:jc w:val="center"/>
            </w:pPr>
            <w:r/>
            <w:r>
              <w:rPr>
                <w:rFonts w:ascii="仿宋_GB2312" w:hAnsi="仿宋_GB2312" w:eastAsia="仿宋_GB2312"/>
                <w:b w:val="0"/>
                <w:color w:val="000000"/>
                <w:sz w:val="32"/>
              </w:rPr>
              <w:t>金润德</w:t>
            </w:r>
          </w:p>
        </w:tc>
      </w:tr>
      <w:tr>
        <w:tc>
          <w:tcPr>
            <w:tcW w:type="dxa" w:w="2835"/>
          </w:tcPr>
          <w:p>
            <w:pPr>
              <w:spacing w:lineRule="exact" w:line="600"/>
              <w:jc w:val="center"/>
            </w:pPr>
            <w:r/>
            <w:r>
              <w:rPr>
                <w:rFonts w:ascii="仿宋_GB2312" w:hAnsi="仿宋_GB2312" w:eastAsia="仿宋_GB2312"/>
                <w:b w:val="0"/>
                <w:color w:val="000000"/>
                <w:sz w:val="32"/>
              </w:rPr>
              <w:t>高铁制动管</w:t>
            </w:r>
          </w:p>
        </w:tc>
        <w:tc>
          <w:tcPr>
            <w:tcW w:type="dxa" w:w="3118"/>
          </w:tcPr>
          <w:p>
            <w:pPr>
              <w:spacing w:lineRule="exact" w:line="600"/>
              <w:jc w:val="center"/>
            </w:pPr>
            <w:r/>
            <w:r>
              <w:rPr>
                <w:rFonts w:ascii="仿宋_GB2312" w:hAnsi="仿宋_GB2312" w:eastAsia="仿宋_GB2312"/>
                <w:b w:val="0"/>
                <w:color w:val="000000"/>
                <w:sz w:val="32"/>
              </w:rPr>
              <w:t>研发延伸</w:t>
            </w:r>
          </w:p>
        </w:tc>
        <w:tc>
          <w:tcPr>
            <w:tcW w:type="dxa" w:w="2551"/>
          </w:tcPr>
          <w:p>
            <w:pPr>
              <w:spacing w:lineRule="exact" w:line="600"/>
              <w:jc w:val="center"/>
            </w:pPr>
            <w:r/>
            <w:r>
              <w:rPr>
                <w:rFonts w:ascii="仿宋_GB2312" w:hAnsi="仿宋_GB2312" w:eastAsia="仿宋_GB2312"/>
                <w:b w:val="0"/>
                <w:color w:val="000000"/>
                <w:sz w:val="32"/>
              </w:rPr>
              <w:t>青志达</w:t>
            </w:r>
          </w:p>
        </w:tc>
      </w:tr>
      <w:tr>
        <w:tc>
          <w:tcPr>
            <w:tcW w:type="dxa" w:w="2835"/>
          </w:tcPr>
          <w:p>
            <w:pPr>
              <w:spacing w:lineRule="exact" w:line="600"/>
              <w:jc w:val="center"/>
            </w:pPr>
            <w:r/>
            <w:r>
              <w:rPr>
                <w:rFonts w:ascii="仿宋_GB2312" w:hAnsi="仿宋_GB2312" w:eastAsia="仿宋_GB2312"/>
                <w:b w:val="0"/>
                <w:color w:val="000000"/>
                <w:sz w:val="32"/>
              </w:rPr>
              <w:t>标准</w:t>
            </w:r>
          </w:p>
        </w:tc>
        <w:tc>
          <w:tcPr>
            <w:tcW w:type="dxa" w:w="3118"/>
          </w:tcPr>
          <w:p>
            <w:pPr>
              <w:spacing w:lineRule="exact" w:line="600"/>
              <w:jc w:val="center"/>
            </w:pPr>
            <w:r/>
            <w:r>
              <w:rPr>
                <w:rFonts w:ascii="仿宋_GB2312" w:hAnsi="仿宋_GB2312" w:eastAsia="仿宋_GB2312"/>
                <w:b w:val="0"/>
                <w:color w:val="000000"/>
                <w:sz w:val="32"/>
              </w:rPr>
              <w:t>多项国标起草</w:t>
            </w:r>
          </w:p>
        </w:tc>
        <w:tc>
          <w:tcPr>
            <w:tcW w:type="dxa" w:w="2551"/>
          </w:tcPr>
          <w:p>
            <w:pPr>
              <w:spacing w:lineRule="exact" w:line="600"/>
              <w:jc w:val="center"/>
            </w:pPr>
            <w:r/>
            <w:r>
              <w:rPr>
                <w:rFonts w:ascii="仿宋_GB2312" w:hAnsi="仿宋_GB2312" w:eastAsia="仿宋_GB2312"/>
                <w:b w:val="0"/>
                <w:color w:val="000000"/>
                <w:sz w:val="32"/>
              </w:rPr>
              <w:t>玫德</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（一）规模与成本</w:t>
      </w:r>
    </w:p>
    <w:p>
      <w:pPr>
        <w:spacing w:lineRule="exact" w:line="600" w:before="0" w:after="0"/>
        <w:ind w:firstLine="420"/>
        <w:jc w:val="both"/>
      </w:pPr>
      <w:r>
        <w:rPr>
          <w:rFonts w:ascii="仿宋_GB2312" w:hAnsi="仿宋_GB2312" w:eastAsia="仿宋_GB2312"/>
          <w:b w:val="0"/>
          <w:color w:val="000000"/>
          <w:sz w:val="32"/>
        </w:rPr>
        <w:t>新世纪不锈钢构建年加工70万吨、仓储10万吨体系，依托规模化采购与全流程加工降低单位成本；万志达「贸易+加工+仓储+物流」全链条服务压缩流通成本。周村「短距离、低成本」闭环生态使深加工企业就近配套，降低原料与物流费用（来源：百度百科、大众网）。</w:t>
      </w:r>
    </w:p>
    <w:p>
      <w:pPr>
        <w:spacing w:lineRule="exact" w:line="600" w:before="120" w:after="120"/>
        <w:ind w:firstLine="420"/>
        <w:jc w:val="left"/>
      </w:pPr>
      <w:r>
        <w:rPr>
          <w:rFonts w:ascii="楷体_GB2312" w:hAnsi="楷体_GB2312" w:eastAsia="楷体_GB2312"/>
          <w:b w:val="0"/>
          <w:color w:val="000000"/>
          <w:sz w:val="32"/>
        </w:rPr>
        <w:t>（二）金融与要素保障</w:t>
      </w:r>
    </w:p>
    <w:p>
      <w:pPr>
        <w:spacing w:lineRule="exact" w:line="600" w:before="0" w:after="0"/>
        <w:ind w:firstLine="420"/>
        <w:jc w:val="both"/>
      </w:pPr>
      <w:r>
        <w:rPr>
          <w:rFonts w:ascii="仿宋_GB2312" w:hAnsi="仿宋_GB2312" w:eastAsia="仿宋_GB2312"/>
          <w:b w:val="0"/>
          <w:color w:val="000000"/>
          <w:sz w:val="32"/>
        </w:rPr>
        <w:t>新世纪联合政府平台与山东高速供应链建成北方首座不锈钢国有化监管仓库，与无锡锡商银行推出「世纪行」金融产品破解集采资金难题。周村区提供审批、规划、建设、供电、金融一揽子保障，并举办两届中国（周村）不锈钢展览会搭建产销平台（来源：大众网、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w:t>
            </w:r>
          </w:p>
        </w:tc>
        <w:tc>
          <w:tcPr>
            <w:tcW w:type="dxa" w:w="3118"/>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效果</w:t>
            </w:r>
          </w:p>
        </w:tc>
      </w:tr>
      <w:tr>
        <w:tc>
          <w:tcPr>
            <w:tcW w:type="dxa" w:w="2835"/>
          </w:tcPr>
          <w:p>
            <w:pPr>
              <w:spacing w:lineRule="exact" w:line="600"/>
              <w:jc w:val="center"/>
            </w:pPr>
            <w:r/>
            <w:r>
              <w:rPr>
                <w:rFonts w:ascii="仿宋_GB2312" w:hAnsi="仿宋_GB2312" w:eastAsia="仿宋_GB2312"/>
                <w:b w:val="0"/>
                <w:color w:val="000000"/>
                <w:sz w:val="32"/>
              </w:rPr>
              <w:t>加工规模</w:t>
            </w:r>
          </w:p>
        </w:tc>
        <w:tc>
          <w:tcPr>
            <w:tcW w:type="dxa" w:w="3118"/>
          </w:tcPr>
          <w:p>
            <w:pPr>
              <w:spacing w:lineRule="exact" w:line="600"/>
              <w:jc w:val="center"/>
            </w:pPr>
            <w:r/>
            <w:r>
              <w:rPr>
                <w:rFonts w:ascii="仿宋_GB2312" w:hAnsi="仿宋_GB2312" w:eastAsia="仿宋_GB2312"/>
                <w:b w:val="0"/>
                <w:color w:val="000000"/>
                <w:sz w:val="32"/>
              </w:rPr>
              <w:t>70万吨/年</w:t>
            </w:r>
          </w:p>
        </w:tc>
        <w:tc>
          <w:tcPr>
            <w:tcW w:type="dxa" w:w="2551"/>
          </w:tcPr>
          <w:p>
            <w:pPr>
              <w:spacing w:lineRule="exact" w:line="600"/>
              <w:jc w:val="center"/>
            </w:pPr>
            <w:r/>
            <w:r>
              <w:rPr>
                <w:rFonts w:ascii="仿宋_GB2312" w:hAnsi="仿宋_GB2312" w:eastAsia="仿宋_GB2312"/>
                <w:b w:val="0"/>
                <w:color w:val="000000"/>
                <w:sz w:val="32"/>
              </w:rPr>
              <w:t>成本优势</w:t>
            </w:r>
          </w:p>
        </w:tc>
      </w:tr>
      <w:tr>
        <w:tc>
          <w:tcPr>
            <w:tcW w:type="dxa" w:w="2835"/>
          </w:tcPr>
          <w:p>
            <w:pPr>
              <w:spacing w:lineRule="exact" w:line="600"/>
              <w:jc w:val="center"/>
            </w:pPr>
            <w:r/>
            <w:r>
              <w:rPr>
                <w:rFonts w:ascii="仿宋_GB2312" w:hAnsi="仿宋_GB2312" w:eastAsia="仿宋_GB2312"/>
                <w:b w:val="0"/>
                <w:color w:val="000000"/>
                <w:sz w:val="32"/>
              </w:rPr>
              <w:t>监管仓库</w:t>
            </w:r>
          </w:p>
        </w:tc>
        <w:tc>
          <w:tcPr>
            <w:tcW w:type="dxa" w:w="3118"/>
          </w:tcPr>
          <w:p>
            <w:pPr>
              <w:spacing w:lineRule="exact" w:line="600"/>
              <w:jc w:val="center"/>
            </w:pPr>
            <w:r/>
            <w:r>
              <w:rPr>
                <w:rFonts w:ascii="仿宋_GB2312" w:hAnsi="仿宋_GB2312" w:eastAsia="仿宋_GB2312"/>
                <w:b w:val="0"/>
                <w:color w:val="000000"/>
                <w:sz w:val="32"/>
              </w:rPr>
              <w:t>北方首座</w:t>
            </w:r>
          </w:p>
        </w:tc>
        <w:tc>
          <w:tcPr>
            <w:tcW w:type="dxa" w:w="2551"/>
          </w:tcPr>
          <w:p>
            <w:pPr>
              <w:spacing w:lineRule="exact" w:line="600"/>
              <w:jc w:val="center"/>
            </w:pPr>
            <w:r/>
            <w:r>
              <w:rPr>
                <w:rFonts w:ascii="仿宋_GB2312" w:hAnsi="仿宋_GB2312" w:eastAsia="仿宋_GB2312"/>
                <w:b w:val="0"/>
                <w:color w:val="000000"/>
                <w:sz w:val="32"/>
              </w:rPr>
              <w:t>降资金压</w:t>
            </w:r>
          </w:p>
        </w:tc>
      </w:tr>
      <w:tr>
        <w:tc>
          <w:tcPr>
            <w:tcW w:type="dxa" w:w="2835"/>
          </w:tcPr>
          <w:p>
            <w:pPr>
              <w:spacing w:lineRule="exact" w:line="600"/>
              <w:jc w:val="center"/>
            </w:pPr>
            <w:r/>
            <w:r>
              <w:rPr>
                <w:rFonts w:ascii="仿宋_GB2312" w:hAnsi="仿宋_GB2312" w:eastAsia="仿宋_GB2312"/>
                <w:b w:val="0"/>
                <w:color w:val="000000"/>
                <w:sz w:val="32"/>
              </w:rPr>
              <w:t>世纪行</w:t>
            </w:r>
          </w:p>
        </w:tc>
        <w:tc>
          <w:tcPr>
            <w:tcW w:type="dxa" w:w="3118"/>
          </w:tcPr>
          <w:p>
            <w:pPr>
              <w:spacing w:lineRule="exact" w:line="600"/>
              <w:jc w:val="center"/>
            </w:pPr>
            <w:r/>
            <w:r>
              <w:rPr>
                <w:rFonts w:ascii="仿宋_GB2312" w:hAnsi="仿宋_GB2312" w:eastAsia="仿宋_GB2312"/>
                <w:b w:val="0"/>
                <w:color w:val="000000"/>
                <w:sz w:val="32"/>
              </w:rPr>
              <w:t>银行金融产品</w:t>
            </w:r>
          </w:p>
        </w:tc>
        <w:tc>
          <w:tcPr>
            <w:tcW w:type="dxa" w:w="2551"/>
          </w:tcPr>
          <w:p>
            <w:pPr>
              <w:spacing w:lineRule="exact" w:line="600"/>
              <w:jc w:val="center"/>
            </w:pPr>
            <w:r/>
            <w:r>
              <w:rPr>
                <w:rFonts w:ascii="仿宋_GB2312" w:hAnsi="仿宋_GB2312" w:eastAsia="仿宋_GB2312"/>
                <w:b w:val="0"/>
                <w:color w:val="000000"/>
                <w:sz w:val="32"/>
              </w:rPr>
              <w:t>集采支持</w:t>
            </w:r>
          </w:p>
        </w:tc>
      </w:tr>
      <w:tr>
        <w:tc>
          <w:tcPr>
            <w:tcW w:type="dxa" w:w="2835"/>
          </w:tcPr>
          <w:p>
            <w:pPr>
              <w:spacing w:lineRule="exact" w:line="600"/>
              <w:jc w:val="center"/>
            </w:pPr>
            <w:r/>
            <w:r>
              <w:rPr>
                <w:rFonts w:ascii="仿宋_GB2312" w:hAnsi="仿宋_GB2312" w:eastAsia="仿宋_GB2312"/>
                <w:b w:val="0"/>
                <w:color w:val="000000"/>
                <w:sz w:val="32"/>
              </w:rPr>
              <w:t>一揽子服务</w:t>
            </w:r>
          </w:p>
        </w:tc>
        <w:tc>
          <w:tcPr>
            <w:tcW w:type="dxa" w:w="3118"/>
          </w:tcPr>
          <w:p>
            <w:pPr>
              <w:spacing w:lineRule="exact" w:line="600"/>
              <w:jc w:val="center"/>
            </w:pPr>
            <w:r/>
            <w:r>
              <w:rPr>
                <w:rFonts w:ascii="仿宋_GB2312" w:hAnsi="仿宋_GB2312" w:eastAsia="仿宋_GB2312"/>
                <w:b w:val="0"/>
                <w:color w:val="000000"/>
                <w:sz w:val="32"/>
              </w:rPr>
              <w:t>审批金融等</w:t>
            </w:r>
          </w:p>
        </w:tc>
        <w:tc>
          <w:tcPr>
            <w:tcW w:type="dxa" w:w="2551"/>
          </w:tcPr>
          <w:p>
            <w:pPr>
              <w:spacing w:lineRule="exact" w:line="600"/>
              <w:jc w:val="center"/>
            </w:pPr>
            <w:r/>
            <w:r>
              <w:rPr>
                <w:rFonts w:ascii="仿宋_GB2312" w:hAnsi="仿宋_GB2312" w:eastAsia="仿宋_GB2312"/>
                <w:b w:val="0"/>
                <w:color w:val="000000"/>
                <w:sz w:val="32"/>
              </w:rPr>
              <w:t>营商优化</w:t>
            </w:r>
          </w:p>
        </w:tc>
      </w:tr>
      <w:tr>
        <w:tc>
          <w:tcPr>
            <w:tcW w:type="dxa" w:w="2835"/>
          </w:tcPr>
          <w:p>
            <w:pPr>
              <w:spacing w:lineRule="exact" w:line="600"/>
              <w:jc w:val="center"/>
            </w:pPr>
            <w:r/>
            <w:r>
              <w:rPr>
                <w:rFonts w:ascii="仿宋_GB2312" w:hAnsi="仿宋_GB2312" w:eastAsia="仿宋_GB2312"/>
                <w:b w:val="0"/>
                <w:color w:val="000000"/>
                <w:sz w:val="32"/>
              </w:rPr>
              <w:t>展览会</w:t>
            </w:r>
          </w:p>
        </w:tc>
        <w:tc>
          <w:tcPr>
            <w:tcW w:type="dxa" w:w="3118"/>
          </w:tcPr>
          <w:p>
            <w:pPr>
              <w:spacing w:lineRule="exact" w:line="600"/>
              <w:jc w:val="center"/>
            </w:pPr>
            <w:r/>
            <w:r>
              <w:rPr>
                <w:rFonts w:ascii="仿宋_GB2312" w:hAnsi="仿宋_GB2312" w:eastAsia="仿宋_GB2312"/>
                <w:b w:val="0"/>
                <w:color w:val="000000"/>
                <w:sz w:val="32"/>
              </w:rPr>
              <w:t>两届</w:t>
            </w:r>
          </w:p>
        </w:tc>
        <w:tc>
          <w:tcPr>
            <w:tcW w:type="dxa" w:w="2551"/>
          </w:tcPr>
          <w:p>
            <w:pPr>
              <w:spacing w:lineRule="exact" w:line="600"/>
              <w:jc w:val="center"/>
            </w:pPr>
            <w:r/>
            <w:r>
              <w:rPr>
                <w:rFonts w:ascii="仿宋_GB2312" w:hAnsi="仿宋_GB2312" w:eastAsia="仿宋_GB2312"/>
                <w:b w:val="0"/>
                <w:color w:val="000000"/>
                <w:sz w:val="32"/>
              </w:rPr>
              <w:t>产销平台</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一是高端制造红利：高铁制动管、医疗器械精密件、工业特种管件需求高增；二是龙头赋能：青山、玫德等外部巨头合作提升技术与渠道；三是政策加持：省「十强」雁阵形集群与融链固链对接活动落地；四是绿色转型：不锈钢全楼定制、环保设备件契合双碳（来源：经济日报、山东省工信厅）。</w:t>
      </w:r>
    </w:p>
    <w:p>
      <w:pPr>
        <w:spacing w:lineRule="exact" w:line="600" w:before="120" w:after="120"/>
        <w:ind w:firstLine="420"/>
        <w:jc w:val="left"/>
      </w:pPr>
      <w:r>
        <w:rPr>
          <w:rFonts w:ascii="楷体_GB2312" w:hAnsi="楷体_GB2312" w:eastAsia="楷体_GB2312"/>
          <w:b w:val="0"/>
          <w:color w:val="000000"/>
          <w:sz w:val="32"/>
        </w:rPr>
        <w:t>（二）主要风险</w:t>
      </w:r>
    </w:p>
    <w:p>
      <w:pPr>
        <w:spacing w:lineRule="exact" w:line="600" w:before="0" w:after="0"/>
        <w:ind w:firstLine="420"/>
        <w:jc w:val="both"/>
      </w:pPr>
      <w:r>
        <w:rPr>
          <w:rFonts w:ascii="仿宋_GB2312" w:hAnsi="仿宋_GB2312" w:eastAsia="仿宋_GB2312"/>
          <w:b w:val="0"/>
          <w:color w:val="000000"/>
          <w:sz w:val="32"/>
        </w:rPr>
        <w:t>一是镍铬原料价格剧烈波动传导成本；二是国际贸易壁垒与反倾销；三是低端深加工同质化价格战；四是高端领域认证周期长、客户壁垒高。需以技术壁垒、品牌与合作网络对冲（来源：行业研判、大众网）。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表现</w:t>
            </w:r>
          </w:p>
        </w:tc>
        <w:tc>
          <w:tcPr>
            <w:tcW w:type="dxa" w:w="2835"/>
          </w:tcPr>
          <w:p>
            <w:pPr>
              <w:spacing w:lineRule="exact" w:line="600"/>
              <w:jc w:val="center"/>
            </w:pPr>
            <w:r/>
            <w:r>
              <w:rPr>
                <w:rFonts w:ascii="黑体" w:hAnsi="黑体" w:eastAsia="黑体"/>
                <w:b/>
                <w:color w:val="000000"/>
                <w:sz w:val="32"/>
              </w:rPr>
              <w:t>应对</w:t>
            </w:r>
          </w:p>
        </w:tc>
      </w:tr>
      <w:tr>
        <w:tc>
          <w:tcPr>
            <w:tcW w:type="dxa" w:w="2268"/>
          </w:tcPr>
          <w:p>
            <w:pPr>
              <w:spacing w:lineRule="exact" w:line="600"/>
              <w:jc w:val="center"/>
            </w:pPr>
            <w:r/>
            <w:r>
              <w:rPr>
                <w:rFonts w:ascii="仿宋_GB2312" w:hAnsi="仿宋_GB2312" w:eastAsia="仿宋_GB2312"/>
                <w:b w:val="0"/>
                <w:color w:val="000000"/>
                <w:sz w:val="32"/>
              </w:rPr>
              <w:t>原料波动</w:t>
            </w:r>
          </w:p>
        </w:tc>
        <w:tc>
          <w:tcPr>
            <w:tcW w:type="dxa" w:w="3402"/>
          </w:tcPr>
          <w:p>
            <w:pPr>
              <w:spacing w:lineRule="exact" w:line="600"/>
              <w:jc w:val="center"/>
            </w:pPr>
            <w:r/>
            <w:r>
              <w:rPr>
                <w:rFonts w:ascii="仿宋_GB2312" w:hAnsi="仿宋_GB2312" w:eastAsia="仿宋_GB2312"/>
                <w:b w:val="0"/>
                <w:color w:val="000000"/>
                <w:sz w:val="32"/>
              </w:rPr>
              <w:t>镍铬价格</w:t>
            </w:r>
          </w:p>
        </w:tc>
        <w:tc>
          <w:tcPr>
            <w:tcW w:type="dxa" w:w="2835"/>
          </w:tcPr>
          <w:p>
            <w:pPr>
              <w:spacing w:lineRule="exact" w:line="600"/>
              <w:jc w:val="center"/>
            </w:pPr>
            <w:r/>
            <w:r>
              <w:rPr>
                <w:rFonts w:ascii="仿宋_GB2312" w:hAnsi="仿宋_GB2312" w:eastAsia="仿宋_GB2312"/>
                <w:b w:val="0"/>
                <w:color w:val="000000"/>
                <w:sz w:val="32"/>
              </w:rPr>
              <w:t>长协库存</w:t>
            </w:r>
          </w:p>
        </w:tc>
      </w:tr>
      <w:tr>
        <w:tc>
          <w:tcPr>
            <w:tcW w:type="dxa" w:w="2268"/>
          </w:tcPr>
          <w:p>
            <w:pPr>
              <w:spacing w:lineRule="exact" w:line="600"/>
              <w:jc w:val="center"/>
            </w:pPr>
            <w:r/>
            <w:r>
              <w:rPr>
                <w:rFonts w:ascii="仿宋_GB2312" w:hAnsi="仿宋_GB2312" w:eastAsia="仿宋_GB2312"/>
                <w:b w:val="0"/>
                <w:color w:val="000000"/>
                <w:sz w:val="32"/>
              </w:rPr>
              <w:t>贸易壁垒</w:t>
            </w:r>
          </w:p>
        </w:tc>
        <w:tc>
          <w:tcPr>
            <w:tcW w:type="dxa" w:w="3402"/>
          </w:tcPr>
          <w:p>
            <w:pPr>
              <w:spacing w:lineRule="exact" w:line="600"/>
              <w:jc w:val="center"/>
            </w:pPr>
            <w:r/>
            <w:r>
              <w:rPr>
                <w:rFonts w:ascii="仿宋_GB2312" w:hAnsi="仿宋_GB2312" w:eastAsia="仿宋_GB2312"/>
                <w:b w:val="0"/>
                <w:color w:val="000000"/>
                <w:sz w:val="32"/>
              </w:rPr>
              <w:t>反倾销</w:t>
            </w:r>
          </w:p>
        </w:tc>
        <w:tc>
          <w:tcPr>
            <w:tcW w:type="dxa" w:w="2835"/>
          </w:tcPr>
          <w:p>
            <w:pPr>
              <w:spacing w:lineRule="exact" w:line="600"/>
              <w:jc w:val="center"/>
            </w:pPr>
            <w:r/>
            <w:r>
              <w:rPr>
                <w:rFonts w:ascii="仿宋_GB2312" w:hAnsi="仿宋_GB2312" w:eastAsia="仿宋_GB2312"/>
                <w:b w:val="0"/>
                <w:color w:val="000000"/>
                <w:sz w:val="32"/>
              </w:rPr>
              <w:t>多元市场</w:t>
            </w:r>
          </w:p>
        </w:tc>
      </w:tr>
      <w:tr>
        <w:tc>
          <w:tcPr>
            <w:tcW w:type="dxa" w:w="2268"/>
          </w:tcPr>
          <w:p>
            <w:pPr>
              <w:spacing w:lineRule="exact" w:line="600"/>
              <w:jc w:val="center"/>
            </w:pPr>
            <w:r/>
            <w:r>
              <w:rPr>
                <w:rFonts w:ascii="仿宋_GB2312" w:hAnsi="仿宋_GB2312" w:eastAsia="仿宋_GB2312"/>
                <w:b w:val="0"/>
                <w:color w:val="000000"/>
                <w:sz w:val="32"/>
              </w:rPr>
              <w:t>同质竞争</w:t>
            </w:r>
          </w:p>
        </w:tc>
        <w:tc>
          <w:tcPr>
            <w:tcW w:type="dxa" w:w="3402"/>
          </w:tcPr>
          <w:p>
            <w:pPr>
              <w:spacing w:lineRule="exact" w:line="600"/>
              <w:jc w:val="center"/>
            </w:pPr>
            <w:r/>
            <w:r>
              <w:rPr>
                <w:rFonts w:ascii="仿宋_GB2312" w:hAnsi="仿宋_GB2312" w:eastAsia="仿宋_GB2312"/>
                <w:b w:val="0"/>
                <w:color w:val="000000"/>
                <w:sz w:val="32"/>
              </w:rPr>
              <w:t>价格战</w:t>
            </w:r>
          </w:p>
        </w:tc>
        <w:tc>
          <w:tcPr>
            <w:tcW w:type="dxa" w:w="2835"/>
          </w:tcPr>
          <w:p>
            <w:pPr>
              <w:spacing w:lineRule="exact" w:line="600"/>
              <w:jc w:val="center"/>
            </w:pPr>
            <w:r/>
            <w:r>
              <w:rPr>
                <w:rFonts w:ascii="仿宋_GB2312" w:hAnsi="仿宋_GB2312" w:eastAsia="仿宋_GB2312"/>
                <w:b w:val="0"/>
                <w:color w:val="000000"/>
                <w:sz w:val="32"/>
              </w:rPr>
              <w:t>高端转型</w:t>
            </w:r>
          </w:p>
        </w:tc>
      </w:tr>
      <w:tr>
        <w:tc>
          <w:tcPr>
            <w:tcW w:type="dxa" w:w="2268"/>
          </w:tcPr>
          <w:p>
            <w:pPr>
              <w:spacing w:lineRule="exact" w:line="600"/>
              <w:jc w:val="center"/>
            </w:pPr>
            <w:r/>
            <w:r>
              <w:rPr>
                <w:rFonts w:ascii="仿宋_GB2312" w:hAnsi="仿宋_GB2312" w:eastAsia="仿宋_GB2312"/>
                <w:b w:val="0"/>
                <w:color w:val="000000"/>
                <w:sz w:val="32"/>
              </w:rPr>
              <w:t>认证壁垒</w:t>
            </w:r>
          </w:p>
        </w:tc>
        <w:tc>
          <w:tcPr>
            <w:tcW w:type="dxa" w:w="3402"/>
          </w:tcPr>
          <w:p>
            <w:pPr>
              <w:spacing w:lineRule="exact" w:line="600"/>
              <w:jc w:val="center"/>
            </w:pPr>
            <w:r/>
            <w:r>
              <w:rPr>
                <w:rFonts w:ascii="仿宋_GB2312" w:hAnsi="仿宋_GB2312" w:eastAsia="仿宋_GB2312"/>
                <w:b w:val="0"/>
                <w:color w:val="000000"/>
                <w:sz w:val="32"/>
              </w:rPr>
              <w:t>周期长</w:t>
            </w:r>
          </w:p>
        </w:tc>
        <w:tc>
          <w:tcPr>
            <w:tcW w:type="dxa" w:w="2835"/>
          </w:tcPr>
          <w:p>
            <w:pPr>
              <w:spacing w:lineRule="exact" w:line="600"/>
              <w:jc w:val="center"/>
            </w:pPr>
            <w:r/>
            <w:r>
              <w:rPr>
                <w:rFonts w:ascii="仿宋_GB2312" w:hAnsi="仿宋_GB2312" w:eastAsia="仿宋_GB2312"/>
                <w:b w:val="0"/>
                <w:color w:val="000000"/>
                <w:sz w:val="32"/>
              </w:rPr>
              <w:t>技术合作</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（一）高端化跃升</w:t>
      </w:r>
    </w:p>
    <w:p>
      <w:pPr>
        <w:spacing w:lineRule="exact" w:line="600" w:before="0" w:after="0"/>
        <w:ind w:firstLine="420"/>
        <w:jc w:val="both"/>
      </w:pPr>
      <w:r>
        <w:rPr>
          <w:rFonts w:ascii="仿宋_GB2312" w:hAnsi="仿宋_GB2312" w:eastAsia="仿宋_GB2312"/>
          <w:b w:val="0"/>
          <w:color w:val="000000"/>
          <w:sz w:val="32"/>
        </w:rPr>
        <w:t>路径由「买钢卖钢」到「精深加工」再到「高端制造」。青志达延伸高铁动车组制动管；金润德巩固工业特种管件；万志达填补医疗精密件空白并推进二期高端装备。以「链主引领+配套协同」模式，新优特园孵化准专精特新企业，形成闭环共生（来源：经济日报、大众网）。</w:t>
      </w:r>
    </w:p>
    <w:p>
      <w:pPr>
        <w:spacing w:lineRule="exact" w:line="600" w:before="120" w:after="120"/>
        <w:ind w:firstLine="420"/>
        <w:jc w:val="left"/>
      </w:pPr>
      <w:r>
        <w:rPr>
          <w:rFonts w:ascii="楷体_GB2312" w:hAnsi="楷体_GB2312" w:eastAsia="楷体_GB2312"/>
          <w:b w:val="0"/>
          <w:color w:val="000000"/>
          <w:sz w:val="32"/>
        </w:rPr>
        <w:t>（二）智能化与绿色化</w:t>
      </w:r>
    </w:p>
    <w:p>
      <w:pPr>
        <w:spacing w:lineRule="exact" w:line="600" w:before="0" w:after="0"/>
        <w:ind w:firstLine="420"/>
        <w:jc w:val="both"/>
      </w:pPr>
      <w:r>
        <w:rPr>
          <w:rFonts w:ascii="仿宋_GB2312" w:hAnsi="仿宋_GB2312" w:eastAsia="仿宋_GB2312"/>
          <w:b w:val="0"/>
          <w:color w:val="000000"/>
          <w:sz w:val="32"/>
        </w:rPr>
        <w:t>万志达医疗器械项目全面智能化（激光切割、焊接机器人、数控折弯）；园区推动数字化改造。以不锈钢全楼定制绿色建筑为标杆拓展绿色建材制品；环保设备精密件契合循环经济。省融链固链对接活动深化人才、技术、订单协同（来源：大众网、山东省工信厅）。</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举措</w:t>
            </w:r>
          </w:p>
        </w:tc>
        <w:tc>
          <w:tcPr>
            <w:tcW w:type="dxa" w:w="2551"/>
          </w:tcPr>
          <w:p>
            <w:pPr>
              <w:spacing w:lineRule="exact" w:line="600"/>
              <w:jc w:val="center"/>
            </w:pPr>
            <w:r/>
            <w:r>
              <w:rPr>
                <w:rFonts w:ascii="黑体" w:hAnsi="黑体" w:eastAsia="黑体"/>
                <w:b/>
                <w:color w:val="000000"/>
                <w:sz w:val="32"/>
              </w:rPr>
              <w:t>目标</w:t>
            </w:r>
          </w:p>
        </w:tc>
      </w:tr>
      <w:tr>
        <w:tc>
          <w:tcPr>
            <w:tcW w:type="dxa" w:w="2551"/>
          </w:tcPr>
          <w:p>
            <w:pPr>
              <w:spacing w:lineRule="exact" w:line="600"/>
              <w:jc w:val="center"/>
            </w:pPr>
            <w:r/>
            <w:r>
              <w:rPr>
                <w:rFonts w:ascii="仿宋_GB2312" w:hAnsi="仿宋_GB2312" w:eastAsia="仿宋_GB2312"/>
                <w:b w:val="0"/>
                <w:color w:val="000000"/>
                <w:sz w:val="32"/>
              </w:rPr>
              <w:t>高端制造</w:t>
            </w:r>
          </w:p>
        </w:tc>
        <w:tc>
          <w:tcPr>
            <w:tcW w:type="dxa" w:w="3402"/>
          </w:tcPr>
          <w:p>
            <w:pPr>
              <w:spacing w:lineRule="exact" w:line="600"/>
              <w:jc w:val="center"/>
            </w:pPr>
            <w:r/>
            <w:r>
              <w:rPr>
                <w:rFonts w:ascii="仿宋_GB2312" w:hAnsi="仿宋_GB2312" w:eastAsia="仿宋_GB2312"/>
                <w:b w:val="0"/>
                <w:color w:val="000000"/>
                <w:sz w:val="32"/>
              </w:rPr>
              <w:t>高铁管/医疗件</w:t>
            </w:r>
          </w:p>
        </w:tc>
        <w:tc>
          <w:tcPr>
            <w:tcW w:type="dxa" w:w="2551"/>
          </w:tcPr>
          <w:p>
            <w:pPr>
              <w:spacing w:lineRule="exact" w:line="600"/>
              <w:jc w:val="center"/>
            </w:pPr>
            <w:r/>
            <w:r>
              <w:rPr>
                <w:rFonts w:ascii="仿宋_GB2312" w:hAnsi="仿宋_GB2312" w:eastAsia="仿宋_GB2312"/>
                <w:b w:val="0"/>
                <w:color w:val="000000"/>
                <w:sz w:val="32"/>
              </w:rPr>
              <w:t>价值链高端</w:t>
            </w:r>
          </w:p>
        </w:tc>
      </w:tr>
      <w:tr>
        <w:tc>
          <w:tcPr>
            <w:tcW w:type="dxa" w:w="2551"/>
          </w:tcPr>
          <w:p>
            <w:pPr>
              <w:spacing w:lineRule="exact" w:line="600"/>
              <w:jc w:val="center"/>
            </w:pPr>
            <w:r/>
            <w:r>
              <w:rPr>
                <w:rFonts w:ascii="仿宋_GB2312" w:hAnsi="仿宋_GB2312" w:eastAsia="仿宋_GB2312"/>
                <w:b w:val="0"/>
                <w:color w:val="000000"/>
                <w:sz w:val="32"/>
              </w:rPr>
              <w:t>智能产线</w:t>
            </w:r>
          </w:p>
        </w:tc>
        <w:tc>
          <w:tcPr>
            <w:tcW w:type="dxa" w:w="3402"/>
          </w:tcPr>
          <w:p>
            <w:pPr>
              <w:spacing w:lineRule="exact" w:line="600"/>
              <w:jc w:val="center"/>
            </w:pPr>
            <w:r/>
            <w:r>
              <w:rPr>
                <w:rFonts w:ascii="仿宋_GB2312" w:hAnsi="仿宋_GB2312" w:eastAsia="仿宋_GB2312"/>
                <w:b w:val="0"/>
                <w:color w:val="000000"/>
                <w:sz w:val="32"/>
              </w:rPr>
              <w:t>机器人/数控</w:t>
            </w:r>
          </w:p>
        </w:tc>
        <w:tc>
          <w:tcPr>
            <w:tcW w:type="dxa" w:w="2551"/>
          </w:tcPr>
          <w:p>
            <w:pPr>
              <w:spacing w:lineRule="exact" w:line="600"/>
              <w:jc w:val="center"/>
            </w:pPr>
            <w:r/>
            <w:r>
              <w:rPr>
                <w:rFonts w:ascii="仿宋_GB2312" w:hAnsi="仿宋_GB2312" w:eastAsia="仿宋_GB2312"/>
                <w:b w:val="0"/>
                <w:color w:val="000000"/>
                <w:sz w:val="32"/>
              </w:rPr>
              <w:t>提质提效</w:t>
            </w:r>
          </w:p>
        </w:tc>
      </w:tr>
      <w:tr>
        <w:tc>
          <w:tcPr>
            <w:tcW w:type="dxa" w:w="2551"/>
          </w:tcPr>
          <w:p>
            <w:pPr>
              <w:spacing w:lineRule="exact" w:line="600"/>
              <w:jc w:val="center"/>
            </w:pPr>
            <w:r/>
            <w:r>
              <w:rPr>
                <w:rFonts w:ascii="仿宋_GB2312" w:hAnsi="仿宋_GB2312" w:eastAsia="仿宋_GB2312"/>
                <w:b w:val="0"/>
                <w:color w:val="000000"/>
                <w:sz w:val="32"/>
              </w:rPr>
              <w:t>绿色制品</w:t>
            </w:r>
          </w:p>
        </w:tc>
        <w:tc>
          <w:tcPr>
            <w:tcW w:type="dxa" w:w="3402"/>
          </w:tcPr>
          <w:p>
            <w:pPr>
              <w:spacing w:lineRule="exact" w:line="600"/>
              <w:jc w:val="center"/>
            </w:pPr>
            <w:r/>
            <w:r>
              <w:rPr>
                <w:rFonts w:ascii="仿宋_GB2312" w:hAnsi="仿宋_GB2312" w:eastAsia="仿宋_GB2312"/>
                <w:b w:val="0"/>
                <w:color w:val="000000"/>
                <w:sz w:val="32"/>
              </w:rPr>
              <w:t>全楼定制/环保件</w:t>
            </w:r>
          </w:p>
        </w:tc>
        <w:tc>
          <w:tcPr>
            <w:tcW w:type="dxa" w:w="2551"/>
          </w:tcPr>
          <w:p>
            <w:pPr>
              <w:spacing w:lineRule="exact" w:line="600"/>
              <w:jc w:val="center"/>
            </w:pPr>
            <w:r/>
            <w:r>
              <w:rPr>
                <w:rFonts w:ascii="仿宋_GB2312" w:hAnsi="仿宋_GB2312" w:eastAsia="仿宋_GB2312"/>
                <w:b w:val="0"/>
                <w:color w:val="000000"/>
                <w:sz w:val="32"/>
              </w:rPr>
              <w:t>双碳</w:t>
            </w:r>
          </w:p>
        </w:tc>
      </w:tr>
      <w:tr>
        <w:tc>
          <w:tcPr>
            <w:tcW w:type="dxa" w:w="2551"/>
          </w:tcPr>
          <w:p>
            <w:pPr>
              <w:spacing w:lineRule="exact" w:line="600"/>
              <w:jc w:val="center"/>
            </w:pPr>
            <w:r/>
            <w:r>
              <w:rPr>
                <w:rFonts w:ascii="仿宋_GB2312" w:hAnsi="仿宋_GB2312" w:eastAsia="仿宋_GB2312"/>
                <w:b w:val="0"/>
                <w:color w:val="000000"/>
                <w:sz w:val="32"/>
              </w:rPr>
              <w:t>融链固链</w:t>
            </w:r>
          </w:p>
        </w:tc>
        <w:tc>
          <w:tcPr>
            <w:tcW w:type="dxa" w:w="3402"/>
          </w:tcPr>
          <w:p>
            <w:pPr>
              <w:spacing w:lineRule="exact" w:line="600"/>
              <w:jc w:val="center"/>
            </w:pPr>
            <w:r/>
            <w:r>
              <w:rPr>
                <w:rFonts w:ascii="仿宋_GB2312" w:hAnsi="仿宋_GB2312" w:eastAsia="仿宋_GB2312"/>
                <w:b w:val="0"/>
                <w:color w:val="000000"/>
                <w:sz w:val="32"/>
              </w:rPr>
              <w:t>省级对接</w:t>
            </w:r>
          </w:p>
        </w:tc>
        <w:tc>
          <w:tcPr>
            <w:tcW w:type="dxa" w:w="2551"/>
          </w:tcPr>
          <w:p>
            <w:pPr>
              <w:spacing w:lineRule="exact" w:line="600"/>
              <w:jc w:val="center"/>
            </w:pPr>
            <w:r/>
            <w:r>
              <w:rPr>
                <w:rFonts w:ascii="仿宋_GB2312" w:hAnsi="仿宋_GB2312" w:eastAsia="仿宋_GB2312"/>
                <w:b w:val="0"/>
                <w:color w:val="000000"/>
                <w:sz w:val="32"/>
              </w:rPr>
              <w:t>千亿集群</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（一）项目建设融资</w:t>
      </w:r>
    </w:p>
    <w:p>
      <w:pPr>
        <w:spacing w:lineRule="exact" w:line="600" w:before="0" w:after="0"/>
        <w:ind w:firstLine="420"/>
        <w:jc w:val="both"/>
      </w:pPr>
      <w:r>
        <w:rPr>
          <w:rFonts w:ascii="仿宋_GB2312" w:hAnsi="仿宋_GB2312" w:eastAsia="仿宋_GB2312"/>
          <w:b w:val="0"/>
          <w:color w:val="000000"/>
          <w:sz w:val="32"/>
        </w:rPr>
        <w:t>万志达不锈钢医疗器械加工项目总投资3.05亿元、二期高端装备制造项目持续投入；新华医疗柔性加工智能制造、世纪正华精细加工等26个项目总投资近86亿元，需固定资产贷款、专项债与产业基金。新优特园等园区基建需配套资金（来源：大众网、周村区政府）。</w:t>
      </w:r>
    </w:p>
    <w:p>
      <w:pPr>
        <w:spacing w:lineRule="exact" w:line="600" w:before="120" w:after="120"/>
        <w:ind w:firstLine="420"/>
        <w:jc w:val="left"/>
      </w:pPr>
      <w:r>
        <w:rPr>
          <w:rFonts w:ascii="楷体_GB2312" w:hAnsi="楷体_GB2312" w:eastAsia="楷体_GB2312"/>
          <w:b w:val="0"/>
          <w:color w:val="000000"/>
          <w:sz w:val="32"/>
        </w:rPr>
        <w:t>（二）供应链与研发融资</w:t>
      </w:r>
    </w:p>
    <w:p>
      <w:pPr>
        <w:spacing w:lineRule="exact" w:line="600" w:before="0" w:after="0"/>
        <w:ind w:firstLine="420"/>
        <w:jc w:val="both"/>
      </w:pPr>
      <w:r>
        <w:rPr>
          <w:rFonts w:ascii="仿宋_GB2312" w:hAnsi="仿宋_GB2312" w:eastAsia="仿宋_GB2312"/>
          <w:b w:val="0"/>
          <w:color w:val="000000"/>
          <w:sz w:val="32"/>
        </w:rPr>
        <w:t>「国有化监管仓库+世纪行金融」已破解部分集采资金难题，但高端制造研发投入与设备升级仍需增量融资。建议扩大供应链金融、设立不锈钢产业基金、支持企业通过股权融资加速高端布局，专项支持高铁制动管、医疗精密件等卡位项目（来源：大众网、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规模/对象</w:t>
            </w:r>
          </w:p>
        </w:tc>
        <w:tc>
          <w:tcPr>
            <w:tcW w:type="dxa" w:w="2551"/>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医疗器械</w:t>
            </w:r>
          </w:p>
        </w:tc>
        <w:tc>
          <w:tcPr>
            <w:tcW w:type="dxa" w:w="3118"/>
          </w:tcPr>
          <w:p>
            <w:pPr>
              <w:spacing w:lineRule="exact" w:line="600"/>
              <w:jc w:val="center"/>
            </w:pPr>
            <w:r/>
            <w:r>
              <w:rPr>
                <w:rFonts w:ascii="仿宋_GB2312" w:hAnsi="仿宋_GB2312" w:eastAsia="仿宋_GB2312"/>
                <w:b w:val="0"/>
                <w:color w:val="000000"/>
                <w:sz w:val="32"/>
              </w:rPr>
              <w:t>3.05亿元</w:t>
            </w:r>
          </w:p>
        </w:tc>
        <w:tc>
          <w:tcPr>
            <w:tcW w:type="dxa" w:w="2551"/>
          </w:tcPr>
          <w:p>
            <w:pPr>
              <w:spacing w:lineRule="exact" w:line="600"/>
              <w:jc w:val="center"/>
            </w:pPr>
            <w:r/>
            <w:r>
              <w:rPr>
                <w:rFonts w:ascii="仿宋_GB2312" w:hAnsi="仿宋_GB2312" w:eastAsia="仿宋_GB2312"/>
                <w:b w:val="0"/>
                <w:color w:val="000000"/>
                <w:sz w:val="32"/>
              </w:rPr>
              <w:t>固定资产贷</w:t>
            </w:r>
          </w:p>
        </w:tc>
      </w:tr>
      <w:tr>
        <w:tc>
          <w:tcPr>
            <w:tcW w:type="dxa" w:w="2835"/>
          </w:tcPr>
          <w:p>
            <w:pPr>
              <w:spacing w:lineRule="exact" w:line="600"/>
              <w:jc w:val="center"/>
            </w:pPr>
            <w:r/>
            <w:r>
              <w:rPr>
                <w:rFonts w:ascii="仿宋_GB2312" w:hAnsi="仿宋_GB2312" w:eastAsia="仿宋_GB2312"/>
                <w:b w:val="0"/>
                <w:color w:val="000000"/>
                <w:sz w:val="32"/>
              </w:rPr>
              <w:t>26个项目</w:t>
            </w:r>
          </w:p>
        </w:tc>
        <w:tc>
          <w:tcPr>
            <w:tcW w:type="dxa" w:w="3118"/>
          </w:tcPr>
          <w:p>
            <w:pPr>
              <w:spacing w:lineRule="exact" w:line="600"/>
              <w:jc w:val="center"/>
            </w:pPr>
            <w:r/>
            <w:r>
              <w:rPr>
                <w:rFonts w:ascii="仿宋_GB2312" w:hAnsi="仿宋_GB2312" w:eastAsia="仿宋_GB2312"/>
                <w:b w:val="0"/>
                <w:color w:val="000000"/>
                <w:sz w:val="32"/>
              </w:rPr>
              <w:t>近86亿元</w:t>
            </w:r>
          </w:p>
        </w:tc>
        <w:tc>
          <w:tcPr>
            <w:tcW w:type="dxa" w:w="2551"/>
          </w:tcPr>
          <w:p>
            <w:pPr>
              <w:spacing w:lineRule="exact" w:line="600"/>
              <w:jc w:val="center"/>
            </w:pPr>
            <w:r/>
            <w:r>
              <w:rPr>
                <w:rFonts w:ascii="仿宋_GB2312" w:hAnsi="仿宋_GB2312" w:eastAsia="仿宋_GB2312"/>
                <w:b w:val="0"/>
                <w:color w:val="000000"/>
                <w:sz w:val="32"/>
              </w:rPr>
              <w:t>专项债+贷</w:t>
            </w:r>
          </w:p>
        </w:tc>
      </w:tr>
      <w:tr>
        <w:tc>
          <w:tcPr>
            <w:tcW w:type="dxa" w:w="2835"/>
          </w:tcPr>
          <w:p>
            <w:pPr>
              <w:spacing w:lineRule="exact" w:line="600"/>
              <w:jc w:val="center"/>
            </w:pPr>
            <w:r/>
            <w:r>
              <w:rPr>
                <w:rFonts w:ascii="仿宋_GB2312" w:hAnsi="仿宋_GB2312" w:eastAsia="仿宋_GB2312"/>
                <w:b w:val="0"/>
                <w:color w:val="000000"/>
                <w:sz w:val="32"/>
              </w:rPr>
              <w:t>监管仓金融</w:t>
            </w:r>
          </w:p>
        </w:tc>
        <w:tc>
          <w:tcPr>
            <w:tcW w:type="dxa" w:w="3118"/>
          </w:tcPr>
          <w:p>
            <w:pPr>
              <w:spacing w:lineRule="exact" w:line="600"/>
              <w:jc w:val="center"/>
            </w:pPr>
            <w:r/>
            <w:r>
              <w:rPr>
                <w:rFonts w:ascii="仿宋_GB2312" w:hAnsi="仿宋_GB2312" w:eastAsia="仿宋_GB2312"/>
                <w:b w:val="0"/>
                <w:color w:val="000000"/>
                <w:sz w:val="32"/>
              </w:rPr>
              <w:t>世纪行</w:t>
            </w:r>
          </w:p>
        </w:tc>
        <w:tc>
          <w:tcPr>
            <w:tcW w:type="dxa" w:w="2551"/>
          </w:tcPr>
          <w:p>
            <w:pPr>
              <w:spacing w:lineRule="exact" w:line="600"/>
              <w:jc w:val="center"/>
            </w:pPr>
            <w:r/>
            <w:r>
              <w:rPr>
                <w:rFonts w:ascii="仿宋_GB2312" w:hAnsi="仿宋_GB2312" w:eastAsia="仿宋_GB2312"/>
                <w:b w:val="0"/>
                <w:color w:val="000000"/>
                <w:sz w:val="32"/>
              </w:rPr>
              <w:t>供应链金融</w:t>
            </w:r>
          </w:p>
        </w:tc>
      </w:tr>
      <w:tr>
        <w:tc>
          <w:tcPr>
            <w:tcW w:type="dxa" w:w="2835"/>
          </w:tcPr>
          <w:p>
            <w:pPr>
              <w:spacing w:lineRule="exact" w:line="600"/>
              <w:jc w:val="center"/>
            </w:pPr>
            <w:r/>
            <w:r>
              <w:rPr>
                <w:rFonts w:ascii="仿宋_GB2312" w:hAnsi="仿宋_GB2312" w:eastAsia="仿宋_GB2312"/>
                <w:b w:val="0"/>
                <w:color w:val="000000"/>
                <w:sz w:val="32"/>
              </w:rPr>
              <w:t>产业基金</w:t>
            </w:r>
          </w:p>
        </w:tc>
        <w:tc>
          <w:tcPr>
            <w:tcW w:type="dxa" w:w="3118"/>
          </w:tcPr>
          <w:p>
            <w:pPr>
              <w:spacing w:lineRule="exact" w:line="600"/>
              <w:jc w:val="center"/>
            </w:pPr>
            <w:r/>
            <w:r>
              <w:rPr>
                <w:rFonts w:ascii="仿宋_GB2312" w:hAnsi="仿宋_GB2312" w:eastAsia="仿宋_GB2312"/>
                <w:b w:val="0"/>
                <w:color w:val="000000"/>
                <w:sz w:val="32"/>
              </w:rPr>
              <w:t>建议设立</w:t>
            </w:r>
          </w:p>
        </w:tc>
        <w:tc>
          <w:tcPr>
            <w:tcW w:type="dxa" w:w="2551"/>
          </w:tcPr>
          <w:p>
            <w:pPr>
              <w:spacing w:lineRule="exact" w:line="600"/>
              <w:jc w:val="center"/>
            </w:pPr>
            <w:r/>
            <w:r>
              <w:rPr>
                <w:rFonts w:ascii="仿宋_GB2312" w:hAnsi="仿宋_GB2312" w:eastAsia="仿宋_GB2312"/>
                <w:b w:val="0"/>
                <w:color w:val="000000"/>
                <w:sz w:val="32"/>
              </w:rPr>
              <w:t>股权+债权</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新世纪不锈钢集团有限公司：成立于2000/2007年，注册资本3200万元，太钢北方唯一核心代理、青山集团北方一级渠道；构建年加工70万吨、仓储10万吨体系，年营业额约7亿元，中国不锈钢贸易30强；全球首台套4万瓦坡口激光等高精设备齐聚；联合山东高速供应链建成北方首座不锈钢国有化监管仓库，与无锡锡商银行推「世纪行」金融产品。来源：百度百科、大众网。</w:t>
      </w:r>
    </w:p>
    <w:p>
      <w:pPr>
        <w:spacing w:lineRule="exact" w:line="600" w:before="0" w:after="0"/>
        <w:ind w:firstLine="420"/>
        <w:jc w:val="both"/>
      </w:pPr>
      <w:r>
        <w:rPr>
          <w:rFonts w:ascii="仿宋_GB2312" w:hAnsi="仿宋_GB2312" w:eastAsia="仿宋_GB2312"/>
          <w:b w:val="0"/>
          <w:color w:val="000000"/>
          <w:sz w:val="32"/>
        </w:rPr>
        <w:t>山东金润德新材料科技有限公司：深耕不锈钢管道近二十年，国家专精特新「小巨人」、山东省制造业单项冠军，与全球流体输送领军玫德集团达成战略合作，巩固国内不锈钢工业特种管件技术优势；销售网络覆盖140余国。来源：经济日报。</w:t>
      </w:r>
    </w:p>
    <w:p>
      <w:pPr>
        <w:spacing w:lineRule="exact" w:line="600" w:before="0" w:after="0"/>
        <w:ind w:firstLine="420"/>
        <w:jc w:val="both"/>
      </w:pPr>
      <w:r>
        <w:rPr>
          <w:rFonts w:ascii="仿宋_GB2312" w:hAnsi="仿宋_GB2312" w:eastAsia="仿宋_GB2312"/>
          <w:b w:val="0"/>
          <w:color w:val="000000"/>
          <w:sz w:val="32"/>
        </w:rPr>
        <w:t>山东万志达新材料科技有限公司（青志达）：从传统贸易迈向精密深加工，与青山控股合作；2022年投资3.05亿元建不锈钢医疗器械加工项目（年产20万吨），成为中国中车、新华医疗供应商；二期高端装备制造项目深耕高铁动车组刹车制动管。来源：大众网。</w:t>
      </w:r>
    </w:p>
    <w:p>
      <w:pPr>
        <w:spacing w:lineRule="exact" w:line="600" w:before="0" w:after="0"/>
        <w:jc w:val="left"/>
      </w:pPr>
      <w:r>
        <w:rPr>
          <w:rFonts w:ascii="仿宋_GB2312" w:hAnsi="仿宋_GB2312" w:eastAsia="仿宋_GB2312"/>
          <w:b w:val="0"/>
          <w:color w:val="000000"/>
          <w:sz w:val="28"/>
        </w:rPr>
        <w:t>主要数据来源：周村区政府官网两届中国（周村）不锈钢展览会报道；经济日报《山东淄博周村区：攀高引强再锻「新钢」》（2026-04-11）；大众网《解码小镇冠军丨周村区南郊镇》（2025-11-19）；山东省工信厅《融链聚势，淄博不锈钢产业向深向精》（2026-05-29）；百度百科「山东新世纪不锈钢有限公司」</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