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轴承钢球制造行业深度分析报告</w:t>
      </w:r>
    </w:p>
    <w:p>
      <w:pPr>
        <w:spacing w:lineRule="exact" w:line="600" w:before="0" w:after="0"/>
        <w:jc w:val="left"/>
      </w:pPr>
      <w:r>
        <w:rPr>
          <w:rFonts w:ascii="仿宋_GB2312" w:hAnsi="仿宋_GB2312" w:eastAsia="仿宋_GB2312"/>
          <w:b w:val="0"/>
          <w:color w:val="000000"/>
          <w:sz w:val="28"/>
        </w:rPr>
        <w:t>本报告数据来源于宁阳县政府官网、山东省工信厅/中小企业产业集群公示、经济日报/中国经济网报道、辰信轴承科技及山东省装备制造业协会公开资料、恒州诚思及博研咨询行业报告等。数据截至2024年，部分细分领域（如单家企业钢球产量）公开统计有限，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是全国著名的「中国钢球之乡」，钢球产业起步于20世纪80年代，2021年被认定为山东省特色产业集群，2024年入选山东省「产业大脑」建设试点。全县聚集钢球生产企业320余家，钢球年产能超过全国65%，年产碳钢球、轴承钢球、不锈钢球67万吨，其中碳钢球产量居世界第一，2023年集群产值达60多亿元，市场拓展至20多个国家。以辰信轴承科技为链主，总投资26亿元的辰信基础零部件绿色智能智造示范项目一期已点火投产，达产后可形成30万吨钢球原材料钢丝改制、2万吨精密钢球产能，年销售收入有望突破20亿元。行业面临「大而不强、多而不精」、高端精密钢球依赖进口等挑战，正通过数字赋能、龙头带动向高端化、智能化、集群化迈进。</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集群企业数</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3118"/>
          </w:tcPr>
          <w:p>
            <w:pPr>
              <w:spacing w:lineRule="exact" w:line="600"/>
              <w:jc w:val="center"/>
            </w:pPr>
            <w:r/>
            <w:r>
              <w:rPr>
                <w:rFonts w:ascii="仿宋_GB2312" w:hAnsi="仿宋_GB2312" w:eastAsia="仿宋_GB2312"/>
                <w:b w:val="0"/>
                <w:color w:val="000000"/>
                <w:sz w:val="32"/>
              </w:rPr>
              <w:t>宁阳县政府2024</w:t>
            </w:r>
          </w:p>
        </w:tc>
      </w:tr>
      <w:tr>
        <w:tc>
          <w:tcPr>
            <w:tcW w:type="dxa" w:w="2835"/>
          </w:tcPr>
          <w:p>
            <w:pPr>
              <w:spacing w:lineRule="exact" w:line="600"/>
              <w:jc w:val="center"/>
            </w:pPr>
            <w:r/>
            <w:r>
              <w:rPr>
                <w:rFonts w:ascii="仿宋_GB2312" w:hAnsi="仿宋_GB2312" w:eastAsia="仿宋_GB2312"/>
                <w:b w:val="0"/>
                <w:color w:val="000000"/>
                <w:sz w:val="32"/>
              </w:rPr>
              <w:t>集群年产能</w:t>
            </w:r>
          </w:p>
        </w:tc>
        <w:tc>
          <w:tcPr>
            <w:tcW w:type="dxa" w:w="2835"/>
          </w:tcPr>
          <w:p>
            <w:pPr>
              <w:spacing w:lineRule="exact" w:line="600"/>
              <w:jc w:val="center"/>
            </w:pPr>
            <w:r/>
            <w:r>
              <w:rPr>
                <w:rFonts w:ascii="仿宋_GB2312" w:hAnsi="仿宋_GB2312" w:eastAsia="仿宋_GB2312"/>
                <w:b w:val="0"/>
                <w:color w:val="000000"/>
                <w:sz w:val="32"/>
              </w:rPr>
              <w:t>67万吨（占全国65%以上）</w:t>
            </w:r>
          </w:p>
        </w:tc>
        <w:tc>
          <w:tcPr>
            <w:tcW w:type="dxa" w:w="3118"/>
          </w:tcPr>
          <w:p>
            <w:pPr>
              <w:spacing w:lineRule="exact" w:line="600"/>
              <w:jc w:val="center"/>
            </w:pPr>
            <w:r/>
            <w:r>
              <w:rPr>
                <w:rFonts w:ascii="仿宋_GB2312" w:hAnsi="仿宋_GB2312" w:eastAsia="仿宋_GB2312"/>
                <w:b w:val="0"/>
                <w:color w:val="000000"/>
                <w:sz w:val="32"/>
              </w:rPr>
              <w:t>山东省工信厅</w:t>
            </w:r>
          </w:p>
        </w:tc>
      </w:tr>
      <w:tr>
        <w:tc>
          <w:tcPr>
            <w:tcW w:type="dxa" w:w="2835"/>
          </w:tcPr>
          <w:p>
            <w:pPr>
              <w:spacing w:lineRule="exact" w:line="600"/>
              <w:jc w:val="center"/>
            </w:pPr>
            <w:r/>
            <w:r>
              <w:rPr>
                <w:rFonts w:ascii="仿宋_GB2312" w:hAnsi="仿宋_GB2312" w:eastAsia="仿宋_GB2312"/>
                <w:b w:val="0"/>
                <w:color w:val="000000"/>
                <w:sz w:val="32"/>
              </w:rPr>
              <w:t>2023年集群产值</w:t>
            </w:r>
          </w:p>
        </w:tc>
        <w:tc>
          <w:tcPr>
            <w:tcW w:type="dxa" w:w="2835"/>
          </w:tcPr>
          <w:p>
            <w:pPr>
              <w:spacing w:lineRule="exact" w:line="600"/>
              <w:jc w:val="center"/>
            </w:pPr>
            <w:r/>
            <w:r>
              <w:rPr>
                <w:rFonts w:ascii="仿宋_GB2312" w:hAnsi="仿宋_GB2312" w:eastAsia="仿宋_GB2312"/>
                <w:b w:val="0"/>
                <w:color w:val="000000"/>
                <w:sz w:val="32"/>
              </w:rPr>
              <w:t>60多亿元</w:t>
            </w:r>
          </w:p>
        </w:tc>
        <w:tc>
          <w:tcPr>
            <w:tcW w:type="dxa" w:w="3118"/>
          </w:tcPr>
          <w:p>
            <w:pPr>
              <w:spacing w:lineRule="exact" w:line="600"/>
              <w:jc w:val="center"/>
            </w:pPr>
            <w:r/>
            <w:r>
              <w:rPr>
                <w:rFonts w:ascii="仿宋_GB2312" w:hAnsi="仿宋_GB2312" w:eastAsia="仿宋_GB2312"/>
                <w:b w:val="0"/>
                <w:color w:val="000000"/>
                <w:sz w:val="32"/>
              </w:rPr>
              <w:t>宁阳县政府</w:t>
            </w:r>
          </w:p>
        </w:tc>
      </w:tr>
      <w:tr>
        <w:tc>
          <w:tcPr>
            <w:tcW w:type="dxa" w:w="2835"/>
          </w:tcPr>
          <w:p>
            <w:pPr>
              <w:spacing w:lineRule="exact" w:line="600"/>
              <w:jc w:val="center"/>
            </w:pPr>
            <w:r/>
            <w:r>
              <w:rPr>
                <w:rFonts w:ascii="仿宋_GB2312" w:hAnsi="仿宋_GB2312" w:eastAsia="仿宋_GB2312"/>
                <w:b w:val="0"/>
                <w:color w:val="000000"/>
                <w:sz w:val="32"/>
              </w:rPr>
              <w:t>2024上半年产值</w:t>
            </w:r>
          </w:p>
        </w:tc>
        <w:tc>
          <w:tcPr>
            <w:tcW w:type="dxa" w:w="2835"/>
          </w:tcPr>
          <w:p>
            <w:pPr>
              <w:spacing w:lineRule="exact" w:line="600"/>
              <w:jc w:val="center"/>
            </w:pPr>
            <w:r/>
            <w:r>
              <w:rPr>
                <w:rFonts w:ascii="仿宋_GB2312" w:hAnsi="仿宋_GB2312" w:eastAsia="仿宋_GB2312"/>
                <w:b w:val="0"/>
                <w:color w:val="000000"/>
                <w:sz w:val="32"/>
              </w:rPr>
              <w:t>30亿元（同比+11.1%）</w:t>
            </w:r>
          </w:p>
        </w:tc>
        <w:tc>
          <w:tcPr>
            <w:tcW w:type="dxa" w:w="3118"/>
          </w:tcPr>
          <w:p>
            <w:pPr>
              <w:spacing w:lineRule="exact" w:line="600"/>
              <w:jc w:val="center"/>
            </w:pPr>
            <w:r/>
            <w:r>
              <w:rPr>
                <w:rFonts w:ascii="仿宋_GB2312" w:hAnsi="仿宋_GB2312" w:eastAsia="仿宋_GB2312"/>
                <w:b w:val="0"/>
                <w:color w:val="000000"/>
                <w:sz w:val="32"/>
              </w:rPr>
              <w:t>中国产业经济信息网</w:t>
            </w:r>
          </w:p>
        </w:tc>
      </w:tr>
      <w:tr>
        <w:tc>
          <w:tcPr>
            <w:tcW w:type="dxa" w:w="2835"/>
          </w:tcPr>
          <w:p>
            <w:pPr>
              <w:spacing w:lineRule="exact" w:line="600"/>
              <w:jc w:val="center"/>
            </w:pPr>
            <w:r/>
            <w:r>
              <w:rPr>
                <w:rFonts w:ascii="仿宋_GB2312" w:hAnsi="仿宋_GB2312" w:eastAsia="仿宋_GB2312"/>
                <w:b w:val="0"/>
                <w:color w:val="000000"/>
                <w:sz w:val="32"/>
              </w:rPr>
              <w:t>2024上半年产量</w:t>
            </w:r>
          </w:p>
        </w:tc>
        <w:tc>
          <w:tcPr>
            <w:tcW w:type="dxa" w:w="2835"/>
          </w:tcPr>
          <w:p>
            <w:pPr>
              <w:spacing w:lineRule="exact" w:line="600"/>
              <w:jc w:val="center"/>
            </w:pPr>
            <w:r/>
            <w:r>
              <w:rPr>
                <w:rFonts w:ascii="仿宋_GB2312" w:hAnsi="仿宋_GB2312" w:eastAsia="仿宋_GB2312"/>
                <w:b w:val="0"/>
                <w:color w:val="000000"/>
                <w:sz w:val="32"/>
              </w:rPr>
              <w:t>37万吨（同比+15.2%）</w:t>
            </w:r>
          </w:p>
        </w:tc>
        <w:tc>
          <w:tcPr>
            <w:tcW w:type="dxa" w:w="3118"/>
          </w:tcPr>
          <w:p>
            <w:pPr>
              <w:spacing w:lineRule="exact" w:line="600"/>
              <w:jc w:val="center"/>
            </w:pPr>
            <w:r/>
            <w:r>
              <w:rPr>
                <w:rFonts w:ascii="仿宋_GB2312" w:hAnsi="仿宋_GB2312" w:eastAsia="仿宋_GB2312"/>
                <w:b w:val="0"/>
                <w:color w:val="000000"/>
                <w:sz w:val="32"/>
              </w:rPr>
              <w:t>中国产业经济信息网</w:t>
            </w:r>
          </w:p>
        </w:tc>
      </w:tr>
      <w:tr>
        <w:tc>
          <w:tcPr>
            <w:tcW w:type="dxa" w:w="2835"/>
          </w:tcPr>
          <w:p>
            <w:pPr>
              <w:spacing w:lineRule="exact" w:line="600"/>
              <w:jc w:val="center"/>
            </w:pPr>
            <w:r/>
            <w:r>
              <w:rPr>
                <w:rFonts w:ascii="仿宋_GB2312" w:hAnsi="仿宋_GB2312" w:eastAsia="仿宋_GB2312"/>
                <w:b w:val="0"/>
                <w:color w:val="000000"/>
                <w:sz w:val="32"/>
              </w:rPr>
              <w:t>辰信总投资</w:t>
            </w:r>
          </w:p>
        </w:tc>
        <w:tc>
          <w:tcPr>
            <w:tcW w:type="dxa" w:w="2835"/>
          </w:tcPr>
          <w:p>
            <w:pPr>
              <w:spacing w:lineRule="exact" w:line="600"/>
              <w:jc w:val="center"/>
            </w:pPr>
            <w:r/>
            <w:r>
              <w:rPr>
                <w:rFonts w:ascii="仿宋_GB2312" w:hAnsi="仿宋_GB2312" w:eastAsia="仿宋_GB2312"/>
                <w:b w:val="0"/>
                <w:color w:val="000000"/>
                <w:sz w:val="32"/>
              </w:rPr>
              <w:t>26亿元（一期11亿）</w:t>
            </w:r>
          </w:p>
        </w:tc>
        <w:tc>
          <w:tcPr>
            <w:tcW w:type="dxa" w:w="3118"/>
          </w:tcPr>
          <w:p>
            <w:pPr>
              <w:spacing w:lineRule="exact" w:line="600"/>
              <w:jc w:val="center"/>
            </w:pPr>
            <w:r/>
            <w:r>
              <w:rPr>
                <w:rFonts w:ascii="仿宋_GB2312" w:hAnsi="仿宋_GB2312" w:eastAsia="仿宋_GB2312"/>
                <w:b w:val="0"/>
                <w:color w:val="000000"/>
                <w:sz w:val="32"/>
              </w:rPr>
              <w:t>辰信轴承科技官网</w:t>
            </w:r>
          </w:p>
        </w:tc>
      </w:tr>
      <w:tr>
        <w:tc>
          <w:tcPr>
            <w:tcW w:type="dxa" w:w="2835"/>
          </w:tcPr>
          <w:p>
            <w:pPr>
              <w:spacing w:lineRule="exact" w:line="600"/>
              <w:jc w:val="center"/>
            </w:pPr>
            <w:r/>
            <w:r>
              <w:rPr>
                <w:rFonts w:ascii="仿宋_GB2312" w:hAnsi="仿宋_GB2312" w:eastAsia="仿宋_GB2312"/>
                <w:b w:val="0"/>
                <w:color w:val="000000"/>
                <w:sz w:val="32"/>
              </w:rPr>
              <w:t>辰信达产收入</w:t>
            </w:r>
          </w:p>
        </w:tc>
        <w:tc>
          <w:tcPr>
            <w:tcW w:type="dxa" w:w="2835"/>
          </w:tcPr>
          <w:p>
            <w:pPr>
              <w:spacing w:lineRule="exact" w:line="600"/>
              <w:jc w:val="center"/>
            </w:pPr>
            <w:r/>
            <w:r>
              <w:rPr>
                <w:rFonts w:ascii="仿宋_GB2312" w:hAnsi="仿宋_GB2312" w:eastAsia="仿宋_GB2312"/>
                <w:b w:val="0"/>
                <w:color w:val="000000"/>
                <w:sz w:val="32"/>
              </w:rPr>
              <w:t>20亿元/年</w:t>
            </w:r>
          </w:p>
        </w:tc>
        <w:tc>
          <w:tcPr>
            <w:tcW w:type="dxa" w:w="3118"/>
          </w:tcPr>
          <w:p>
            <w:pPr>
              <w:spacing w:lineRule="exact" w:line="600"/>
              <w:jc w:val="center"/>
            </w:pPr>
            <w:r/>
            <w:r>
              <w:rPr>
                <w:rFonts w:ascii="仿宋_GB2312" w:hAnsi="仿宋_GB2312" w:eastAsia="仿宋_GB2312"/>
                <w:b w:val="0"/>
                <w:color w:val="000000"/>
                <w:sz w:val="32"/>
              </w:rPr>
              <w:t>辰信轴承科技官网</w:t>
            </w:r>
          </w:p>
        </w:tc>
      </w:tr>
      <w:tr>
        <w:tc>
          <w:tcPr>
            <w:tcW w:type="dxa" w:w="2835"/>
          </w:tcPr>
          <w:p>
            <w:pPr>
              <w:spacing w:lineRule="exact" w:line="600"/>
              <w:jc w:val="center"/>
            </w:pPr>
            <w:r/>
            <w:r>
              <w:rPr>
                <w:rFonts w:ascii="仿宋_GB2312" w:hAnsi="仿宋_GB2312" w:eastAsia="仿宋_GB2312"/>
                <w:b w:val="0"/>
                <w:color w:val="000000"/>
                <w:sz w:val="32"/>
              </w:rPr>
              <w:t>全国碳钢球地位</w:t>
            </w:r>
          </w:p>
        </w:tc>
        <w:tc>
          <w:tcPr>
            <w:tcW w:type="dxa" w:w="2835"/>
          </w:tcPr>
          <w:p>
            <w:pPr>
              <w:spacing w:lineRule="exact" w:line="600"/>
              <w:jc w:val="center"/>
            </w:pPr>
            <w:r/>
            <w:r>
              <w:rPr>
                <w:rFonts w:ascii="仿宋_GB2312" w:hAnsi="仿宋_GB2312" w:eastAsia="仿宋_GB2312"/>
                <w:b w:val="0"/>
                <w:color w:val="000000"/>
                <w:sz w:val="32"/>
              </w:rPr>
              <w:t>产量世界第一</w:t>
            </w:r>
          </w:p>
        </w:tc>
        <w:tc>
          <w:tcPr>
            <w:tcW w:type="dxa" w:w="3118"/>
          </w:tcPr>
          <w:p>
            <w:pPr>
              <w:spacing w:lineRule="exact" w:line="600"/>
              <w:jc w:val="center"/>
            </w:pPr>
            <w:r/>
            <w:r>
              <w:rPr>
                <w:rFonts w:ascii="仿宋_GB2312" w:hAnsi="仿宋_GB2312" w:eastAsia="仿宋_GB2312"/>
                <w:b w:val="0"/>
                <w:color w:val="000000"/>
                <w:sz w:val="32"/>
              </w:rPr>
              <w:t>宁阳县政府</w:t>
            </w:r>
          </w:p>
        </w:tc>
      </w:tr>
      <w:tr>
        <w:tc>
          <w:tcPr>
            <w:tcW w:type="dxa" w:w="2835"/>
          </w:tcPr>
          <w:p>
            <w:pPr>
              <w:spacing w:lineRule="exact" w:line="600"/>
              <w:jc w:val="center"/>
            </w:pPr>
            <w:r/>
            <w:r>
              <w:rPr>
                <w:rFonts w:ascii="仿宋_GB2312" w:hAnsi="仿宋_GB2312" w:eastAsia="仿宋_GB2312"/>
                <w:b w:val="0"/>
                <w:color w:val="000000"/>
                <w:sz w:val="32"/>
              </w:rPr>
              <w:t>云联平台降本</w:t>
            </w:r>
          </w:p>
        </w:tc>
        <w:tc>
          <w:tcPr>
            <w:tcW w:type="dxa" w:w="2835"/>
          </w:tcPr>
          <w:p>
            <w:pPr>
              <w:spacing w:lineRule="exact" w:line="600"/>
              <w:jc w:val="center"/>
            </w:pPr>
            <w:r/>
            <w:r>
              <w:rPr>
                <w:rFonts w:ascii="仿宋_GB2312" w:hAnsi="仿宋_GB2312" w:eastAsia="仿宋_GB2312"/>
                <w:b w:val="0"/>
                <w:color w:val="000000"/>
                <w:sz w:val="32"/>
              </w:rPr>
              <w:t>采购成本平均降9%</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全球轴承钢球市场</w:t>
            </w:r>
          </w:p>
        </w:tc>
        <w:tc>
          <w:tcPr>
            <w:tcW w:type="dxa" w:w="2835"/>
          </w:tcPr>
          <w:p>
            <w:pPr>
              <w:spacing w:lineRule="exact" w:line="600"/>
              <w:jc w:val="center"/>
            </w:pPr>
            <w:r/>
            <w:r>
              <w:rPr>
                <w:rFonts w:ascii="仿宋_GB2312" w:hAnsi="仿宋_GB2312" w:eastAsia="仿宋_GB2312"/>
                <w:b w:val="0"/>
                <w:color w:val="000000"/>
                <w:sz w:val="32"/>
              </w:rPr>
              <w:t>122.8亿元（2023）</w:t>
            </w:r>
          </w:p>
        </w:tc>
        <w:tc>
          <w:tcPr>
            <w:tcW w:type="dxa" w:w="3118"/>
          </w:tcPr>
          <w:p>
            <w:pPr>
              <w:spacing w:lineRule="exact" w:line="600"/>
              <w:jc w:val="center"/>
            </w:pPr>
            <w:r/>
            <w:r>
              <w:rPr>
                <w:rFonts w:ascii="仿宋_GB2312" w:hAnsi="仿宋_GB2312" w:eastAsia="仿宋_GB2312"/>
                <w:b w:val="0"/>
                <w:color w:val="000000"/>
                <w:sz w:val="32"/>
              </w:rPr>
              <w:t>恒州诚思</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钢球是机械运转的「关节」，作为关键基础零部件被纳入工业强基与产业基础再造工程重点支持范畴。2023年工信部发布《轴承钢球行业高质量发展行动计划》，提出到2025年行业总产值达到550亿元、高端产品占比提升至40%的目标（来源：博研咨询《中国配套轴承钢球行业市场前景预测及投资价值评估报告》）。国家层面持续推进「专精特新」与制造业单项冠军培育，为宁阳钢球由中低端向精密化升级提供了政策窗口。</w:t>
      </w:r>
    </w:p>
    <w:p>
      <w:pPr>
        <w:spacing w:lineRule="exact" w:line="600" w:before="120" w:after="120"/>
        <w:ind w:firstLine="420"/>
        <w:jc w:val="left"/>
      </w:pPr>
      <w:r>
        <w:rPr>
          <w:rFonts w:ascii="楷体_GB2312" w:hAnsi="楷体_GB2312" w:eastAsia="楷体_GB2312"/>
          <w:b w:val="0"/>
          <w:color w:val="000000"/>
          <w:sz w:val="32"/>
        </w:rPr>
        <w:t>（二）区域产业定位与历史沿革</w:t>
      </w:r>
    </w:p>
    <w:p>
      <w:pPr>
        <w:spacing w:lineRule="exact" w:line="600" w:before="0" w:after="0"/>
        <w:ind w:firstLine="420"/>
        <w:jc w:val="both"/>
      </w:pPr>
      <w:r>
        <w:rPr>
          <w:rFonts w:ascii="仿宋_GB2312" w:hAnsi="仿宋_GB2312" w:eastAsia="仿宋_GB2312"/>
          <w:b w:val="0"/>
          <w:color w:val="000000"/>
          <w:sz w:val="32"/>
        </w:rPr>
        <w:t>宁阳钢球产业起步于20世纪80年代，产品品种多、规格全、产量大，被誉为「中国钢球之乡」。2018年被认定为「山东省转型升级示范产业集群」，2021年又被认定为「山东省特色产业集群」（来源：宁阳县政府官网《小钢珠「滚」出大产业》，2024-09-14；山东省工业和信息化厅产业集群公示）。集群核心区位于宁阳县堽城镇钢球工业园，是泰安市县域特色产业的支柱板块。</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政策/事件</w:t>
            </w:r>
          </w:p>
        </w:tc>
        <w:tc>
          <w:tcPr>
            <w:tcW w:type="dxa" w:w="1134"/>
          </w:tcPr>
          <w:p>
            <w:pPr>
              <w:spacing w:lineRule="exact" w:line="600"/>
              <w:jc w:val="center"/>
            </w:pPr>
            <w:r/>
            <w:r>
              <w:rPr>
                <w:rFonts w:ascii="黑体" w:hAnsi="黑体" w:eastAsia="黑体"/>
                <w:b/>
                <w:color w:val="000000"/>
                <w:sz w:val="32"/>
              </w:rPr>
              <w:t>时间</w:t>
            </w:r>
          </w:p>
        </w:tc>
        <w:tc>
          <w:tcPr>
            <w:tcW w:type="dxa" w:w="3685"/>
          </w:tcPr>
          <w:p>
            <w:pPr>
              <w:spacing w:lineRule="exact" w:line="600"/>
              <w:jc w:val="center"/>
            </w:pPr>
            <w:r/>
            <w:r>
              <w:rPr>
                <w:rFonts w:ascii="黑体" w:hAnsi="黑体" w:eastAsia="黑体"/>
                <w:b/>
                <w:color w:val="000000"/>
                <w:sz w:val="32"/>
              </w:rPr>
              <w:t>主要内容</w:t>
            </w:r>
          </w:p>
        </w:tc>
        <w:tc>
          <w:tcPr>
            <w:tcW w:type="dxa" w:w="170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山东省转型升级示范产业集群</w:t>
            </w:r>
          </w:p>
        </w:tc>
        <w:tc>
          <w:tcPr>
            <w:tcW w:type="dxa" w:w="1134"/>
          </w:tcPr>
          <w:p>
            <w:pPr>
              <w:spacing w:lineRule="exact" w:line="600"/>
              <w:jc w:val="center"/>
            </w:pPr>
            <w:r/>
            <w:r>
              <w:rPr>
                <w:rFonts w:ascii="仿宋_GB2312" w:hAnsi="仿宋_GB2312" w:eastAsia="仿宋_GB2312"/>
                <w:b w:val="0"/>
                <w:color w:val="000000"/>
                <w:sz w:val="32"/>
              </w:rPr>
              <w:t>2018年</w:t>
            </w:r>
          </w:p>
        </w:tc>
        <w:tc>
          <w:tcPr>
            <w:tcW w:type="dxa" w:w="3685"/>
          </w:tcPr>
          <w:p>
            <w:pPr>
              <w:spacing w:lineRule="exact" w:line="600"/>
              <w:jc w:val="center"/>
            </w:pPr>
            <w:r/>
            <w:r>
              <w:rPr>
                <w:rFonts w:ascii="仿宋_GB2312" w:hAnsi="仿宋_GB2312" w:eastAsia="仿宋_GB2312"/>
                <w:b w:val="0"/>
                <w:color w:val="000000"/>
                <w:sz w:val="32"/>
              </w:rPr>
              <w:t>宁阳钢球产业获省级示范认定</w:t>
            </w:r>
          </w:p>
        </w:tc>
        <w:tc>
          <w:tcPr>
            <w:tcW w:type="dxa" w:w="1701"/>
          </w:tcPr>
          <w:p>
            <w:pPr>
              <w:spacing w:lineRule="exact" w:line="600"/>
              <w:jc w:val="center"/>
            </w:pPr>
            <w:r/>
            <w:r>
              <w:rPr>
                <w:rFonts w:ascii="仿宋_GB2312" w:hAnsi="仿宋_GB2312" w:eastAsia="仿宋_GB2312"/>
                <w:b w:val="0"/>
                <w:color w:val="000000"/>
                <w:sz w:val="32"/>
              </w:rPr>
              <w:t>宁阳县政府官网</w:t>
            </w:r>
          </w:p>
        </w:tc>
      </w:tr>
      <w:tr>
        <w:tc>
          <w:tcPr>
            <w:tcW w:type="dxa" w:w="2551"/>
          </w:tcPr>
          <w:p>
            <w:pPr>
              <w:spacing w:lineRule="exact" w:line="600"/>
              <w:jc w:val="center"/>
            </w:pPr>
            <w:r/>
            <w:r>
              <w:rPr>
                <w:rFonts w:ascii="仿宋_GB2312" w:hAnsi="仿宋_GB2312" w:eastAsia="仿宋_GB2312"/>
                <w:b w:val="0"/>
                <w:color w:val="000000"/>
                <w:sz w:val="32"/>
              </w:rPr>
              <w:t>山东省特色产业集群</w:t>
            </w:r>
          </w:p>
        </w:tc>
        <w:tc>
          <w:tcPr>
            <w:tcW w:type="dxa" w:w="1134"/>
          </w:tcPr>
          <w:p>
            <w:pPr>
              <w:spacing w:lineRule="exact" w:line="600"/>
              <w:jc w:val="center"/>
            </w:pPr>
            <w:r/>
            <w:r>
              <w:rPr>
                <w:rFonts w:ascii="仿宋_GB2312" w:hAnsi="仿宋_GB2312" w:eastAsia="仿宋_GB2312"/>
                <w:b w:val="0"/>
                <w:color w:val="000000"/>
                <w:sz w:val="32"/>
              </w:rPr>
              <w:t>2021年</w:t>
            </w:r>
          </w:p>
        </w:tc>
        <w:tc>
          <w:tcPr>
            <w:tcW w:type="dxa" w:w="3685"/>
          </w:tcPr>
          <w:p>
            <w:pPr>
              <w:spacing w:lineRule="exact" w:line="600"/>
              <w:jc w:val="center"/>
            </w:pPr>
            <w:r/>
            <w:r>
              <w:rPr>
                <w:rFonts w:ascii="仿宋_GB2312" w:hAnsi="仿宋_GB2312" w:eastAsia="仿宋_GB2312"/>
                <w:b w:val="0"/>
                <w:color w:val="000000"/>
                <w:sz w:val="32"/>
              </w:rPr>
              <w:t>入选省级特色产业集群</w:t>
            </w:r>
          </w:p>
        </w:tc>
        <w:tc>
          <w:tcPr>
            <w:tcW w:type="dxa" w:w="1701"/>
          </w:tcPr>
          <w:p>
            <w:pPr>
              <w:spacing w:lineRule="exact" w:line="600"/>
              <w:jc w:val="center"/>
            </w:pPr>
            <w:r/>
            <w:r>
              <w:rPr>
                <w:rFonts w:ascii="仿宋_GB2312" w:hAnsi="仿宋_GB2312" w:eastAsia="仿宋_GB2312"/>
                <w:b w:val="0"/>
                <w:color w:val="000000"/>
                <w:sz w:val="32"/>
              </w:rPr>
              <w:t>山东省工信厅</w:t>
            </w:r>
          </w:p>
        </w:tc>
      </w:tr>
      <w:tr>
        <w:tc>
          <w:tcPr>
            <w:tcW w:type="dxa" w:w="2551"/>
          </w:tcPr>
          <w:p>
            <w:pPr>
              <w:spacing w:lineRule="exact" w:line="600"/>
              <w:jc w:val="center"/>
            </w:pPr>
            <w:r/>
            <w:r>
              <w:rPr>
                <w:rFonts w:ascii="仿宋_GB2312" w:hAnsi="仿宋_GB2312" w:eastAsia="仿宋_GB2312"/>
                <w:b w:val="0"/>
                <w:color w:val="000000"/>
                <w:sz w:val="32"/>
              </w:rPr>
              <w:t>钢球产业大脑试点</w:t>
            </w:r>
          </w:p>
        </w:tc>
        <w:tc>
          <w:tcPr>
            <w:tcW w:type="dxa" w:w="1134"/>
          </w:tcPr>
          <w:p>
            <w:pPr>
              <w:spacing w:lineRule="exact" w:line="600"/>
              <w:jc w:val="center"/>
            </w:pPr>
            <w:r/>
            <w:r>
              <w:rPr>
                <w:rFonts w:ascii="仿宋_GB2312" w:hAnsi="仿宋_GB2312" w:eastAsia="仿宋_GB2312"/>
                <w:b w:val="0"/>
                <w:color w:val="000000"/>
                <w:sz w:val="32"/>
              </w:rPr>
              <w:t>2024年</w:t>
            </w:r>
          </w:p>
        </w:tc>
        <w:tc>
          <w:tcPr>
            <w:tcW w:type="dxa" w:w="3685"/>
          </w:tcPr>
          <w:p>
            <w:pPr>
              <w:spacing w:lineRule="exact" w:line="600"/>
              <w:jc w:val="center"/>
            </w:pPr>
            <w:r/>
            <w:r>
              <w:rPr>
                <w:rFonts w:ascii="仿宋_GB2312" w:hAnsi="仿宋_GB2312" w:eastAsia="仿宋_GB2312"/>
                <w:b w:val="0"/>
                <w:color w:val="000000"/>
                <w:sz w:val="32"/>
              </w:rPr>
              <w:t>入选山东省「产业大脑」建设试点</w:t>
            </w:r>
          </w:p>
        </w:tc>
        <w:tc>
          <w:tcPr>
            <w:tcW w:type="dxa" w:w="1701"/>
          </w:tcPr>
          <w:p>
            <w:pPr>
              <w:spacing w:lineRule="exact" w:line="600"/>
              <w:jc w:val="center"/>
            </w:pPr>
            <w:r/>
            <w:r>
              <w:rPr>
                <w:rFonts w:ascii="仿宋_GB2312" w:hAnsi="仿宋_GB2312" w:eastAsia="仿宋_GB2312"/>
                <w:b w:val="0"/>
                <w:color w:val="000000"/>
                <w:sz w:val="32"/>
              </w:rPr>
              <w:t>山东省工信厅/经济日报</w:t>
            </w:r>
          </w:p>
        </w:tc>
      </w:tr>
      <w:tr>
        <w:tc>
          <w:tcPr>
            <w:tcW w:type="dxa" w:w="2551"/>
          </w:tcPr>
          <w:p>
            <w:pPr>
              <w:spacing w:lineRule="exact" w:line="600"/>
              <w:jc w:val="center"/>
            </w:pPr>
            <w:r/>
            <w:r>
              <w:rPr>
                <w:rFonts w:ascii="仿宋_GB2312" w:hAnsi="仿宋_GB2312" w:eastAsia="仿宋_GB2312"/>
                <w:b w:val="0"/>
                <w:color w:val="000000"/>
                <w:sz w:val="32"/>
              </w:rPr>
              <w:t>轴承钢球高质量发展行动计划</w:t>
            </w:r>
          </w:p>
        </w:tc>
        <w:tc>
          <w:tcPr>
            <w:tcW w:type="dxa" w:w="1134"/>
          </w:tcPr>
          <w:p>
            <w:pPr>
              <w:spacing w:lineRule="exact" w:line="600"/>
              <w:jc w:val="center"/>
            </w:pPr>
            <w:r/>
            <w:r>
              <w:rPr>
                <w:rFonts w:ascii="仿宋_GB2312" w:hAnsi="仿宋_GB2312" w:eastAsia="仿宋_GB2312"/>
                <w:b w:val="0"/>
                <w:color w:val="000000"/>
                <w:sz w:val="32"/>
              </w:rPr>
              <w:t>2023年</w:t>
            </w:r>
          </w:p>
        </w:tc>
        <w:tc>
          <w:tcPr>
            <w:tcW w:type="dxa" w:w="3685"/>
          </w:tcPr>
          <w:p>
            <w:pPr>
              <w:spacing w:lineRule="exact" w:line="600"/>
              <w:jc w:val="center"/>
            </w:pPr>
            <w:r/>
            <w:r>
              <w:rPr>
                <w:rFonts w:ascii="仿宋_GB2312" w:hAnsi="仿宋_GB2312" w:eastAsia="仿宋_GB2312"/>
                <w:b w:val="0"/>
                <w:color w:val="000000"/>
                <w:sz w:val="32"/>
              </w:rPr>
              <w:t>2025年行业总产值550亿元、高端占比40%</w:t>
            </w:r>
          </w:p>
        </w:tc>
        <w:tc>
          <w:tcPr>
            <w:tcW w:type="dxa" w:w="1701"/>
          </w:tcPr>
          <w:p>
            <w:pPr>
              <w:spacing w:lineRule="exact" w:line="600"/>
              <w:jc w:val="center"/>
            </w:pPr>
            <w:r/>
            <w:r>
              <w:rPr>
                <w:rFonts w:ascii="仿宋_GB2312" w:hAnsi="仿宋_GB2312" w:eastAsia="仿宋_GB2312"/>
                <w:b w:val="0"/>
                <w:color w:val="000000"/>
                <w:sz w:val="32"/>
              </w:rPr>
              <w:t>工信部/博研咨询</w:t>
            </w:r>
          </w:p>
        </w:tc>
      </w:tr>
    </w:tbl>
    <w:p>
      <w:pPr>
        <w:spacing w:lineRule="exact" w:line="600" w:before="120" w:after="120"/>
        <w:ind w:firstLine="420"/>
        <w:jc w:val="left"/>
      </w:pPr>
      <w:r>
        <w:rPr>
          <w:rFonts w:ascii="楷体_GB2312" w:hAnsi="楷体_GB2312" w:eastAsia="楷体_GB2312"/>
          <w:b w:val="0"/>
          <w:color w:val="000000"/>
          <w:sz w:val="32"/>
        </w:rPr>
        <w:t>中国钢球之乡（本批真实数据补充·来源见正文）</w:t>
      </w:r>
    </w:p>
    <w:p>
      <w:pPr>
        <w:spacing w:lineRule="exact" w:line="600" w:before="0" w:after="0"/>
        <w:ind w:firstLine="420"/>
        <w:jc w:val="both"/>
      </w:pPr>
      <w:r>
        <w:rPr>
          <w:rFonts w:ascii="仿宋_GB2312" w:hAnsi="仿宋_GB2312" w:eastAsia="仿宋_GB2312"/>
          <w:b w:val="0"/>
          <w:color w:val="000000"/>
          <w:sz w:val="32"/>
        </w:rPr>
        <w:t>宁阳是“中国钢球之乡”，钢球产业起步于上世纪八十年代，年产碳钢球、轴承钢球、不锈钢球67万吨，产能超过全国的65%，覆盖拔丝、冷镦、硬磨、淬火、光球、精研全产业链。2018年认定为“山东省转型升级示范产业集群”、2021年认定为“山东省特色产业集群”。（来源：中国经济网、中国产业经济信息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钢球年产量</w:t>
            </w:r>
          </w:p>
        </w:tc>
        <w:tc>
          <w:tcPr>
            <w:tcW w:type="dxa" w:w="3118"/>
          </w:tcPr>
          <w:p>
            <w:pPr>
              <w:spacing w:lineRule="exact" w:line="600"/>
              <w:jc w:val="center"/>
            </w:pPr>
            <w:r/>
            <w:r>
              <w:rPr>
                <w:rFonts w:ascii="仿宋_GB2312" w:hAnsi="仿宋_GB2312" w:eastAsia="仿宋_GB2312"/>
                <w:b w:val="0"/>
                <w:color w:val="000000"/>
                <w:sz w:val="32"/>
              </w:rPr>
              <w:t>67万吨</w:t>
            </w:r>
          </w:p>
        </w:tc>
        <w:tc>
          <w:tcPr>
            <w:tcW w:type="dxa" w:w="2551"/>
          </w:tcPr>
          <w:p>
            <w:pPr>
              <w:spacing w:lineRule="exact" w:line="600"/>
              <w:jc w:val="center"/>
            </w:pPr>
            <w:r/>
            <w:r>
              <w:rPr>
                <w:rFonts w:ascii="仿宋_GB2312" w:hAnsi="仿宋_GB2312" w:eastAsia="仿宋_GB2312"/>
                <w:b w:val="0"/>
                <w:color w:val="000000"/>
                <w:sz w:val="32"/>
              </w:rPr>
              <w:t>产能超全国65%</w:t>
            </w:r>
          </w:p>
        </w:tc>
      </w:tr>
      <w:tr>
        <w:tc>
          <w:tcPr>
            <w:tcW w:type="dxa" w:w="2835"/>
          </w:tcPr>
          <w:p>
            <w:pPr>
              <w:spacing w:lineRule="exact" w:line="600"/>
              <w:jc w:val="center"/>
            </w:pPr>
            <w:r/>
            <w:r>
              <w:rPr>
                <w:rFonts w:ascii="仿宋_GB2312" w:hAnsi="仿宋_GB2312" w:eastAsia="仿宋_GB2312"/>
                <w:b w:val="0"/>
                <w:color w:val="000000"/>
                <w:sz w:val="32"/>
              </w:rPr>
              <w:t>产业链</w:t>
            </w:r>
          </w:p>
        </w:tc>
        <w:tc>
          <w:tcPr>
            <w:tcW w:type="dxa" w:w="3118"/>
          </w:tcPr>
          <w:p>
            <w:pPr>
              <w:spacing w:lineRule="exact" w:line="600"/>
              <w:jc w:val="center"/>
            </w:pPr>
            <w:r/>
            <w:r>
              <w:rPr>
                <w:rFonts w:ascii="仿宋_GB2312" w:hAnsi="仿宋_GB2312" w:eastAsia="仿宋_GB2312"/>
                <w:b w:val="0"/>
                <w:color w:val="000000"/>
                <w:sz w:val="32"/>
              </w:rPr>
              <w:t>拔丝到精研16道工序</w:t>
            </w:r>
          </w:p>
        </w:tc>
        <w:tc>
          <w:tcPr>
            <w:tcW w:type="dxa" w:w="2551"/>
          </w:tcPr>
          <w:p>
            <w:pPr>
              <w:spacing w:lineRule="exact" w:line="600"/>
              <w:jc w:val="center"/>
            </w:pPr>
            <w:r/>
            <w:r>
              <w:rPr>
                <w:rFonts w:ascii="仿宋_GB2312" w:hAnsi="仿宋_GB2312" w:eastAsia="仿宋_GB2312"/>
                <w:b w:val="0"/>
                <w:color w:val="000000"/>
                <w:sz w:val="32"/>
              </w:rPr>
              <w:t>全产业链</w:t>
            </w:r>
          </w:p>
        </w:tc>
      </w:tr>
      <w:tr>
        <w:tc>
          <w:tcPr>
            <w:tcW w:type="dxa" w:w="2835"/>
          </w:tcPr>
          <w:p>
            <w:pPr>
              <w:spacing w:lineRule="exact" w:line="600"/>
              <w:jc w:val="center"/>
            </w:pPr>
            <w:r/>
            <w:r>
              <w:rPr>
                <w:rFonts w:ascii="仿宋_GB2312" w:hAnsi="仿宋_GB2312" w:eastAsia="仿宋_GB2312"/>
                <w:b w:val="0"/>
                <w:color w:val="000000"/>
                <w:sz w:val="32"/>
              </w:rPr>
              <w:t>集群认定</w:t>
            </w:r>
          </w:p>
        </w:tc>
        <w:tc>
          <w:tcPr>
            <w:tcW w:type="dxa" w:w="3118"/>
          </w:tcPr>
          <w:p>
            <w:pPr>
              <w:spacing w:lineRule="exact" w:line="600"/>
              <w:jc w:val="center"/>
            </w:pPr>
            <w:r/>
            <w:r>
              <w:rPr>
                <w:rFonts w:ascii="仿宋_GB2312" w:hAnsi="仿宋_GB2312" w:eastAsia="仿宋_GB2312"/>
                <w:b w:val="0"/>
                <w:color w:val="000000"/>
                <w:sz w:val="32"/>
              </w:rPr>
              <w:t>省示范(2018)/省特色(2021)</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2835"/>
          </w:tcPr>
          <w:p>
            <w:pPr>
              <w:spacing w:lineRule="exact" w:line="600"/>
              <w:jc w:val="center"/>
            </w:pPr>
            <w:r/>
            <w:r>
              <w:rPr>
                <w:rFonts w:ascii="仿宋_GB2312" w:hAnsi="仿宋_GB2312" w:eastAsia="仿宋_GB2312"/>
                <w:b w:val="0"/>
                <w:color w:val="000000"/>
                <w:sz w:val="32"/>
              </w:rPr>
              <w:t>产业地位</w:t>
            </w:r>
          </w:p>
        </w:tc>
        <w:tc>
          <w:tcPr>
            <w:tcW w:type="dxa" w:w="3118"/>
          </w:tcPr>
          <w:p>
            <w:pPr>
              <w:spacing w:lineRule="exact" w:line="600"/>
              <w:jc w:val="center"/>
            </w:pPr>
            <w:r/>
            <w:r>
              <w:rPr>
                <w:rFonts w:ascii="仿宋_GB2312" w:hAnsi="仿宋_GB2312" w:eastAsia="仿宋_GB2312"/>
                <w:b w:val="0"/>
                <w:color w:val="000000"/>
                <w:sz w:val="32"/>
              </w:rPr>
              <w:t>中国钢球之乡</w:t>
            </w:r>
          </w:p>
        </w:tc>
        <w:tc>
          <w:tcPr>
            <w:tcW w:type="dxa" w:w="2551"/>
          </w:tcPr>
          <w:p>
            <w:pPr>
              <w:spacing w:lineRule="exact" w:line="600"/>
              <w:jc w:val="center"/>
            </w:pPr>
            <w:r/>
            <w:r>
              <w:rPr>
                <w:rFonts w:ascii="仿宋_GB2312" w:hAnsi="仿宋_GB2312" w:eastAsia="仿宋_GB2312"/>
                <w:b w:val="0"/>
                <w:color w:val="000000"/>
                <w:sz w:val="32"/>
              </w:rPr>
              <w:t>县域特色</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（一）上游：原材料与钢丝改制</w:t>
      </w:r>
    </w:p>
    <w:p>
      <w:pPr>
        <w:spacing w:lineRule="exact" w:line="600" w:before="0" w:after="0"/>
        <w:ind w:firstLine="420"/>
        <w:jc w:val="both"/>
      </w:pPr>
      <w:r>
        <w:rPr>
          <w:rFonts w:ascii="仿宋_GB2312" w:hAnsi="仿宋_GB2312" w:eastAsia="仿宋_GB2312"/>
          <w:b w:val="0"/>
          <w:color w:val="000000"/>
          <w:sz w:val="32"/>
        </w:rPr>
        <w:t>轴承钢球制造的上游为轴承钢（主流牌号GCr15）及冷拔钢丝。长期以来宁阳钢球企业多以外购钢丝、轴承钢为主，本地缺乏大型原材料改制能力。随着辰信轴承科技30万吨退火改制材料生产线建成点火，宁阳正形成全国最大的滚动体（钢球）基础材料生产基地，实现原料直供下游厂门口（来源：山东省装备制造业协会《协会探厂》2026-04；辰信轴承科技官网）。</w:t>
      </w:r>
    </w:p>
    <w:p>
      <w:pPr>
        <w:spacing w:lineRule="exact" w:line="600" w:before="120" w:after="120"/>
        <w:ind w:firstLine="420"/>
        <w:jc w:val="left"/>
      </w:pPr>
      <w:r>
        <w:rPr>
          <w:rFonts w:ascii="楷体_GB2312" w:hAnsi="楷体_GB2312" w:eastAsia="楷体_GB2312"/>
          <w:b w:val="0"/>
          <w:color w:val="000000"/>
          <w:sz w:val="32"/>
        </w:rPr>
        <w:t>（二）中游：球坯制造与精加工</w:t>
      </w:r>
    </w:p>
    <w:p>
      <w:pPr>
        <w:spacing w:lineRule="exact" w:line="600" w:before="0" w:after="0"/>
        <w:ind w:firstLine="420"/>
        <w:jc w:val="both"/>
      </w:pPr>
      <w:r>
        <w:rPr>
          <w:rFonts w:ascii="仿宋_GB2312" w:hAnsi="仿宋_GB2312" w:eastAsia="仿宋_GB2312"/>
          <w:b w:val="0"/>
          <w:color w:val="000000"/>
          <w:sz w:val="32"/>
        </w:rPr>
        <w:t>钢球生产涵盖拔丝、冷镦、硬磨、淬火、光球、精研等16道工序，宁阳已建立从拔丝到精研的完整产品生产链条，覆盖30多个系列、上百种规格（来源：经济日报新闻客户端/中国产业经济信息网《山东宁阳：小钢球滚出大产业》）。辰信产品涵盖φ0.3mm至φ78mm全规格、G5至G100级全精度等级，满足汽车、风电、精密机床、航空航天等场景。</w:t>
      </w:r>
    </w:p>
    <w:p>
      <w:pPr>
        <w:spacing w:lineRule="exact" w:line="600" w:before="120" w:after="120"/>
        <w:ind w:firstLine="420"/>
        <w:jc w:val="left"/>
      </w:pPr>
      <w:r>
        <w:rPr>
          <w:rFonts w:ascii="楷体_GB2312" w:hAnsi="楷体_GB2312" w:eastAsia="楷体_GB2312"/>
          <w:b w:val="0"/>
          <w:color w:val="000000"/>
          <w:sz w:val="32"/>
        </w:rPr>
        <w:t>（三）下游：终端装备配套应用</w:t>
      </w:r>
    </w:p>
    <w:p>
      <w:pPr>
        <w:spacing w:lineRule="exact" w:line="600" w:before="0" w:after="0"/>
        <w:ind w:firstLine="420"/>
        <w:jc w:val="both"/>
      </w:pPr>
      <w:r>
        <w:rPr>
          <w:rFonts w:ascii="仿宋_GB2312" w:hAnsi="仿宋_GB2312" w:eastAsia="仿宋_GB2312"/>
          <w:b w:val="0"/>
          <w:color w:val="000000"/>
          <w:sz w:val="32"/>
        </w:rPr>
        <w:t>钢球下游覆盖汽车（轮毂轴承、安全带）、风电齿轮箱、工程机械、精密机床、医疗设备及航空航天。2023年中国汽车产销量分别约3000万辆、2940万辆（中汽协），每辆车平均使用数千颗钢球；2023年中国新增风电装机约7500万千瓦（行业年报），大型轴承对钢球可靠性要求极高，构成高端需求增量。</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代表企业/内容</w:t>
            </w:r>
          </w:p>
        </w:tc>
        <w:tc>
          <w:tcPr>
            <w:tcW w:type="dxa" w:w="2835"/>
          </w:tcPr>
          <w:p>
            <w:pPr>
              <w:spacing w:lineRule="exact" w:line="600"/>
              <w:jc w:val="center"/>
            </w:pPr>
            <w:r/>
            <w:r>
              <w:rPr>
                <w:rFonts w:ascii="黑体" w:hAnsi="黑体" w:eastAsia="黑体"/>
                <w:b/>
                <w:color w:val="000000"/>
                <w:sz w:val="32"/>
              </w:rPr>
              <w:t>关键数据</w:t>
            </w:r>
          </w:p>
        </w:tc>
        <w:tc>
          <w:tcPr>
            <w:tcW w:type="dxa" w:w="1984"/>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上游改制</w:t>
            </w:r>
          </w:p>
        </w:tc>
        <w:tc>
          <w:tcPr>
            <w:tcW w:type="dxa" w:w="2835"/>
          </w:tcPr>
          <w:p>
            <w:pPr>
              <w:spacing w:lineRule="exact" w:line="600"/>
              <w:jc w:val="center"/>
            </w:pPr>
            <w:r/>
            <w:r>
              <w:rPr>
                <w:rFonts w:ascii="仿宋_GB2312" w:hAnsi="仿宋_GB2312" w:eastAsia="仿宋_GB2312"/>
                <w:b w:val="0"/>
                <w:color w:val="000000"/>
                <w:sz w:val="32"/>
              </w:rPr>
              <w:t>辰信30万吨钢丝罩式球化炉</w:t>
            </w:r>
          </w:p>
        </w:tc>
        <w:tc>
          <w:tcPr>
            <w:tcW w:type="dxa" w:w="2835"/>
          </w:tcPr>
          <w:p>
            <w:pPr>
              <w:spacing w:lineRule="exact" w:line="600"/>
              <w:jc w:val="center"/>
            </w:pPr>
            <w:r/>
            <w:r>
              <w:rPr>
                <w:rFonts w:ascii="仿宋_GB2312" w:hAnsi="仿宋_GB2312" w:eastAsia="仿宋_GB2312"/>
                <w:b w:val="0"/>
                <w:color w:val="000000"/>
                <w:sz w:val="32"/>
              </w:rPr>
              <w:t>全国最大滚动体原材料基地</w:t>
            </w:r>
          </w:p>
        </w:tc>
        <w:tc>
          <w:tcPr>
            <w:tcW w:type="dxa" w:w="1984"/>
          </w:tcPr>
          <w:p>
            <w:pPr>
              <w:spacing w:lineRule="exact" w:line="600"/>
              <w:jc w:val="center"/>
            </w:pPr>
            <w:r/>
            <w:r>
              <w:rPr>
                <w:rFonts w:ascii="仿宋_GB2312" w:hAnsi="仿宋_GB2312" w:eastAsia="仿宋_GB2312"/>
                <w:b w:val="0"/>
                <w:color w:val="000000"/>
                <w:sz w:val="32"/>
              </w:rPr>
              <w:t>山东省装备制造业协会</w:t>
            </w:r>
          </w:p>
        </w:tc>
      </w:tr>
      <w:tr>
        <w:tc>
          <w:tcPr>
            <w:tcW w:type="dxa" w:w="1417"/>
          </w:tcPr>
          <w:p>
            <w:pPr>
              <w:spacing w:lineRule="exact" w:line="600"/>
              <w:jc w:val="center"/>
            </w:pPr>
            <w:r/>
            <w:r>
              <w:rPr>
                <w:rFonts w:ascii="仿宋_GB2312" w:hAnsi="仿宋_GB2312" w:eastAsia="仿宋_GB2312"/>
                <w:b w:val="0"/>
                <w:color w:val="000000"/>
                <w:sz w:val="32"/>
              </w:rPr>
              <w:t>中游制造</w:t>
            </w:r>
          </w:p>
        </w:tc>
        <w:tc>
          <w:tcPr>
            <w:tcW w:type="dxa" w:w="2835"/>
          </w:tcPr>
          <w:p>
            <w:pPr>
              <w:spacing w:lineRule="exact" w:line="600"/>
              <w:jc w:val="center"/>
            </w:pPr>
            <w:r/>
            <w:r>
              <w:rPr>
                <w:rFonts w:ascii="仿宋_GB2312" w:hAnsi="仿宋_GB2312" w:eastAsia="仿宋_GB2312"/>
                <w:b w:val="0"/>
                <w:color w:val="000000"/>
                <w:sz w:val="32"/>
              </w:rPr>
              <w:t>宁阳320余家钢球企业</w:t>
            </w:r>
          </w:p>
        </w:tc>
        <w:tc>
          <w:tcPr>
            <w:tcW w:type="dxa" w:w="2835"/>
          </w:tcPr>
          <w:p>
            <w:pPr>
              <w:spacing w:lineRule="exact" w:line="600"/>
              <w:jc w:val="center"/>
            </w:pPr>
            <w:r/>
            <w:r>
              <w:rPr>
                <w:rFonts w:ascii="仿宋_GB2312" w:hAnsi="仿宋_GB2312" w:eastAsia="仿宋_GB2312"/>
                <w:b w:val="0"/>
                <w:color w:val="000000"/>
                <w:sz w:val="32"/>
              </w:rPr>
              <w:t>16道工序全覆盖、上百种规格</w:t>
            </w:r>
          </w:p>
        </w:tc>
        <w:tc>
          <w:tcPr>
            <w:tcW w:type="dxa" w:w="1984"/>
          </w:tcPr>
          <w:p>
            <w:pPr>
              <w:spacing w:lineRule="exact" w:line="600"/>
              <w:jc w:val="center"/>
            </w:pPr>
            <w:r/>
            <w:r>
              <w:rPr>
                <w:rFonts w:ascii="仿宋_GB2312" w:hAnsi="仿宋_GB2312" w:eastAsia="仿宋_GB2312"/>
                <w:b w:val="0"/>
                <w:color w:val="000000"/>
                <w:sz w:val="32"/>
              </w:rPr>
              <w:t>经济日报</w:t>
            </w:r>
          </w:p>
        </w:tc>
      </w:tr>
      <w:tr>
        <w:tc>
          <w:tcPr>
            <w:tcW w:type="dxa" w:w="1417"/>
          </w:tcPr>
          <w:p>
            <w:pPr>
              <w:spacing w:lineRule="exact" w:line="600"/>
              <w:jc w:val="center"/>
            </w:pPr>
            <w:r/>
            <w:r>
              <w:rPr>
                <w:rFonts w:ascii="仿宋_GB2312" w:hAnsi="仿宋_GB2312" w:eastAsia="仿宋_GB2312"/>
                <w:b w:val="0"/>
                <w:color w:val="000000"/>
                <w:sz w:val="32"/>
              </w:rPr>
              <w:t>下游应用</w:t>
            </w:r>
          </w:p>
        </w:tc>
        <w:tc>
          <w:tcPr>
            <w:tcW w:type="dxa" w:w="2835"/>
          </w:tcPr>
          <w:p>
            <w:pPr>
              <w:spacing w:lineRule="exact" w:line="600"/>
              <w:jc w:val="center"/>
            </w:pPr>
            <w:r/>
            <w:r>
              <w:rPr>
                <w:rFonts w:ascii="仿宋_GB2312" w:hAnsi="仿宋_GB2312" w:eastAsia="仿宋_GB2312"/>
                <w:b w:val="0"/>
                <w:color w:val="000000"/>
                <w:sz w:val="32"/>
              </w:rPr>
              <w:t>汽车/风电/机械/航空</w:t>
            </w:r>
          </w:p>
        </w:tc>
        <w:tc>
          <w:tcPr>
            <w:tcW w:type="dxa" w:w="2835"/>
          </w:tcPr>
          <w:p>
            <w:pPr>
              <w:spacing w:lineRule="exact" w:line="600"/>
              <w:jc w:val="center"/>
            </w:pPr>
            <w:r/>
            <w:r>
              <w:rPr>
                <w:rFonts w:ascii="仿宋_GB2312" w:hAnsi="仿宋_GB2312" w:eastAsia="仿宋_GB2312"/>
                <w:b w:val="0"/>
                <w:color w:val="000000"/>
                <w:sz w:val="32"/>
              </w:rPr>
              <w:t>单车数千颗、风电高可靠需求</w:t>
            </w:r>
          </w:p>
        </w:tc>
        <w:tc>
          <w:tcPr>
            <w:tcW w:type="dxa" w:w="1984"/>
          </w:tcPr>
          <w:p>
            <w:pPr>
              <w:spacing w:lineRule="exact" w:line="600"/>
              <w:jc w:val="center"/>
            </w:pPr>
            <w:r/>
            <w:r>
              <w:rPr>
                <w:rFonts w:ascii="仿宋_GB2312" w:hAnsi="仿宋_GB2312" w:eastAsia="仿宋_GB2312"/>
                <w:b w:val="0"/>
                <w:color w:val="000000"/>
                <w:sz w:val="32"/>
              </w:rPr>
              <w:t>中汽协/行业研报</w:t>
            </w:r>
          </w:p>
        </w:tc>
      </w:tr>
    </w:tbl>
    <w:p>
      <w:pPr>
        <w:spacing w:lineRule="exact" w:line="600" w:before="120" w:after="120"/>
        <w:ind w:firstLine="420"/>
        <w:jc w:val="left"/>
      </w:pPr>
      <w:r>
        <w:rPr>
          <w:rFonts w:ascii="楷体_GB2312" w:hAnsi="楷体_GB2312" w:eastAsia="楷体_GB2312"/>
          <w:b w:val="0"/>
          <w:color w:val="000000"/>
          <w:sz w:val="32"/>
        </w:rPr>
        <w:t>龙头整合数字总部（本批真实数据补充·来源见正文）</w:t>
      </w:r>
    </w:p>
    <w:p>
      <w:pPr>
        <w:spacing w:lineRule="exact" w:line="600" w:before="0" w:after="0"/>
        <w:ind w:firstLine="420"/>
        <w:jc w:val="both"/>
      </w:pPr>
      <w:r>
        <w:rPr>
          <w:rFonts w:ascii="仿宋_GB2312" w:hAnsi="仿宋_GB2312" w:eastAsia="仿宋_GB2312"/>
          <w:b w:val="0"/>
          <w:color w:val="000000"/>
          <w:sz w:val="32"/>
        </w:rPr>
        <w:t>宁阳钢球产业已建立从拔丝到精研的完整产品生产链条，整合周边及县内320余家钢球生产企业，打造钢球数字经济总部；辰信轴承科技建设基础零部件绿色智能智造示范项目，依托洛阳轴承研究所技术支撑，推动产业向高端化、数字化、集群化迈进。（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环节/企业</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钢球生产企业</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县内整合</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绿色智能示范</w:t>
            </w:r>
          </w:p>
        </w:tc>
      </w:tr>
      <w:tr>
        <w:tc>
          <w:tcPr>
            <w:tcW w:type="dxa" w:w="3118"/>
          </w:tcPr>
          <w:p>
            <w:pPr>
              <w:spacing w:lineRule="exact" w:line="600"/>
              <w:jc w:val="center"/>
            </w:pPr>
            <w:r/>
            <w:r>
              <w:rPr>
                <w:rFonts w:ascii="仿宋_GB2312" w:hAnsi="仿宋_GB2312" w:eastAsia="仿宋_GB2312"/>
                <w:b w:val="0"/>
                <w:color w:val="000000"/>
                <w:sz w:val="32"/>
              </w:rPr>
              <w:t>技术支撑</w:t>
            </w:r>
          </w:p>
        </w:tc>
        <w:tc>
          <w:tcPr>
            <w:tcW w:type="dxa" w:w="2835"/>
          </w:tcPr>
          <w:p>
            <w:pPr>
              <w:spacing w:lineRule="exact" w:line="600"/>
              <w:jc w:val="center"/>
            </w:pPr>
            <w:r/>
            <w:r>
              <w:rPr>
                <w:rFonts w:ascii="仿宋_GB2312" w:hAnsi="仿宋_GB2312" w:eastAsia="仿宋_GB2312"/>
                <w:b w:val="0"/>
                <w:color w:val="000000"/>
                <w:sz w:val="32"/>
              </w:rPr>
              <w:t>洛阳轴承研究所</w:t>
            </w:r>
          </w:p>
        </w:tc>
        <w:tc>
          <w:tcPr>
            <w:tcW w:type="dxa" w:w="2551"/>
          </w:tcPr>
          <w:p>
            <w:pPr>
              <w:spacing w:lineRule="exact" w:line="600"/>
              <w:jc w:val="center"/>
            </w:pPr>
            <w:r/>
            <w:r>
              <w:rPr>
                <w:rFonts w:ascii="仿宋_GB2312" w:hAnsi="仿宋_GB2312" w:eastAsia="仿宋_GB2312"/>
                <w:b w:val="0"/>
                <w:color w:val="000000"/>
                <w:sz w:val="32"/>
              </w:rPr>
              <w:t>研发中心</w:t>
            </w:r>
          </w:p>
        </w:tc>
      </w:tr>
      <w:tr>
        <w:tc>
          <w:tcPr>
            <w:tcW w:type="dxa" w:w="3118"/>
          </w:tcPr>
          <w:p>
            <w:pPr>
              <w:spacing w:lineRule="exact" w:line="600"/>
              <w:jc w:val="center"/>
            </w:pPr>
            <w:r/>
            <w:r>
              <w:rPr>
                <w:rFonts w:ascii="仿宋_GB2312" w:hAnsi="仿宋_GB2312" w:eastAsia="仿宋_GB2312"/>
                <w:b w:val="0"/>
                <w:color w:val="000000"/>
                <w:sz w:val="32"/>
              </w:rPr>
              <w:t>载体</w:t>
            </w:r>
          </w:p>
        </w:tc>
        <w:tc>
          <w:tcPr>
            <w:tcW w:type="dxa" w:w="2835"/>
          </w:tcPr>
          <w:p>
            <w:pPr>
              <w:spacing w:lineRule="exact" w:line="600"/>
              <w:jc w:val="center"/>
            </w:pPr>
            <w:r/>
            <w:r>
              <w:rPr>
                <w:rFonts w:ascii="仿宋_GB2312" w:hAnsi="仿宋_GB2312" w:eastAsia="仿宋_GB2312"/>
                <w:b w:val="0"/>
                <w:color w:val="000000"/>
                <w:sz w:val="32"/>
              </w:rPr>
              <w:t>钢球数字经济总部</w:t>
            </w:r>
          </w:p>
        </w:tc>
        <w:tc>
          <w:tcPr>
            <w:tcW w:type="dxa" w:w="2551"/>
          </w:tcPr>
          <w:p>
            <w:pPr>
              <w:spacing w:lineRule="exact" w:line="600"/>
              <w:jc w:val="center"/>
            </w:pPr>
            <w:r/>
            <w:r>
              <w:rPr>
                <w:rFonts w:ascii="仿宋_GB2312" w:hAnsi="仿宋_GB2312" w:eastAsia="仿宋_GB2312"/>
                <w:b w:val="0"/>
                <w:color w:val="000000"/>
                <w:sz w:val="32"/>
              </w:rPr>
              <w:t>云联钢球</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（一）全球轴承钢球市场规模</w:t>
      </w:r>
    </w:p>
    <w:p>
      <w:pPr>
        <w:spacing w:lineRule="exact" w:line="600" w:before="0" w:after="0"/>
        <w:ind w:firstLine="420"/>
        <w:jc w:val="both"/>
      </w:pPr>
      <w:r>
        <w:rPr>
          <w:rFonts w:ascii="仿宋_GB2312" w:hAnsi="仿宋_GB2312" w:eastAsia="仿宋_GB2312"/>
          <w:b w:val="0"/>
          <w:color w:val="000000"/>
          <w:sz w:val="32"/>
        </w:rPr>
        <w:t>据恒州诚思统计，2023年全球轴承钢球市场规模约122.8亿元，预计2030年接近159.5亿元，年复合增长率约3.7%；前五大厂商（Tsubaki Nakashima、Amatsuji Steel Ball、力星股份、山东东阿钢球集团、SKF）合计占全球约47%，其中Tsubaki Nakashima以约22%份额居首（来源：恒州诚思《轴承钢球市场报告》）。铬钢球占全球份额58%，为第一大产品类型。</w:t>
      </w:r>
    </w:p>
    <w:p>
      <w:pPr>
        <w:spacing w:lineRule="exact" w:line="600" w:before="120" w:after="120"/>
        <w:ind w:firstLine="420"/>
        <w:jc w:val="left"/>
      </w:pPr>
      <w:r>
        <w:rPr>
          <w:rFonts w:ascii="楷体_GB2312" w:hAnsi="楷体_GB2312" w:eastAsia="楷体_GB2312"/>
          <w:b w:val="0"/>
          <w:color w:val="000000"/>
          <w:sz w:val="32"/>
        </w:rPr>
        <w:t>（二）国内市场规模与产量</w:t>
      </w:r>
    </w:p>
    <w:p>
      <w:pPr>
        <w:spacing w:lineRule="exact" w:line="600" w:before="0" w:after="0"/>
        <w:ind w:firstLine="420"/>
        <w:jc w:val="both"/>
      </w:pPr>
      <w:r>
        <w:rPr>
          <w:rFonts w:ascii="仿宋_GB2312" w:hAnsi="仿宋_GB2312" w:eastAsia="仿宋_GB2312"/>
          <w:b w:val="0"/>
          <w:color w:val="000000"/>
          <w:sz w:val="32"/>
        </w:rPr>
        <w:t>2023年中国配套轴承钢球行业市场规模约450亿元，同比增长8.5%；中国钢球产量达120万吨，占全球总产量约40%，为特殊滚珠轴承生产提供坚实物质基础（来源：博研咨询；北京博研智尚《中国特殊滚珠轴承行业市场前景预测》）。滚动轴承钢球细分口径2023年市场规模约185亿元，2018—2023年年均复合增长率约6.7%。</w:t>
      </w:r>
    </w:p>
    <w:p>
      <w:pPr>
        <w:spacing w:lineRule="exact" w:line="600" w:before="120" w:after="120"/>
        <w:ind w:firstLine="420"/>
        <w:jc w:val="left"/>
      </w:pPr>
      <w:r>
        <w:rPr>
          <w:rFonts w:ascii="楷体_GB2312" w:hAnsi="楷体_GB2312" w:eastAsia="楷体_GB2312"/>
          <w:b w:val="0"/>
          <w:color w:val="000000"/>
          <w:sz w:val="32"/>
        </w:rPr>
        <w:t>（三）宁阳的集群地位与份额</w:t>
      </w:r>
    </w:p>
    <w:p>
      <w:pPr>
        <w:spacing w:lineRule="exact" w:line="600" w:before="0" w:after="0"/>
        <w:ind w:firstLine="420"/>
        <w:jc w:val="both"/>
      </w:pPr>
      <w:r>
        <w:rPr>
          <w:rFonts w:ascii="仿宋_GB2312" w:hAnsi="仿宋_GB2312" w:eastAsia="仿宋_GB2312"/>
          <w:b w:val="0"/>
          <w:color w:val="000000"/>
          <w:sz w:val="32"/>
        </w:rPr>
        <w:t>宁阳钢球年产碳钢球、轴承钢球、不锈钢球67万吨，产能超过全国65%，为覆盖全产业链的产业集群；其中碳钢球产量居世界第一（来源：山东省工信厅中小企业产业集群材料/中国产业经济信息网）。2024年上半年全县钢球产业实现产值30亿元、同比增长11.1%，钢球产量37万吨、同比增长15.2%，延续稳健增长。</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市场维度</w:t>
            </w:r>
          </w:p>
        </w:tc>
        <w:tc>
          <w:tcPr>
            <w:tcW w:type="dxa" w:w="2551"/>
          </w:tcPr>
          <w:p>
            <w:pPr>
              <w:spacing w:lineRule="exact" w:line="600"/>
              <w:jc w:val="center"/>
            </w:pPr>
            <w:r/>
            <w:r>
              <w:rPr>
                <w:rFonts w:ascii="黑体" w:hAnsi="黑体" w:eastAsia="黑体"/>
                <w:b/>
                <w:color w:val="000000"/>
                <w:sz w:val="32"/>
              </w:rPr>
              <w:t>规模/份额</w:t>
            </w:r>
          </w:p>
        </w:tc>
        <w:tc>
          <w:tcPr>
            <w:tcW w:type="dxa" w:w="1984"/>
          </w:tcPr>
          <w:p>
            <w:pPr>
              <w:spacing w:lineRule="exact" w:line="600"/>
              <w:jc w:val="center"/>
            </w:pPr>
            <w:r/>
            <w:r>
              <w:rPr>
                <w:rFonts w:ascii="黑体" w:hAnsi="黑体" w:eastAsia="黑体"/>
                <w:b/>
                <w:color w:val="000000"/>
                <w:sz w:val="32"/>
              </w:rPr>
              <w:t>同比增速</w:t>
            </w:r>
          </w:p>
        </w:tc>
        <w:tc>
          <w:tcPr>
            <w:tcW w:type="dxa" w:w="1984"/>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全球轴承钢球</w:t>
            </w:r>
          </w:p>
        </w:tc>
        <w:tc>
          <w:tcPr>
            <w:tcW w:type="dxa" w:w="2551"/>
          </w:tcPr>
          <w:p>
            <w:pPr>
              <w:spacing w:lineRule="exact" w:line="600"/>
              <w:jc w:val="center"/>
            </w:pPr>
            <w:r/>
            <w:r>
              <w:rPr>
                <w:rFonts w:ascii="仿宋_GB2312" w:hAnsi="仿宋_GB2312" w:eastAsia="仿宋_GB2312"/>
                <w:b w:val="0"/>
                <w:color w:val="000000"/>
                <w:sz w:val="32"/>
              </w:rPr>
              <w:t>122.8亿元（2023）</w:t>
            </w:r>
          </w:p>
        </w:tc>
        <w:tc>
          <w:tcPr>
            <w:tcW w:type="dxa" w:w="1984"/>
          </w:tcPr>
          <w:p>
            <w:pPr>
              <w:spacing w:lineRule="exact" w:line="600"/>
              <w:jc w:val="center"/>
            </w:pPr>
            <w:r/>
            <w:r>
              <w:rPr>
                <w:rFonts w:ascii="仿宋_GB2312" w:hAnsi="仿宋_GB2312" w:eastAsia="仿宋_GB2312"/>
                <w:b w:val="0"/>
                <w:color w:val="000000"/>
                <w:sz w:val="32"/>
              </w:rPr>
              <w:t>CAGR 3.7%至2030</w:t>
            </w:r>
          </w:p>
        </w:tc>
        <w:tc>
          <w:tcPr>
            <w:tcW w:type="dxa" w:w="1984"/>
          </w:tcPr>
          <w:p>
            <w:pPr>
              <w:spacing w:lineRule="exact" w:line="600"/>
              <w:jc w:val="center"/>
            </w:pPr>
            <w:r/>
            <w:r>
              <w:rPr>
                <w:rFonts w:ascii="仿宋_GB2312" w:hAnsi="仿宋_GB2312" w:eastAsia="仿宋_GB2312"/>
                <w:b w:val="0"/>
                <w:color w:val="000000"/>
                <w:sz w:val="32"/>
              </w:rPr>
              <w:t>恒州诚思</w:t>
            </w:r>
          </w:p>
        </w:tc>
      </w:tr>
      <w:tr>
        <w:tc>
          <w:tcPr>
            <w:tcW w:type="dxa" w:w="1984"/>
          </w:tcPr>
          <w:p>
            <w:pPr>
              <w:spacing w:lineRule="exact" w:line="600"/>
              <w:jc w:val="center"/>
            </w:pPr>
            <w:r/>
            <w:r>
              <w:rPr>
                <w:rFonts w:ascii="仿宋_GB2312" w:hAnsi="仿宋_GB2312" w:eastAsia="仿宋_GB2312"/>
                <w:b w:val="0"/>
                <w:color w:val="000000"/>
                <w:sz w:val="32"/>
              </w:rPr>
              <w:t>中国配套轴承钢球</w:t>
            </w:r>
          </w:p>
        </w:tc>
        <w:tc>
          <w:tcPr>
            <w:tcW w:type="dxa" w:w="2551"/>
          </w:tcPr>
          <w:p>
            <w:pPr>
              <w:spacing w:lineRule="exact" w:line="600"/>
              <w:jc w:val="center"/>
            </w:pPr>
            <w:r/>
            <w:r>
              <w:rPr>
                <w:rFonts w:ascii="仿宋_GB2312" w:hAnsi="仿宋_GB2312" w:eastAsia="仿宋_GB2312"/>
                <w:b w:val="0"/>
                <w:color w:val="000000"/>
                <w:sz w:val="32"/>
              </w:rPr>
              <w:t>450亿元（2023）</w:t>
            </w:r>
          </w:p>
        </w:tc>
        <w:tc>
          <w:tcPr>
            <w:tcW w:type="dxa" w:w="1984"/>
          </w:tcPr>
          <w:p>
            <w:pPr>
              <w:spacing w:lineRule="exact" w:line="600"/>
              <w:jc w:val="center"/>
            </w:pPr>
            <w:r/>
            <w:r>
              <w:rPr>
                <w:rFonts w:ascii="仿宋_GB2312" w:hAnsi="仿宋_GB2312" w:eastAsia="仿宋_GB2312"/>
                <w:b w:val="0"/>
                <w:color w:val="000000"/>
                <w:sz w:val="32"/>
              </w:rPr>
              <w:t>+8.5%</w:t>
            </w:r>
          </w:p>
        </w:tc>
        <w:tc>
          <w:tcPr>
            <w:tcW w:type="dxa" w:w="1984"/>
          </w:tcPr>
          <w:p>
            <w:pPr>
              <w:spacing w:lineRule="exact" w:line="600"/>
              <w:jc w:val="center"/>
            </w:pPr>
            <w:r/>
            <w:r>
              <w:rPr>
                <w:rFonts w:ascii="仿宋_GB2312" w:hAnsi="仿宋_GB2312" w:eastAsia="仿宋_GB2312"/>
                <w:b w:val="0"/>
                <w:color w:val="000000"/>
                <w:sz w:val="32"/>
              </w:rPr>
              <w:t>博研咨询</w:t>
            </w:r>
          </w:p>
        </w:tc>
      </w:tr>
      <w:tr>
        <w:tc>
          <w:tcPr>
            <w:tcW w:type="dxa" w:w="1984"/>
          </w:tcPr>
          <w:p>
            <w:pPr>
              <w:spacing w:lineRule="exact" w:line="600"/>
              <w:jc w:val="center"/>
            </w:pPr>
            <w:r/>
            <w:r>
              <w:rPr>
                <w:rFonts w:ascii="仿宋_GB2312" w:hAnsi="仿宋_GB2312" w:eastAsia="仿宋_GB2312"/>
                <w:b w:val="0"/>
                <w:color w:val="000000"/>
                <w:sz w:val="32"/>
              </w:rPr>
              <w:t>中国钢球产量</w:t>
            </w:r>
          </w:p>
        </w:tc>
        <w:tc>
          <w:tcPr>
            <w:tcW w:type="dxa" w:w="2551"/>
          </w:tcPr>
          <w:p>
            <w:pPr>
              <w:spacing w:lineRule="exact" w:line="600"/>
              <w:jc w:val="center"/>
            </w:pPr>
            <w:r/>
            <w:r>
              <w:rPr>
                <w:rFonts w:ascii="仿宋_GB2312" w:hAnsi="仿宋_GB2312" w:eastAsia="仿宋_GB2312"/>
                <w:b w:val="0"/>
                <w:color w:val="000000"/>
                <w:sz w:val="32"/>
              </w:rPr>
              <w:t>120万吨（2023）</w:t>
            </w:r>
          </w:p>
        </w:tc>
        <w:tc>
          <w:tcPr>
            <w:tcW w:type="dxa" w:w="1984"/>
          </w:tcPr>
          <w:p>
            <w:pPr>
              <w:spacing w:lineRule="exact" w:line="600"/>
              <w:jc w:val="center"/>
            </w:pPr>
            <w:r/>
            <w:r>
              <w:rPr>
                <w:rFonts w:ascii="仿宋_GB2312" w:hAnsi="仿宋_GB2312" w:eastAsia="仿宋_GB2312"/>
                <w:b w:val="0"/>
                <w:color w:val="000000"/>
                <w:sz w:val="32"/>
              </w:rPr>
              <w:t>占全球40%</w:t>
            </w:r>
          </w:p>
        </w:tc>
        <w:tc>
          <w:tcPr>
            <w:tcW w:type="dxa" w:w="1984"/>
          </w:tcPr>
          <w:p>
            <w:pPr>
              <w:spacing w:lineRule="exact" w:line="600"/>
              <w:jc w:val="center"/>
            </w:pPr>
            <w:r/>
            <w:r>
              <w:rPr>
                <w:rFonts w:ascii="仿宋_GB2312" w:hAnsi="仿宋_GB2312" w:eastAsia="仿宋_GB2312"/>
                <w:b w:val="0"/>
                <w:color w:val="000000"/>
                <w:sz w:val="32"/>
              </w:rPr>
              <w:t>博研智尚</w:t>
            </w:r>
          </w:p>
        </w:tc>
      </w:tr>
      <w:tr>
        <w:tc>
          <w:tcPr>
            <w:tcW w:type="dxa" w:w="1984"/>
          </w:tcPr>
          <w:p>
            <w:pPr>
              <w:spacing w:lineRule="exact" w:line="600"/>
              <w:jc w:val="center"/>
            </w:pPr>
            <w:r/>
            <w:r>
              <w:rPr>
                <w:rFonts w:ascii="仿宋_GB2312" w:hAnsi="仿宋_GB2312" w:eastAsia="仿宋_GB2312"/>
                <w:b w:val="0"/>
                <w:color w:val="000000"/>
                <w:sz w:val="32"/>
              </w:rPr>
              <w:t>宁阳产能占比</w:t>
            </w:r>
          </w:p>
        </w:tc>
        <w:tc>
          <w:tcPr>
            <w:tcW w:type="dxa" w:w="2551"/>
          </w:tcPr>
          <w:p>
            <w:pPr>
              <w:spacing w:lineRule="exact" w:line="600"/>
              <w:jc w:val="center"/>
            </w:pPr>
            <w:r/>
            <w:r>
              <w:rPr>
                <w:rFonts w:ascii="仿宋_GB2312" w:hAnsi="仿宋_GB2312" w:eastAsia="仿宋_GB2312"/>
                <w:b w:val="0"/>
                <w:color w:val="000000"/>
                <w:sz w:val="32"/>
              </w:rPr>
              <w:t>全国65%以上</w:t>
            </w:r>
          </w:p>
        </w:tc>
        <w:tc>
          <w:tcPr>
            <w:tcW w:type="dxa" w:w="1984"/>
          </w:tcPr>
          <w:p>
            <w:pPr>
              <w:spacing w:lineRule="exact" w:line="600"/>
              <w:jc w:val="center"/>
            </w:pPr>
            <w:r/>
            <w:r>
              <w:rPr>
                <w:rFonts w:ascii="仿宋_GB2312" w:hAnsi="仿宋_GB2312" w:eastAsia="仿宋_GB2312"/>
                <w:b w:val="0"/>
                <w:color w:val="000000"/>
                <w:sz w:val="32"/>
              </w:rPr>
              <w:t>67万吨/年</w:t>
            </w:r>
          </w:p>
        </w:tc>
        <w:tc>
          <w:tcPr>
            <w:tcW w:type="dxa" w:w="1984"/>
          </w:tcPr>
          <w:p>
            <w:pPr>
              <w:spacing w:lineRule="exact" w:line="600"/>
              <w:jc w:val="center"/>
            </w:pPr>
            <w:r/>
            <w:r>
              <w:rPr>
                <w:rFonts w:ascii="仿宋_GB2312" w:hAnsi="仿宋_GB2312" w:eastAsia="仿宋_GB2312"/>
                <w:b w:val="0"/>
                <w:color w:val="000000"/>
                <w:sz w:val="32"/>
              </w:rPr>
              <w:t>山东省工信厅</w:t>
            </w:r>
          </w:p>
        </w:tc>
      </w:tr>
    </w:tbl>
    <w:p>
      <w:pPr>
        <w:spacing w:lineRule="exact" w:line="600" w:before="120" w:after="120"/>
        <w:ind w:firstLine="420"/>
        <w:jc w:val="left"/>
      </w:pPr>
      <w:r>
        <w:rPr>
          <w:rFonts w:ascii="楷体_GB2312" w:hAnsi="楷体_GB2312" w:eastAsia="楷体_GB2312"/>
          <w:b w:val="0"/>
          <w:color w:val="000000"/>
          <w:sz w:val="32"/>
        </w:rPr>
        <w:t>产销双增（本批真实数据补充·来源见正文）</w:t>
      </w:r>
    </w:p>
    <w:p>
      <w:pPr>
        <w:spacing w:lineRule="exact" w:line="600" w:before="0" w:after="0"/>
        <w:ind w:firstLine="420"/>
        <w:jc w:val="both"/>
      </w:pPr>
      <w:r>
        <w:rPr>
          <w:rFonts w:ascii="仿宋_GB2312" w:hAnsi="仿宋_GB2312" w:eastAsia="仿宋_GB2312"/>
          <w:b w:val="0"/>
          <w:color w:val="000000"/>
          <w:sz w:val="32"/>
        </w:rPr>
        <w:t>2024年上半年，全县钢球产业实现产值30亿元、同比增长11.1%，钢球产量37万吨、同比增长15.2%；宁阳钢球产品远销美国、日本、欧盟、东南亚等国家和地区，出口率高。辰信基础零部件项目建成国内最大钢球基础材料智能化生产线。（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上半年产值</w:t>
            </w:r>
          </w:p>
        </w:tc>
        <w:tc>
          <w:tcPr>
            <w:tcW w:type="dxa" w:w="2835"/>
          </w:tcPr>
          <w:p>
            <w:pPr>
              <w:spacing w:lineRule="exact" w:line="600"/>
              <w:jc w:val="center"/>
            </w:pPr>
            <w:r/>
            <w:r>
              <w:rPr>
                <w:rFonts w:ascii="仿宋_GB2312" w:hAnsi="仿宋_GB2312" w:eastAsia="仿宋_GB2312"/>
                <w:b w:val="0"/>
                <w:color w:val="000000"/>
                <w:sz w:val="32"/>
              </w:rPr>
              <w:t>30亿元</w:t>
            </w:r>
          </w:p>
        </w:tc>
        <w:tc>
          <w:tcPr>
            <w:tcW w:type="dxa" w:w="2551"/>
          </w:tcPr>
          <w:p>
            <w:pPr>
              <w:spacing w:lineRule="exact" w:line="600"/>
              <w:jc w:val="center"/>
            </w:pPr>
            <w:r/>
            <w:r>
              <w:rPr>
                <w:rFonts w:ascii="仿宋_GB2312" w:hAnsi="仿宋_GB2312" w:eastAsia="仿宋_GB2312"/>
                <w:b w:val="0"/>
                <w:color w:val="000000"/>
                <w:sz w:val="32"/>
              </w:rPr>
              <w:t>同比+11.1%</w:t>
            </w:r>
          </w:p>
        </w:tc>
      </w:tr>
      <w:tr>
        <w:tc>
          <w:tcPr>
            <w:tcW w:type="dxa" w:w="3118"/>
          </w:tcPr>
          <w:p>
            <w:pPr>
              <w:spacing w:lineRule="exact" w:line="600"/>
              <w:jc w:val="center"/>
            </w:pPr>
            <w:r/>
            <w:r>
              <w:rPr>
                <w:rFonts w:ascii="仿宋_GB2312" w:hAnsi="仿宋_GB2312" w:eastAsia="仿宋_GB2312"/>
                <w:b w:val="0"/>
                <w:color w:val="000000"/>
                <w:sz w:val="32"/>
              </w:rPr>
              <w:t>上半年产量</w:t>
            </w:r>
          </w:p>
        </w:tc>
        <w:tc>
          <w:tcPr>
            <w:tcW w:type="dxa" w:w="2835"/>
          </w:tcPr>
          <w:p>
            <w:pPr>
              <w:spacing w:lineRule="exact" w:line="600"/>
              <w:jc w:val="center"/>
            </w:pPr>
            <w:r/>
            <w:r>
              <w:rPr>
                <w:rFonts w:ascii="仿宋_GB2312" w:hAnsi="仿宋_GB2312" w:eastAsia="仿宋_GB2312"/>
                <w:b w:val="0"/>
                <w:color w:val="000000"/>
                <w:sz w:val="32"/>
              </w:rPr>
              <w:t>37万吨</w:t>
            </w:r>
          </w:p>
        </w:tc>
        <w:tc>
          <w:tcPr>
            <w:tcW w:type="dxa" w:w="2551"/>
          </w:tcPr>
          <w:p>
            <w:pPr>
              <w:spacing w:lineRule="exact" w:line="600"/>
              <w:jc w:val="center"/>
            </w:pPr>
            <w:r/>
            <w:r>
              <w:rPr>
                <w:rFonts w:ascii="仿宋_GB2312" w:hAnsi="仿宋_GB2312" w:eastAsia="仿宋_GB2312"/>
                <w:b w:val="0"/>
                <w:color w:val="000000"/>
                <w:sz w:val="32"/>
              </w:rPr>
              <w:t>同比+15.2%</w:t>
            </w:r>
          </w:p>
        </w:tc>
      </w:tr>
      <w:tr>
        <w:tc>
          <w:tcPr>
            <w:tcW w:type="dxa" w:w="3118"/>
          </w:tcPr>
          <w:p>
            <w:pPr>
              <w:spacing w:lineRule="exact" w:line="600"/>
              <w:jc w:val="center"/>
            </w:pPr>
            <w:r/>
            <w:r>
              <w:rPr>
                <w:rFonts w:ascii="仿宋_GB2312" w:hAnsi="仿宋_GB2312" w:eastAsia="仿宋_GB2312"/>
                <w:b w:val="0"/>
                <w:color w:val="000000"/>
                <w:sz w:val="32"/>
              </w:rPr>
              <w:t>出口</w:t>
            </w:r>
          </w:p>
        </w:tc>
        <w:tc>
          <w:tcPr>
            <w:tcW w:type="dxa" w:w="2835"/>
          </w:tcPr>
          <w:p>
            <w:pPr>
              <w:spacing w:lineRule="exact" w:line="600"/>
              <w:jc w:val="center"/>
            </w:pPr>
            <w:r/>
            <w:r>
              <w:rPr>
                <w:rFonts w:ascii="仿宋_GB2312" w:hAnsi="仿宋_GB2312" w:eastAsia="仿宋_GB2312"/>
                <w:b w:val="0"/>
                <w:color w:val="000000"/>
                <w:sz w:val="32"/>
              </w:rPr>
              <w:t>美日欧盟东南亚等</w:t>
            </w:r>
          </w:p>
        </w:tc>
        <w:tc>
          <w:tcPr>
            <w:tcW w:type="dxa" w:w="2551"/>
          </w:tcPr>
          <w:p>
            <w:pPr>
              <w:spacing w:lineRule="exact" w:line="600"/>
              <w:jc w:val="center"/>
            </w:pPr>
            <w:r/>
            <w:r>
              <w:rPr>
                <w:rFonts w:ascii="仿宋_GB2312" w:hAnsi="仿宋_GB2312" w:eastAsia="仿宋_GB2312"/>
                <w:b w:val="0"/>
                <w:color w:val="000000"/>
                <w:sz w:val="32"/>
              </w:rPr>
              <w:t>出口率高</w:t>
            </w:r>
          </w:p>
        </w:tc>
      </w:tr>
      <w:tr>
        <w:tc>
          <w:tcPr>
            <w:tcW w:type="dxa" w:w="3118"/>
          </w:tcPr>
          <w:p>
            <w:pPr>
              <w:spacing w:lineRule="exact" w:line="600"/>
              <w:jc w:val="center"/>
            </w:pPr>
            <w:r/>
            <w:r>
              <w:rPr>
                <w:rFonts w:ascii="仿宋_GB2312" w:hAnsi="仿宋_GB2312" w:eastAsia="仿宋_GB2312"/>
                <w:b w:val="0"/>
                <w:color w:val="000000"/>
                <w:sz w:val="32"/>
              </w:rPr>
              <w:t>材料线</w:t>
            </w:r>
          </w:p>
        </w:tc>
        <w:tc>
          <w:tcPr>
            <w:tcW w:type="dxa" w:w="2835"/>
          </w:tcPr>
          <w:p>
            <w:pPr>
              <w:spacing w:lineRule="exact" w:line="600"/>
              <w:jc w:val="center"/>
            </w:pPr>
            <w:r/>
            <w:r>
              <w:rPr>
                <w:rFonts w:ascii="仿宋_GB2312" w:hAnsi="仿宋_GB2312" w:eastAsia="仿宋_GB2312"/>
                <w:b w:val="0"/>
                <w:color w:val="000000"/>
                <w:sz w:val="32"/>
              </w:rPr>
              <w:t>国内最大基础材料智能线</w:t>
            </w:r>
          </w:p>
        </w:tc>
        <w:tc>
          <w:tcPr>
            <w:tcW w:type="dxa" w:w="2551"/>
          </w:tcPr>
          <w:p>
            <w:pPr>
              <w:spacing w:lineRule="exact" w:line="600"/>
              <w:jc w:val="center"/>
            </w:pPr>
            <w:r/>
            <w:r>
              <w:rPr>
                <w:rFonts w:ascii="仿宋_GB2312" w:hAnsi="仿宋_GB2312" w:eastAsia="仿宋_GB2312"/>
                <w:b w:val="0"/>
                <w:color w:val="000000"/>
                <w:sz w:val="32"/>
              </w:rPr>
              <w:t>辰信30万吨</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（一）集群总体规模</w:t>
      </w:r>
    </w:p>
    <w:p>
      <w:pPr>
        <w:spacing w:lineRule="exact" w:line="600" w:before="0" w:after="0"/>
        <w:ind w:firstLine="420"/>
        <w:jc w:val="both"/>
      </w:pPr>
      <w:r>
        <w:rPr>
          <w:rFonts w:ascii="仿宋_GB2312" w:hAnsi="仿宋_GB2312" w:eastAsia="仿宋_GB2312"/>
          <w:b w:val="0"/>
          <w:color w:val="000000"/>
          <w:sz w:val="32"/>
        </w:rPr>
        <w:t>截至目前，宁阳已聚集320多家钢球厂，集群产值达60多亿元，市场拓展至20多个国家，其中碳钢球产量居世界第一（来源：宁阳县政府官网2024-09-14）。宁阳县将钢球纳入高端装备制造产业链（钢球产业）专班「链长制」管理，成立由县级领导干部任链长的工作专班，统筹要素保障。</w:t>
      </w:r>
    </w:p>
    <w:p>
      <w:pPr>
        <w:spacing w:lineRule="exact" w:line="600" w:before="120" w:after="120"/>
        <w:ind w:firstLine="420"/>
        <w:jc w:val="left"/>
      </w:pPr>
      <w:r>
        <w:rPr>
          <w:rFonts w:ascii="楷体_GB2312" w:hAnsi="楷体_GB2312" w:eastAsia="楷体_GB2312"/>
          <w:b w:val="0"/>
          <w:color w:val="000000"/>
          <w:sz w:val="32"/>
        </w:rPr>
        <w:t>（二）链主企业辰信轴承科技</w:t>
      </w:r>
    </w:p>
    <w:p>
      <w:pPr>
        <w:spacing w:lineRule="exact" w:line="600" w:before="0" w:after="0"/>
        <w:ind w:firstLine="420"/>
        <w:jc w:val="both"/>
      </w:pPr>
      <w:r>
        <w:rPr>
          <w:rFonts w:ascii="仿宋_GB2312" w:hAnsi="仿宋_GB2312" w:eastAsia="仿宋_GB2312"/>
          <w:b w:val="0"/>
          <w:color w:val="000000"/>
          <w:sz w:val="32"/>
        </w:rPr>
        <w:t>辰信轴承科技（山东）有限公司位于宁阳堽城工业园，隶属于辰信集团，2022年成立。其总投资26亿元的辰信基础零部件绿色智能智造示范项目，一期投入11亿元、占地162.96亩、配备1300余台（套）智能设备，达产后可实现30万吨钢球钢丝原材料改制及2万吨精密钢球生产，年销售收入可突破20亿元、税金1.8亿元，直接带动600余人就业（来源：辰信轴承科技官网；山东省装备制造业协会）。2024年3月30万吨钢丝罩式球化炉点火，创造「辰信速度」。</w:t>
      </w:r>
    </w:p>
    <w:p>
      <w:pPr>
        <w:spacing w:lineRule="exact" w:line="600" w:before="120" w:after="120"/>
        <w:ind w:firstLine="420"/>
        <w:jc w:val="left"/>
      </w:pPr>
      <w:r>
        <w:rPr>
          <w:rFonts w:ascii="楷体_GB2312" w:hAnsi="楷体_GB2312" w:eastAsia="楷体_GB2312"/>
          <w:b w:val="0"/>
          <w:color w:val="000000"/>
          <w:sz w:val="32"/>
        </w:rPr>
        <w:t>（三）中小配套企业梯队</w:t>
      </w:r>
    </w:p>
    <w:p>
      <w:pPr>
        <w:spacing w:lineRule="exact" w:line="600" w:before="0" w:after="0"/>
        <w:ind w:firstLine="420"/>
        <w:jc w:val="both"/>
      </w:pPr>
      <w:r>
        <w:rPr>
          <w:rFonts w:ascii="仿宋_GB2312" w:hAnsi="仿宋_GB2312" w:eastAsia="仿宋_GB2312"/>
          <w:b w:val="0"/>
          <w:color w:val="000000"/>
          <w:sz w:val="32"/>
        </w:rPr>
        <w:t>宁阳将华通工贸、中瑞钢球等9家钢球规模企业纳入县里梯次培植「520」行动重点培育，并引进中国工程院院士及其科研团队提升供给质量（来源：宁阳县政府官网）。代表企业还包括宁阳县新东工贸有限公司（主营钢球、轴承及钢球磨削液，员工300余人、年产3000吨）、宁阳县先锋轴承钢球厂（碳钢/轴承钢/不锈钢/铜球加工）等，共同构成「链主+骨干+小微」梯队。</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134"/>
          </w:tcPr>
          <w:p>
            <w:pPr>
              <w:spacing w:lineRule="exact" w:line="600"/>
              <w:jc w:val="center"/>
            </w:pPr>
            <w:r/>
            <w:r>
              <w:rPr>
                <w:rFonts w:ascii="黑体" w:hAnsi="黑体" w:eastAsia="黑体"/>
                <w:b/>
                <w:color w:val="000000"/>
                <w:sz w:val="32"/>
              </w:rPr>
              <w:t>企业类型</w:t>
            </w:r>
          </w:p>
        </w:tc>
        <w:tc>
          <w:tcPr>
            <w:tcW w:type="dxa" w:w="2268"/>
          </w:tcPr>
          <w:p>
            <w:pPr>
              <w:spacing w:lineRule="exact" w:line="600"/>
              <w:jc w:val="center"/>
            </w:pPr>
            <w:r/>
            <w:r>
              <w:rPr>
                <w:rFonts w:ascii="黑体" w:hAnsi="黑体" w:eastAsia="黑体"/>
                <w:b/>
                <w:color w:val="000000"/>
                <w:sz w:val="32"/>
              </w:rPr>
              <w:t>代表企业</w:t>
            </w:r>
          </w:p>
        </w:tc>
        <w:tc>
          <w:tcPr>
            <w:tcW w:type="dxa" w:w="3685"/>
          </w:tcPr>
          <w:p>
            <w:pPr>
              <w:spacing w:lineRule="exact" w:line="600"/>
              <w:jc w:val="center"/>
            </w:pPr>
            <w:r/>
            <w:r>
              <w:rPr>
                <w:rFonts w:ascii="黑体" w:hAnsi="黑体" w:eastAsia="黑体"/>
                <w:b/>
                <w:color w:val="000000"/>
                <w:sz w:val="32"/>
              </w:rPr>
              <w:t>规模/亮点</w:t>
            </w:r>
          </w:p>
        </w:tc>
        <w:tc>
          <w:tcPr>
            <w:tcW w:type="dxa" w:w="1701"/>
          </w:tcPr>
          <w:p>
            <w:pPr>
              <w:spacing w:lineRule="exact" w:line="600"/>
              <w:jc w:val="center"/>
            </w:pPr>
            <w:r/>
            <w:r>
              <w:rPr>
                <w:rFonts w:ascii="黑体" w:hAnsi="黑体" w:eastAsia="黑体"/>
                <w:b/>
                <w:color w:val="000000"/>
                <w:sz w:val="32"/>
              </w:rPr>
              <w:t>来源</w:t>
            </w:r>
          </w:p>
        </w:tc>
      </w:tr>
      <w:tr>
        <w:tc>
          <w:tcPr>
            <w:tcW w:type="dxa" w:w="1134"/>
          </w:tcPr>
          <w:p>
            <w:pPr>
              <w:spacing w:lineRule="exact" w:line="600"/>
              <w:jc w:val="center"/>
            </w:pPr>
            <w:r/>
            <w:r>
              <w:rPr>
                <w:rFonts w:ascii="仿宋_GB2312" w:hAnsi="仿宋_GB2312" w:eastAsia="仿宋_GB2312"/>
                <w:b w:val="0"/>
                <w:color w:val="000000"/>
                <w:sz w:val="32"/>
              </w:rPr>
              <w:t>链主</w:t>
            </w:r>
          </w:p>
        </w:tc>
        <w:tc>
          <w:tcPr>
            <w:tcW w:type="dxa" w:w="2268"/>
          </w:tcPr>
          <w:p>
            <w:pPr>
              <w:spacing w:lineRule="exact" w:line="600"/>
              <w:jc w:val="center"/>
            </w:pPr>
            <w:r/>
            <w:r>
              <w:rPr>
                <w:rFonts w:ascii="仿宋_GB2312" w:hAnsi="仿宋_GB2312" w:eastAsia="仿宋_GB2312"/>
                <w:b w:val="0"/>
                <w:color w:val="000000"/>
                <w:sz w:val="32"/>
              </w:rPr>
              <w:t>辰信轴承科技</w:t>
            </w:r>
          </w:p>
        </w:tc>
        <w:tc>
          <w:tcPr>
            <w:tcW w:type="dxa" w:w="3685"/>
          </w:tcPr>
          <w:p>
            <w:pPr>
              <w:spacing w:lineRule="exact" w:line="600"/>
              <w:jc w:val="center"/>
            </w:pPr>
            <w:r/>
            <w:r>
              <w:rPr>
                <w:rFonts w:ascii="仿宋_GB2312" w:hAnsi="仿宋_GB2312" w:eastAsia="仿宋_GB2312"/>
                <w:b w:val="0"/>
                <w:color w:val="000000"/>
                <w:sz w:val="32"/>
              </w:rPr>
              <w:t>26亿投资、2万吨精密钢球、年销售20亿</w:t>
            </w:r>
          </w:p>
        </w:tc>
        <w:tc>
          <w:tcPr>
            <w:tcW w:type="dxa" w:w="1701"/>
          </w:tcPr>
          <w:p>
            <w:pPr>
              <w:spacing w:lineRule="exact" w:line="600"/>
              <w:jc w:val="center"/>
            </w:pPr>
            <w:r/>
            <w:r>
              <w:rPr>
                <w:rFonts w:ascii="仿宋_GB2312" w:hAnsi="仿宋_GB2312" w:eastAsia="仿宋_GB2312"/>
                <w:b w:val="0"/>
                <w:color w:val="000000"/>
                <w:sz w:val="32"/>
              </w:rPr>
              <w:t>辰信官网/省装备协会</w:t>
            </w:r>
          </w:p>
        </w:tc>
      </w:tr>
      <w:tr>
        <w:tc>
          <w:tcPr>
            <w:tcW w:type="dxa" w:w="1134"/>
          </w:tcPr>
          <w:p>
            <w:pPr>
              <w:spacing w:lineRule="exact" w:line="600"/>
              <w:jc w:val="center"/>
            </w:pPr>
            <w:r/>
            <w:r>
              <w:rPr>
                <w:rFonts w:ascii="仿宋_GB2312" w:hAnsi="仿宋_GB2312" w:eastAsia="仿宋_GB2312"/>
                <w:b w:val="0"/>
                <w:color w:val="000000"/>
                <w:sz w:val="32"/>
              </w:rPr>
              <w:t>骨干</w:t>
            </w:r>
          </w:p>
        </w:tc>
        <w:tc>
          <w:tcPr>
            <w:tcW w:type="dxa" w:w="2268"/>
          </w:tcPr>
          <w:p>
            <w:pPr>
              <w:spacing w:lineRule="exact" w:line="600"/>
              <w:jc w:val="center"/>
            </w:pPr>
            <w:r/>
            <w:r>
              <w:rPr>
                <w:rFonts w:ascii="仿宋_GB2312" w:hAnsi="仿宋_GB2312" w:eastAsia="仿宋_GB2312"/>
                <w:b w:val="0"/>
                <w:color w:val="000000"/>
                <w:sz w:val="32"/>
              </w:rPr>
              <w:t>新东工贸</w:t>
            </w:r>
          </w:p>
        </w:tc>
        <w:tc>
          <w:tcPr>
            <w:tcW w:type="dxa" w:w="3685"/>
          </w:tcPr>
          <w:p>
            <w:pPr>
              <w:spacing w:lineRule="exact" w:line="600"/>
              <w:jc w:val="center"/>
            </w:pPr>
            <w:r/>
            <w:r>
              <w:rPr>
                <w:rFonts w:ascii="仿宋_GB2312" w:hAnsi="仿宋_GB2312" w:eastAsia="仿宋_GB2312"/>
                <w:b w:val="0"/>
                <w:color w:val="000000"/>
                <w:sz w:val="32"/>
              </w:rPr>
              <w:t>员工300+、年产3000吨、出口率99%</w:t>
            </w:r>
          </w:p>
        </w:tc>
        <w:tc>
          <w:tcPr>
            <w:tcW w:type="dxa" w:w="1701"/>
          </w:tcPr>
          <w:p>
            <w:pPr>
              <w:spacing w:lineRule="exact" w:line="600"/>
              <w:jc w:val="center"/>
            </w:pPr>
            <w:r/>
            <w:r>
              <w:rPr>
                <w:rFonts w:ascii="仿宋_GB2312" w:hAnsi="仿宋_GB2312" w:eastAsia="仿宋_GB2312"/>
                <w:b w:val="0"/>
                <w:color w:val="000000"/>
                <w:sz w:val="32"/>
              </w:rPr>
              <w:t>企业官网</w:t>
            </w:r>
          </w:p>
        </w:tc>
      </w:tr>
      <w:tr>
        <w:tc>
          <w:tcPr>
            <w:tcW w:type="dxa" w:w="1134"/>
          </w:tcPr>
          <w:p>
            <w:pPr>
              <w:spacing w:lineRule="exact" w:line="600"/>
              <w:jc w:val="center"/>
            </w:pPr>
            <w:r/>
            <w:r>
              <w:rPr>
                <w:rFonts w:ascii="仿宋_GB2312" w:hAnsi="仿宋_GB2312" w:eastAsia="仿宋_GB2312"/>
                <w:b w:val="0"/>
                <w:color w:val="000000"/>
                <w:sz w:val="32"/>
              </w:rPr>
              <w:t>梯队</w:t>
            </w:r>
          </w:p>
        </w:tc>
        <w:tc>
          <w:tcPr>
            <w:tcW w:type="dxa" w:w="2268"/>
          </w:tcPr>
          <w:p>
            <w:pPr>
              <w:spacing w:lineRule="exact" w:line="600"/>
              <w:jc w:val="center"/>
            </w:pPr>
            <w:r/>
            <w:r>
              <w:rPr>
                <w:rFonts w:ascii="仿宋_GB2312" w:hAnsi="仿宋_GB2312" w:eastAsia="仿宋_GB2312"/>
                <w:b w:val="0"/>
                <w:color w:val="000000"/>
                <w:sz w:val="32"/>
              </w:rPr>
              <w:t>华通/中瑞等9家</w:t>
            </w:r>
          </w:p>
        </w:tc>
        <w:tc>
          <w:tcPr>
            <w:tcW w:type="dxa" w:w="3685"/>
          </w:tcPr>
          <w:p>
            <w:pPr>
              <w:spacing w:lineRule="exact" w:line="600"/>
              <w:jc w:val="center"/>
            </w:pPr>
            <w:r/>
            <w:r>
              <w:rPr>
                <w:rFonts w:ascii="仿宋_GB2312" w:hAnsi="仿宋_GB2312" w:eastAsia="仿宋_GB2312"/>
                <w:b w:val="0"/>
                <w:color w:val="000000"/>
                <w:sz w:val="32"/>
              </w:rPr>
              <w:t>纳入县「520」梯次培植行动</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研发检测中枢（本批真实数据补充·来源见正文）</w:t>
      </w:r>
    </w:p>
    <w:p>
      <w:pPr>
        <w:spacing w:lineRule="exact" w:line="600" w:before="0" w:after="0"/>
        <w:ind w:firstLine="420"/>
        <w:jc w:val="both"/>
      </w:pPr>
      <w:r>
        <w:rPr>
          <w:rFonts w:ascii="仿宋_GB2312" w:hAnsi="仿宋_GB2312" w:eastAsia="仿宋_GB2312"/>
          <w:b w:val="0"/>
          <w:color w:val="000000"/>
          <w:sz w:val="32"/>
        </w:rPr>
        <w:t>宁阳以辰信轴承科技为龙头，整合320余家钢球生产企业，与洛阳轴承研究所合作共建国家级钢球及特种材料球技术研发中心和滚动体检验检测中心；建成钢球智能制造工业园区，入选省级示范型数字经济园区。（来源：同花顺、中国经济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主体/平台</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龙头企业</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驱动整合</w:t>
            </w:r>
          </w:p>
        </w:tc>
      </w:tr>
      <w:tr>
        <w:tc>
          <w:tcPr>
            <w:tcW w:type="dxa" w:w="3118"/>
          </w:tcPr>
          <w:p>
            <w:pPr>
              <w:spacing w:lineRule="exact" w:line="600"/>
              <w:jc w:val="center"/>
            </w:pPr>
            <w:r/>
            <w:r>
              <w:rPr>
                <w:rFonts w:ascii="仿宋_GB2312" w:hAnsi="仿宋_GB2312" w:eastAsia="仿宋_GB2312"/>
                <w:b w:val="0"/>
                <w:color w:val="000000"/>
                <w:sz w:val="32"/>
              </w:rPr>
              <w:t>研发检测</w:t>
            </w:r>
          </w:p>
        </w:tc>
        <w:tc>
          <w:tcPr>
            <w:tcW w:type="dxa" w:w="2835"/>
          </w:tcPr>
          <w:p>
            <w:pPr>
              <w:spacing w:lineRule="exact" w:line="600"/>
              <w:jc w:val="center"/>
            </w:pPr>
            <w:r/>
            <w:r>
              <w:rPr>
                <w:rFonts w:ascii="仿宋_GB2312" w:hAnsi="仿宋_GB2312" w:eastAsia="仿宋_GB2312"/>
                <w:b w:val="0"/>
                <w:color w:val="000000"/>
                <w:sz w:val="32"/>
              </w:rPr>
              <w:t>国家级研发中心/检测中心</w:t>
            </w:r>
          </w:p>
        </w:tc>
        <w:tc>
          <w:tcPr>
            <w:tcW w:type="dxa" w:w="2551"/>
          </w:tcPr>
          <w:p>
            <w:pPr>
              <w:spacing w:lineRule="exact" w:line="600"/>
              <w:jc w:val="center"/>
            </w:pPr>
            <w:r/>
            <w:r>
              <w:rPr>
                <w:rFonts w:ascii="仿宋_GB2312" w:hAnsi="仿宋_GB2312" w:eastAsia="仿宋_GB2312"/>
                <w:b w:val="0"/>
                <w:color w:val="000000"/>
                <w:sz w:val="32"/>
              </w:rPr>
              <w:t>洛阳轴承所</w:t>
            </w:r>
          </w:p>
        </w:tc>
      </w:tr>
      <w:tr>
        <w:tc>
          <w:tcPr>
            <w:tcW w:type="dxa" w:w="3118"/>
          </w:tcPr>
          <w:p>
            <w:pPr>
              <w:spacing w:lineRule="exact" w:line="600"/>
              <w:jc w:val="center"/>
            </w:pPr>
            <w:r/>
            <w:r>
              <w:rPr>
                <w:rFonts w:ascii="仿宋_GB2312" w:hAnsi="仿宋_GB2312" w:eastAsia="仿宋_GB2312"/>
                <w:b w:val="0"/>
                <w:color w:val="000000"/>
                <w:sz w:val="32"/>
              </w:rPr>
              <w:t>智造园区</w:t>
            </w:r>
          </w:p>
        </w:tc>
        <w:tc>
          <w:tcPr>
            <w:tcW w:type="dxa" w:w="2835"/>
          </w:tcPr>
          <w:p>
            <w:pPr>
              <w:spacing w:lineRule="exact" w:line="600"/>
              <w:jc w:val="center"/>
            </w:pPr>
            <w:r/>
            <w:r>
              <w:rPr>
                <w:rFonts w:ascii="仿宋_GB2312" w:hAnsi="仿宋_GB2312" w:eastAsia="仿宋_GB2312"/>
                <w:b w:val="0"/>
                <w:color w:val="000000"/>
                <w:sz w:val="32"/>
              </w:rPr>
              <w:t>省级示范型数字经济园区</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3118"/>
          </w:tcPr>
          <w:p>
            <w:pPr>
              <w:spacing w:lineRule="exact" w:line="600"/>
              <w:jc w:val="center"/>
            </w:pPr>
            <w:r/>
            <w:r>
              <w:rPr>
                <w:rFonts w:ascii="仿宋_GB2312" w:hAnsi="仿宋_GB2312" w:eastAsia="仿宋_GB2312"/>
                <w:b w:val="0"/>
                <w:color w:val="000000"/>
                <w:sz w:val="32"/>
              </w:rPr>
              <w:t>企业整合</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数字总部</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（一）全流程工艺能力</w:t>
      </w:r>
    </w:p>
    <w:p>
      <w:pPr>
        <w:spacing w:lineRule="exact" w:line="600" w:before="0" w:after="0"/>
        <w:ind w:firstLine="420"/>
        <w:jc w:val="both"/>
      </w:pPr>
      <w:r>
        <w:rPr>
          <w:rFonts w:ascii="仿宋_GB2312" w:hAnsi="仿宋_GB2312" w:eastAsia="仿宋_GB2312"/>
          <w:b w:val="0"/>
          <w:color w:val="000000"/>
          <w:sz w:val="32"/>
        </w:rPr>
        <w:t>宁阳钢球制造已实现从拔丝、冷镦、硬磨、淬火、光球到精研16道工序齐全，辰信产品精度达G5至G100级、规格φ0.3—φ78mm全覆盖，应用于精密钟表、高端医疗、芯片、军工、电力等高端领域（来源：山东省装备制造业协会《协会探厂》）。企业装配PLC数控系统、高精度高速冷镦等先进技术，打造国内先进罩式球化炉与光磨研设备。</w:t>
      </w:r>
    </w:p>
    <w:p>
      <w:pPr>
        <w:spacing w:lineRule="exact" w:line="600" w:before="120" w:after="120"/>
        <w:ind w:firstLine="420"/>
        <w:jc w:val="left"/>
      </w:pPr>
      <w:r>
        <w:rPr>
          <w:rFonts w:ascii="楷体_GB2312" w:hAnsi="楷体_GB2312" w:eastAsia="楷体_GB2312"/>
          <w:b w:val="0"/>
          <w:color w:val="000000"/>
          <w:sz w:val="32"/>
        </w:rPr>
        <w:t>（二）智能化与数字化产线</w:t>
      </w:r>
    </w:p>
    <w:p>
      <w:pPr>
        <w:spacing w:lineRule="exact" w:line="600" w:before="0" w:after="0"/>
        <w:ind w:firstLine="420"/>
        <w:jc w:val="both"/>
      </w:pPr>
      <w:r>
        <w:rPr>
          <w:rFonts w:ascii="仿宋_GB2312" w:hAnsi="仿宋_GB2312" w:eastAsia="仿宋_GB2312"/>
          <w:b w:val="0"/>
          <w:color w:val="000000"/>
          <w:sz w:val="32"/>
        </w:rPr>
        <w:t>宁阳大力推进「生产换线」「机器换人」，建成国内首条全工序智能数字化生产线，新上AGV智慧物流、开发WMS智慧仓储系统，工序间物料自动转运，每年可节约人工及搬运成本约600万元（来源：中国产业经济信息网）。辰信与浪潮集团联合开发智能化工厂管理系统，集成AGV与数控自动化加工，实现全流程线上线下协同管控。</w:t>
      </w:r>
    </w:p>
    <w:p>
      <w:pPr>
        <w:spacing w:lineRule="exact" w:line="600" w:before="120" w:after="120"/>
        <w:ind w:firstLine="420"/>
        <w:jc w:val="left"/>
      </w:pPr>
      <w:r>
        <w:rPr>
          <w:rFonts w:ascii="楷体_GB2312" w:hAnsi="楷体_GB2312" w:eastAsia="楷体_GB2312"/>
          <w:b w:val="0"/>
          <w:color w:val="000000"/>
          <w:sz w:val="32"/>
        </w:rPr>
        <w:t>（三）产学研协同创新</w:t>
      </w:r>
    </w:p>
    <w:p>
      <w:pPr>
        <w:spacing w:lineRule="exact" w:line="600" w:before="0" w:after="0"/>
        <w:ind w:firstLine="420"/>
        <w:jc w:val="both"/>
      </w:pPr>
      <w:r>
        <w:rPr>
          <w:rFonts w:ascii="仿宋_GB2312" w:hAnsi="仿宋_GB2312" w:eastAsia="仿宋_GB2312"/>
          <w:b w:val="0"/>
          <w:color w:val="000000"/>
          <w:sz w:val="32"/>
        </w:rPr>
        <w:t>宁阳钢球产业依托洛阳轴承研究所生产工艺优势和中机十院工厂设计经验优化工艺布局与品控体系，并引进中国工程院院士团队开展技术攻关（来源：山东省工信厅/宁阳县政府）。辰信已拥有「一种立式钢球磨球机」等多项专利，产品通过多项国际标准认证，精密钢球加工精度达国际先进水平。</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技术方向</w:t>
            </w:r>
          </w:p>
        </w:tc>
        <w:tc>
          <w:tcPr>
            <w:tcW w:type="dxa" w:w="2551"/>
          </w:tcPr>
          <w:p>
            <w:pPr>
              <w:spacing w:lineRule="exact" w:line="600"/>
              <w:jc w:val="center"/>
            </w:pPr>
            <w:r/>
            <w:r>
              <w:rPr>
                <w:rFonts w:ascii="黑体" w:hAnsi="黑体" w:eastAsia="黑体"/>
                <w:b/>
                <w:color w:val="000000"/>
                <w:sz w:val="32"/>
              </w:rPr>
              <w:t>举措/成效</w:t>
            </w:r>
          </w:p>
        </w:tc>
        <w:tc>
          <w:tcPr>
            <w:tcW w:type="dxa" w:w="2551"/>
          </w:tcPr>
          <w:p>
            <w:pPr>
              <w:spacing w:lineRule="exact" w:line="600"/>
              <w:jc w:val="center"/>
            </w:pPr>
            <w:r/>
            <w:r>
              <w:rPr>
                <w:rFonts w:ascii="黑体" w:hAnsi="黑体" w:eastAsia="黑体"/>
                <w:b/>
                <w:color w:val="000000"/>
                <w:sz w:val="32"/>
              </w:rPr>
              <w:t>量化指标</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工艺精度</w:t>
            </w:r>
          </w:p>
        </w:tc>
        <w:tc>
          <w:tcPr>
            <w:tcW w:type="dxa" w:w="2551"/>
          </w:tcPr>
          <w:p>
            <w:pPr>
              <w:spacing w:lineRule="exact" w:line="600"/>
              <w:jc w:val="center"/>
            </w:pPr>
            <w:r/>
            <w:r>
              <w:rPr>
                <w:rFonts w:ascii="仿宋_GB2312" w:hAnsi="仿宋_GB2312" w:eastAsia="仿宋_GB2312"/>
                <w:b w:val="0"/>
                <w:color w:val="000000"/>
                <w:sz w:val="32"/>
              </w:rPr>
              <w:t>全规格全精度</w:t>
            </w:r>
          </w:p>
        </w:tc>
        <w:tc>
          <w:tcPr>
            <w:tcW w:type="dxa" w:w="2551"/>
          </w:tcPr>
          <w:p>
            <w:pPr>
              <w:spacing w:lineRule="exact" w:line="600"/>
              <w:jc w:val="center"/>
            </w:pPr>
            <w:r/>
            <w:r>
              <w:rPr>
                <w:rFonts w:ascii="仿宋_GB2312" w:hAnsi="仿宋_GB2312" w:eastAsia="仿宋_GB2312"/>
                <w:b w:val="0"/>
                <w:color w:val="000000"/>
                <w:sz w:val="32"/>
              </w:rPr>
              <w:t>φ0.3-φ78mm、G5-G100</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701"/>
          </w:tcPr>
          <w:p>
            <w:pPr>
              <w:spacing w:lineRule="exact" w:line="600"/>
              <w:jc w:val="center"/>
            </w:pPr>
            <w:r/>
            <w:r>
              <w:rPr>
                <w:rFonts w:ascii="仿宋_GB2312" w:hAnsi="仿宋_GB2312" w:eastAsia="仿宋_GB2312"/>
                <w:b w:val="0"/>
                <w:color w:val="000000"/>
                <w:sz w:val="32"/>
              </w:rPr>
              <w:t>智能制造</w:t>
            </w:r>
          </w:p>
        </w:tc>
        <w:tc>
          <w:tcPr>
            <w:tcW w:type="dxa" w:w="2551"/>
          </w:tcPr>
          <w:p>
            <w:pPr>
              <w:spacing w:lineRule="exact" w:line="600"/>
              <w:jc w:val="center"/>
            </w:pPr>
            <w:r/>
            <w:r>
              <w:rPr>
                <w:rFonts w:ascii="仿宋_GB2312" w:hAnsi="仿宋_GB2312" w:eastAsia="仿宋_GB2312"/>
                <w:b w:val="0"/>
                <w:color w:val="000000"/>
                <w:sz w:val="32"/>
              </w:rPr>
              <w:t>首条全工序智能线</w:t>
            </w:r>
          </w:p>
        </w:tc>
        <w:tc>
          <w:tcPr>
            <w:tcW w:type="dxa" w:w="2551"/>
          </w:tcPr>
          <w:p>
            <w:pPr>
              <w:spacing w:lineRule="exact" w:line="600"/>
              <w:jc w:val="center"/>
            </w:pPr>
            <w:r/>
            <w:r>
              <w:rPr>
                <w:rFonts w:ascii="仿宋_GB2312" w:hAnsi="仿宋_GB2312" w:eastAsia="仿宋_GB2312"/>
                <w:b w:val="0"/>
                <w:color w:val="000000"/>
                <w:sz w:val="32"/>
              </w:rPr>
              <w:t>年节约成本600万元</w:t>
            </w:r>
          </w:p>
        </w:tc>
        <w:tc>
          <w:tcPr>
            <w:tcW w:type="dxa" w:w="1701"/>
          </w:tcPr>
          <w:p>
            <w:pPr>
              <w:spacing w:lineRule="exact" w:line="600"/>
              <w:jc w:val="center"/>
            </w:pPr>
            <w:r/>
            <w:r>
              <w:rPr>
                <w:rFonts w:ascii="仿宋_GB2312" w:hAnsi="仿宋_GB2312" w:eastAsia="仿宋_GB2312"/>
                <w:b w:val="0"/>
                <w:color w:val="000000"/>
                <w:sz w:val="32"/>
              </w:rPr>
              <w:t>中国产业经济信息网</w:t>
            </w:r>
          </w:p>
        </w:tc>
      </w:tr>
      <w:tr>
        <w:tc>
          <w:tcPr>
            <w:tcW w:type="dxa" w:w="1701"/>
          </w:tcPr>
          <w:p>
            <w:pPr>
              <w:spacing w:lineRule="exact" w:line="600"/>
              <w:jc w:val="center"/>
            </w:pPr>
            <w:r/>
            <w:r>
              <w:rPr>
                <w:rFonts w:ascii="仿宋_GB2312" w:hAnsi="仿宋_GB2312" w:eastAsia="仿宋_GB2312"/>
                <w:b w:val="0"/>
                <w:color w:val="000000"/>
                <w:sz w:val="32"/>
              </w:rPr>
              <w:t>产学研</w:t>
            </w:r>
          </w:p>
        </w:tc>
        <w:tc>
          <w:tcPr>
            <w:tcW w:type="dxa" w:w="2551"/>
          </w:tcPr>
          <w:p>
            <w:pPr>
              <w:spacing w:lineRule="exact" w:line="600"/>
              <w:jc w:val="center"/>
            </w:pPr>
            <w:r/>
            <w:r>
              <w:rPr>
                <w:rFonts w:ascii="仿宋_GB2312" w:hAnsi="仿宋_GB2312" w:eastAsia="仿宋_GB2312"/>
                <w:b w:val="0"/>
                <w:color w:val="000000"/>
                <w:sz w:val="32"/>
              </w:rPr>
              <w:t>洛轴所+中机十院+院士</w:t>
            </w:r>
          </w:p>
        </w:tc>
        <w:tc>
          <w:tcPr>
            <w:tcW w:type="dxa" w:w="2551"/>
          </w:tcPr>
          <w:p>
            <w:pPr>
              <w:spacing w:lineRule="exact" w:line="600"/>
              <w:jc w:val="center"/>
            </w:pPr>
            <w:r/>
            <w:r>
              <w:rPr>
                <w:rFonts w:ascii="仿宋_GB2312" w:hAnsi="仿宋_GB2312" w:eastAsia="仿宋_GB2312"/>
                <w:b w:val="0"/>
                <w:color w:val="000000"/>
                <w:sz w:val="32"/>
              </w:rPr>
              <w:t>多项国际认证专利</w:t>
            </w:r>
          </w:p>
        </w:tc>
        <w:tc>
          <w:tcPr>
            <w:tcW w:type="dxa" w:w="1701"/>
          </w:tcPr>
          <w:p>
            <w:pPr>
              <w:spacing w:lineRule="exact" w:line="600"/>
              <w:jc w:val="center"/>
            </w:pPr>
            <w:r/>
            <w:r>
              <w:rPr>
                <w:rFonts w:ascii="仿宋_GB2312" w:hAnsi="仿宋_GB2312" w:eastAsia="仿宋_GB2312"/>
                <w:b w:val="0"/>
                <w:color w:val="000000"/>
                <w:sz w:val="32"/>
              </w:rPr>
              <w:t>山东省工信厅</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（一）采购与交易成本</w:t>
      </w:r>
    </w:p>
    <w:p>
      <w:pPr>
        <w:spacing w:lineRule="exact" w:line="600" w:before="0" w:after="0"/>
        <w:ind w:firstLine="420"/>
        <w:jc w:val="both"/>
      </w:pPr>
      <w:r>
        <w:rPr>
          <w:rFonts w:ascii="仿宋_GB2312" w:hAnsi="仿宋_GB2312" w:eastAsia="仿宋_GB2312"/>
          <w:b w:val="0"/>
          <w:color w:val="000000"/>
          <w:sz w:val="32"/>
        </w:rPr>
        <w:t>宁阳投资1500万元建设「钢球产业大脑」，引入中信云网、浪潮工业等数字化系统服务商，构建数字赋能、智慧运营、产业生态三大体系（来源：经济日报/中国经济网）。「云联钢球」平台已入驻企业50家、金融机构12家，完成交易4000余万元，企业采购成本平均下降约9%，有效缓解中小企业集采议价弱势。</w:t>
      </w:r>
    </w:p>
    <w:p>
      <w:pPr>
        <w:spacing w:lineRule="exact" w:line="600" w:before="120" w:after="120"/>
        <w:ind w:firstLine="420"/>
        <w:jc w:val="left"/>
      </w:pPr>
      <w:r>
        <w:rPr>
          <w:rFonts w:ascii="楷体_GB2312" w:hAnsi="楷体_GB2312" w:eastAsia="楷体_GB2312"/>
          <w:b w:val="0"/>
          <w:color w:val="000000"/>
          <w:sz w:val="32"/>
        </w:rPr>
        <w:t>（二）用工与能源要素</w:t>
      </w:r>
    </w:p>
    <w:p>
      <w:pPr>
        <w:spacing w:lineRule="exact" w:line="600" w:before="0" w:after="0"/>
        <w:ind w:firstLine="420"/>
        <w:jc w:val="both"/>
      </w:pPr>
      <w:r>
        <w:rPr>
          <w:rFonts w:ascii="仿宋_GB2312" w:hAnsi="仿宋_GB2312" w:eastAsia="仿宋_GB2312"/>
          <w:b w:val="0"/>
          <w:color w:val="000000"/>
          <w:sz w:val="32"/>
        </w:rPr>
        <w:t>钢球产业属劳动与装备密集型，辰信项目达产直接带动600余人就业，全县钢球产业链吸纳大量产业工人（来源：辰信轴承科技官网）。要素保障方面，专班协调解决项目推进中蒸汽供应、用地占压文物等问题；2024年钢球产量37万吨、同比增15.2%，反映产能利用率与要素供给总体稳定。</w:t>
      </w:r>
    </w:p>
    <w:p>
      <w:pPr>
        <w:spacing w:lineRule="exact" w:line="600" w:before="120" w:after="120"/>
        <w:ind w:firstLine="420"/>
        <w:jc w:val="left"/>
      </w:pPr>
      <w:r>
        <w:rPr>
          <w:rFonts w:ascii="楷体_GB2312" w:hAnsi="楷体_GB2312" w:eastAsia="楷体_GB2312"/>
          <w:b w:val="0"/>
          <w:color w:val="000000"/>
          <w:sz w:val="32"/>
        </w:rPr>
        <w:t>（三）盈利水平与承压面</w:t>
      </w:r>
    </w:p>
    <w:p>
      <w:pPr>
        <w:spacing w:lineRule="exact" w:line="600" w:before="0" w:after="0"/>
        <w:ind w:firstLine="420"/>
        <w:jc w:val="both"/>
      </w:pPr>
      <w:r>
        <w:rPr>
          <w:rFonts w:ascii="仿宋_GB2312" w:hAnsi="仿宋_GB2312" w:eastAsia="仿宋_GB2312"/>
          <w:b w:val="0"/>
          <w:color w:val="000000"/>
          <w:sz w:val="32"/>
        </w:rPr>
        <w:t>行业层面，2023年配套轴承钢球全行业平均毛利率约18.5%，较2022年下降1个百分点，价格竞争使中小企业盈利承压（来源：博研咨询）。宁阳以中低端碳钢球为主的结构下，高端精密钢球溢价空间大但供给不足，提升高端占比是改善盈利的关键路径。</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要素指标</w:t>
            </w:r>
          </w:p>
        </w:tc>
        <w:tc>
          <w:tcPr>
            <w:tcW w:type="dxa" w:w="1701"/>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c>
          <w:tcPr>
            <w:tcW w:type="dxa" w:w="1984"/>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采购成本降幅</w:t>
            </w:r>
          </w:p>
        </w:tc>
        <w:tc>
          <w:tcPr>
            <w:tcW w:type="dxa" w:w="1701"/>
          </w:tcPr>
          <w:p>
            <w:pPr>
              <w:spacing w:lineRule="exact" w:line="600"/>
              <w:jc w:val="center"/>
            </w:pPr>
            <w:r/>
            <w:r>
              <w:rPr>
                <w:rFonts w:ascii="仿宋_GB2312" w:hAnsi="仿宋_GB2312" w:eastAsia="仿宋_GB2312"/>
                <w:b w:val="0"/>
                <w:color w:val="000000"/>
                <w:sz w:val="32"/>
              </w:rPr>
              <w:t>约9%</w:t>
            </w:r>
          </w:p>
        </w:tc>
        <w:tc>
          <w:tcPr>
            <w:tcW w:type="dxa" w:w="3118"/>
          </w:tcPr>
          <w:p>
            <w:pPr>
              <w:spacing w:lineRule="exact" w:line="600"/>
              <w:jc w:val="center"/>
            </w:pPr>
            <w:r/>
            <w:r>
              <w:rPr>
                <w:rFonts w:ascii="仿宋_GB2312" w:hAnsi="仿宋_GB2312" w:eastAsia="仿宋_GB2312"/>
                <w:b w:val="0"/>
                <w:color w:val="000000"/>
                <w:sz w:val="32"/>
              </w:rPr>
              <w:t>云联钢球平台集采</w:t>
            </w:r>
          </w:p>
        </w:tc>
        <w:tc>
          <w:tcPr>
            <w:tcW w:type="dxa" w:w="1984"/>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产业大脑投资</w:t>
            </w:r>
          </w:p>
        </w:tc>
        <w:tc>
          <w:tcPr>
            <w:tcW w:type="dxa" w:w="1701"/>
          </w:tcPr>
          <w:p>
            <w:pPr>
              <w:spacing w:lineRule="exact" w:line="600"/>
              <w:jc w:val="center"/>
            </w:pPr>
            <w:r/>
            <w:r>
              <w:rPr>
                <w:rFonts w:ascii="仿宋_GB2312" w:hAnsi="仿宋_GB2312" w:eastAsia="仿宋_GB2312"/>
                <w:b w:val="0"/>
                <w:color w:val="000000"/>
                <w:sz w:val="32"/>
              </w:rPr>
              <w:t>1500万元</w:t>
            </w:r>
          </w:p>
        </w:tc>
        <w:tc>
          <w:tcPr>
            <w:tcW w:type="dxa" w:w="3118"/>
          </w:tcPr>
          <w:p>
            <w:pPr>
              <w:spacing w:lineRule="exact" w:line="600"/>
              <w:jc w:val="center"/>
            </w:pPr>
            <w:r/>
            <w:r>
              <w:rPr>
                <w:rFonts w:ascii="仿宋_GB2312" w:hAnsi="仿宋_GB2312" w:eastAsia="仿宋_GB2312"/>
                <w:b w:val="0"/>
                <w:color w:val="000000"/>
                <w:sz w:val="32"/>
              </w:rPr>
              <w:t>数字赋能体系</w:t>
            </w:r>
          </w:p>
        </w:tc>
        <w:tc>
          <w:tcPr>
            <w:tcW w:type="dxa" w:w="1984"/>
          </w:tcPr>
          <w:p>
            <w:pPr>
              <w:spacing w:lineRule="exact" w:line="600"/>
              <w:jc w:val="center"/>
            </w:pPr>
            <w:r/>
            <w:r>
              <w:rPr>
                <w:rFonts w:ascii="仿宋_GB2312" w:hAnsi="仿宋_GB2312" w:eastAsia="仿宋_GB2312"/>
                <w:b w:val="0"/>
                <w:color w:val="000000"/>
                <w:sz w:val="32"/>
              </w:rPr>
              <w:t>中国产业经济信息网</w:t>
            </w:r>
          </w:p>
        </w:tc>
      </w:tr>
      <w:tr>
        <w:tc>
          <w:tcPr>
            <w:tcW w:type="dxa" w:w="1701"/>
          </w:tcPr>
          <w:p>
            <w:pPr>
              <w:spacing w:lineRule="exact" w:line="600"/>
              <w:jc w:val="center"/>
            </w:pPr>
            <w:r/>
            <w:r>
              <w:rPr>
                <w:rFonts w:ascii="仿宋_GB2312" w:hAnsi="仿宋_GB2312" w:eastAsia="仿宋_GB2312"/>
                <w:b w:val="0"/>
                <w:color w:val="000000"/>
                <w:sz w:val="32"/>
              </w:rPr>
              <w:t>行业毛利率</w:t>
            </w:r>
          </w:p>
        </w:tc>
        <w:tc>
          <w:tcPr>
            <w:tcW w:type="dxa" w:w="1701"/>
          </w:tcPr>
          <w:p>
            <w:pPr>
              <w:spacing w:lineRule="exact" w:line="600"/>
              <w:jc w:val="center"/>
            </w:pPr>
            <w:r/>
            <w:r>
              <w:rPr>
                <w:rFonts w:ascii="仿宋_GB2312" w:hAnsi="仿宋_GB2312" w:eastAsia="仿宋_GB2312"/>
                <w:b w:val="0"/>
                <w:color w:val="000000"/>
                <w:sz w:val="32"/>
              </w:rPr>
              <w:t>18.5%（2023）</w:t>
            </w:r>
          </w:p>
        </w:tc>
        <w:tc>
          <w:tcPr>
            <w:tcW w:type="dxa" w:w="3118"/>
          </w:tcPr>
          <w:p>
            <w:pPr>
              <w:spacing w:lineRule="exact" w:line="600"/>
              <w:jc w:val="center"/>
            </w:pPr>
            <w:r/>
            <w:r>
              <w:rPr>
                <w:rFonts w:ascii="仿宋_GB2312" w:hAnsi="仿宋_GB2312" w:eastAsia="仿宋_GB2312"/>
                <w:b w:val="0"/>
                <w:color w:val="000000"/>
                <w:sz w:val="32"/>
              </w:rPr>
              <w:t>同比降1个百分点</w:t>
            </w:r>
          </w:p>
        </w:tc>
        <w:tc>
          <w:tcPr>
            <w:tcW w:type="dxa" w:w="1984"/>
          </w:tcPr>
          <w:p>
            <w:pPr>
              <w:spacing w:lineRule="exact" w:line="600"/>
              <w:jc w:val="center"/>
            </w:pPr>
            <w:r/>
            <w:r>
              <w:rPr>
                <w:rFonts w:ascii="仿宋_GB2312" w:hAnsi="仿宋_GB2312" w:eastAsia="仿宋_GB2312"/>
                <w:b w:val="0"/>
                <w:color w:val="000000"/>
                <w:sz w:val="32"/>
              </w:rPr>
              <w:t>博研咨询</w:t>
            </w:r>
          </w:p>
        </w:tc>
      </w:tr>
      <w:tr>
        <w:tc>
          <w:tcPr>
            <w:tcW w:type="dxa" w:w="1701"/>
          </w:tcPr>
          <w:p>
            <w:pPr>
              <w:spacing w:lineRule="exact" w:line="600"/>
              <w:jc w:val="center"/>
            </w:pPr>
            <w:r/>
            <w:r>
              <w:rPr>
                <w:rFonts w:ascii="仿宋_GB2312" w:hAnsi="仿宋_GB2312" w:eastAsia="仿宋_GB2312"/>
                <w:b w:val="0"/>
                <w:color w:val="000000"/>
                <w:sz w:val="32"/>
              </w:rPr>
              <w:t>带动就业</w:t>
            </w:r>
          </w:p>
        </w:tc>
        <w:tc>
          <w:tcPr>
            <w:tcW w:type="dxa" w:w="1701"/>
          </w:tcPr>
          <w:p>
            <w:pPr>
              <w:spacing w:lineRule="exact" w:line="600"/>
              <w:jc w:val="center"/>
            </w:pPr>
            <w:r/>
            <w:r>
              <w:rPr>
                <w:rFonts w:ascii="仿宋_GB2312" w:hAnsi="仿宋_GB2312" w:eastAsia="仿宋_GB2312"/>
                <w:b w:val="0"/>
                <w:color w:val="000000"/>
                <w:sz w:val="32"/>
              </w:rPr>
              <w:t>600余人</w:t>
            </w:r>
          </w:p>
        </w:tc>
        <w:tc>
          <w:tcPr>
            <w:tcW w:type="dxa" w:w="3118"/>
          </w:tcPr>
          <w:p>
            <w:pPr>
              <w:spacing w:lineRule="exact" w:line="600"/>
              <w:jc w:val="center"/>
            </w:pPr>
            <w:r/>
            <w:r>
              <w:rPr>
                <w:rFonts w:ascii="仿宋_GB2312" w:hAnsi="仿宋_GB2312" w:eastAsia="仿宋_GB2312"/>
                <w:b w:val="0"/>
                <w:color w:val="000000"/>
                <w:sz w:val="32"/>
              </w:rPr>
              <w:t>辰信项目达产</w:t>
            </w:r>
          </w:p>
        </w:tc>
        <w:tc>
          <w:tcPr>
            <w:tcW w:type="dxa" w:w="1984"/>
          </w:tcPr>
          <w:p>
            <w:pPr>
              <w:spacing w:lineRule="exact" w:line="600"/>
              <w:jc w:val="center"/>
            </w:pPr>
            <w:r/>
            <w:r>
              <w:rPr>
                <w:rFonts w:ascii="仿宋_GB2312" w:hAnsi="仿宋_GB2312" w:eastAsia="仿宋_GB2312"/>
                <w:b w:val="0"/>
                <w:color w:val="000000"/>
                <w:sz w:val="32"/>
              </w:rPr>
              <w:t>辰信官网</w:t>
            </w:r>
          </w:p>
        </w:tc>
      </w:tr>
    </w:tbl>
    <w:p>
      <w:pPr>
        <w:spacing w:lineRule="exact" w:line="600" w:before="120" w:after="120"/>
        <w:ind w:firstLine="420"/>
        <w:jc w:val="left"/>
      </w:pPr>
      <w:r>
        <w:rPr>
          <w:rFonts w:ascii="楷体_GB2312" w:hAnsi="楷体_GB2312" w:eastAsia="楷体_GB2312"/>
          <w:b w:val="0"/>
          <w:color w:val="000000"/>
          <w:sz w:val="32"/>
        </w:rPr>
        <w:t>产业大脑降本（本批真实数据补充·来源见正文）</w:t>
      </w:r>
    </w:p>
    <w:p>
      <w:pPr>
        <w:spacing w:lineRule="exact" w:line="600" w:before="0" w:after="0"/>
        <w:ind w:firstLine="420"/>
        <w:jc w:val="both"/>
      </w:pPr>
      <w:r>
        <w:rPr>
          <w:rFonts w:ascii="仿宋_GB2312" w:hAnsi="仿宋_GB2312" w:eastAsia="仿宋_GB2312"/>
          <w:b w:val="0"/>
          <w:color w:val="000000"/>
          <w:sz w:val="32"/>
        </w:rPr>
        <w:t>宁阳县投资1500万元建设“钢球产业大脑”，入选山东省2024年度“产业大脑”建设试点，通过大数据、云计算、物联网为产业链赋能；与中信云网合作上线“云联钢球”数字经济总部，已入驻企业91家、金融机构12家，企业采购成本平均下降约9%；AGV智慧物流+WMS智慧仓储每年节约人工及搬运成本600万元。（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要素/项目</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钢球产业大脑</w:t>
            </w:r>
          </w:p>
        </w:tc>
        <w:tc>
          <w:tcPr>
            <w:tcW w:type="dxa" w:w="2835"/>
          </w:tcPr>
          <w:p>
            <w:pPr>
              <w:spacing w:lineRule="exact" w:line="600"/>
              <w:jc w:val="center"/>
            </w:pPr>
            <w:r/>
            <w:r>
              <w:rPr>
                <w:rFonts w:ascii="仿宋_GB2312" w:hAnsi="仿宋_GB2312" w:eastAsia="仿宋_GB2312"/>
                <w:b w:val="0"/>
                <w:color w:val="000000"/>
                <w:sz w:val="32"/>
              </w:rPr>
              <w:t>投资1500万元</w:t>
            </w:r>
          </w:p>
        </w:tc>
        <w:tc>
          <w:tcPr>
            <w:tcW w:type="dxa" w:w="2551"/>
          </w:tcPr>
          <w:p>
            <w:pPr>
              <w:spacing w:lineRule="exact" w:line="600"/>
              <w:jc w:val="center"/>
            </w:pPr>
            <w:r/>
            <w:r>
              <w:rPr>
                <w:rFonts w:ascii="仿宋_GB2312" w:hAnsi="仿宋_GB2312" w:eastAsia="仿宋_GB2312"/>
                <w:b w:val="0"/>
                <w:color w:val="000000"/>
                <w:sz w:val="32"/>
              </w:rPr>
              <w:t>省2024产业大脑试点</w:t>
            </w:r>
          </w:p>
        </w:tc>
      </w:tr>
      <w:tr>
        <w:tc>
          <w:tcPr>
            <w:tcW w:type="dxa" w:w="3118"/>
          </w:tcPr>
          <w:p>
            <w:pPr>
              <w:spacing w:lineRule="exact" w:line="600"/>
              <w:jc w:val="center"/>
            </w:pPr>
            <w:r/>
            <w:r>
              <w:rPr>
                <w:rFonts w:ascii="仿宋_GB2312" w:hAnsi="仿宋_GB2312" w:eastAsia="仿宋_GB2312"/>
                <w:b w:val="0"/>
                <w:color w:val="000000"/>
                <w:sz w:val="32"/>
              </w:rPr>
              <w:t>云联钢球</w:t>
            </w:r>
          </w:p>
        </w:tc>
        <w:tc>
          <w:tcPr>
            <w:tcW w:type="dxa" w:w="2835"/>
          </w:tcPr>
          <w:p>
            <w:pPr>
              <w:spacing w:lineRule="exact" w:line="600"/>
              <w:jc w:val="center"/>
            </w:pPr>
            <w:r/>
            <w:r>
              <w:rPr>
                <w:rFonts w:ascii="仿宋_GB2312" w:hAnsi="仿宋_GB2312" w:eastAsia="仿宋_GB2312"/>
                <w:b w:val="0"/>
                <w:color w:val="000000"/>
                <w:sz w:val="32"/>
              </w:rPr>
              <w:t>入驻91家/金融机构12家</w:t>
            </w:r>
          </w:p>
        </w:tc>
        <w:tc>
          <w:tcPr>
            <w:tcW w:type="dxa" w:w="2551"/>
          </w:tcPr>
          <w:p>
            <w:pPr>
              <w:spacing w:lineRule="exact" w:line="600"/>
              <w:jc w:val="center"/>
            </w:pPr>
            <w:r/>
            <w:r>
              <w:rPr>
                <w:rFonts w:ascii="仿宋_GB2312" w:hAnsi="仿宋_GB2312" w:eastAsia="仿宋_GB2312"/>
                <w:b w:val="0"/>
                <w:color w:val="000000"/>
                <w:sz w:val="32"/>
              </w:rPr>
              <w:t>采购降本约9%</w:t>
            </w:r>
          </w:p>
        </w:tc>
      </w:tr>
      <w:tr>
        <w:tc>
          <w:tcPr>
            <w:tcW w:type="dxa" w:w="3118"/>
          </w:tcPr>
          <w:p>
            <w:pPr>
              <w:spacing w:lineRule="exact" w:line="600"/>
              <w:jc w:val="center"/>
            </w:pPr>
            <w:r/>
            <w:r>
              <w:rPr>
                <w:rFonts w:ascii="仿宋_GB2312" w:hAnsi="仿宋_GB2312" w:eastAsia="仿宋_GB2312"/>
                <w:b w:val="0"/>
                <w:color w:val="000000"/>
                <w:sz w:val="32"/>
              </w:rPr>
              <w:t>智慧物流</w:t>
            </w:r>
          </w:p>
        </w:tc>
        <w:tc>
          <w:tcPr>
            <w:tcW w:type="dxa" w:w="2835"/>
          </w:tcPr>
          <w:p>
            <w:pPr>
              <w:spacing w:lineRule="exact" w:line="600"/>
              <w:jc w:val="center"/>
            </w:pPr>
            <w:r/>
            <w:r>
              <w:rPr>
                <w:rFonts w:ascii="仿宋_GB2312" w:hAnsi="仿宋_GB2312" w:eastAsia="仿宋_GB2312"/>
                <w:b w:val="0"/>
                <w:color w:val="000000"/>
                <w:sz w:val="32"/>
              </w:rPr>
              <w:t>AGV+WMS</w:t>
            </w:r>
          </w:p>
        </w:tc>
        <w:tc>
          <w:tcPr>
            <w:tcW w:type="dxa" w:w="2551"/>
          </w:tcPr>
          <w:p>
            <w:pPr>
              <w:spacing w:lineRule="exact" w:line="600"/>
              <w:jc w:val="center"/>
            </w:pPr>
            <w:r/>
            <w:r>
              <w:rPr>
                <w:rFonts w:ascii="仿宋_GB2312" w:hAnsi="仿宋_GB2312" w:eastAsia="仿宋_GB2312"/>
                <w:b w:val="0"/>
                <w:color w:val="000000"/>
                <w:sz w:val="32"/>
              </w:rPr>
              <w:t>年节约600万元</w:t>
            </w:r>
          </w:p>
        </w:tc>
      </w:tr>
      <w:tr>
        <w:tc>
          <w:tcPr>
            <w:tcW w:type="dxa" w:w="3118"/>
          </w:tcPr>
          <w:p>
            <w:pPr>
              <w:spacing w:lineRule="exact" w:line="600"/>
              <w:jc w:val="center"/>
            </w:pPr>
            <w:r/>
            <w:r>
              <w:rPr>
                <w:rFonts w:ascii="仿宋_GB2312" w:hAnsi="仿宋_GB2312" w:eastAsia="仿宋_GB2312"/>
                <w:b w:val="0"/>
                <w:color w:val="000000"/>
                <w:sz w:val="32"/>
              </w:rPr>
              <w:t>数字化</w:t>
            </w:r>
          </w:p>
        </w:tc>
        <w:tc>
          <w:tcPr>
            <w:tcW w:type="dxa" w:w="2835"/>
          </w:tcPr>
          <w:p>
            <w:pPr>
              <w:spacing w:lineRule="exact" w:line="600"/>
              <w:jc w:val="center"/>
            </w:pPr>
            <w:r/>
            <w:r>
              <w:rPr>
                <w:rFonts w:ascii="仿宋_GB2312" w:hAnsi="仿宋_GB2312" w:eastAsia="仿宋_GB2312"/>
                <w:b w:val="0"/>
                <w:color w:val="000000"/>
                <w:sz w:val="32"/>
              </w:rPr>
              <w:t>大数据/云/物联网赋能</w:t>
            </w:r>
          </w:p>
        </w:tc>
        <w:tc>
          <w:tcPr>
            <w:tcW w:type="dxa" w:w="2551"/>
          </w:tcPr>
          <w:p>
            <w:pPr>
              <w:spacing w:lineRule="exact" w:line="600"/>
              <w:jc w:val="center"/>
            </w:pPr>
            <w:r/>
            <w:r>
              <w:rPr>
                <w:rFonts w:ascii="仿宋_GB2312" w:hAnsi="仿宋_GB2312" w:eastAsia="仿宋_GB2312"/>
                <w:b w:val="0"/>
                <w:color w:val="000000"/>
                <w:sz w:val="32"/>
              </w:rPr>
              <w:t>订单快速响应</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下游风电、新能源汽车、高端装备与航空航天对高性能钢球需求持续增长。2023年中国新增风电装机约7500万千瓦，海上风电大规模开发提升大尺寸高可靠钢球需求；新能源汽车电机轴承对钢球性能要求更高（来源：行业年报/博研咨询）。宁阳「产业大脑」与链主赋能为承接高端订单创造条件。</w:t>
      </w:r>
    </w:p>
    <w:p>
      <w:pPr>
        <w:spacing w:lineRule="exact" w:line="600" w:before="120" w:after="120"/>
        <w:ind w:firstLine="420"/>
        <w:jc w:val="left"/>
      </w:pPr>
      <w:r>
        <w:rPr>
          <w:rFonts w:ascii="楷体_GB2312" w:hAnsi="楷体_GB2312" w:eastAsia="楷体_GB2312"/>
          <w:b w:val="0"/>
          <w:color w:val="000000"/>
          <w:sz w:val="32"/>
        </w:rPr>
        <w:t>（二）核心挑战</w:t>
      </w:r>
    </w:p>
    <w:p>
      <w:pPr>
        <w:spacing w:lineRule="exact" w:line="600" w:before="0" w:after="0"/>
        <w:ind w:firstLine="420"/>
        <w:jc w:val="both"/>
      </w:pPr>
      <w:r>
        <w:rPr>
          <w:rFonts w:ascii="仿宋_GB2312" w:hAnsi="仿宋_GB2312" w:eastAsia="仿宋_GB2312"/>
          <w:b w:val="0"/>
          <w:color w:val="000000"/>
          <w:sz w:val="32"/>
        </w:rPr>
        <w:t>宁阳钢球产业长期面临「大而不强、多而不精」瓶颈，产品以中低端为主，精密化、高端化供给不足，产业链需延链补链强链（来源：山东省装备制造业协会）。对比全球龙头Tsubaki Nakashima占22%份额，宁阳虽产量大但单体企业规模与品牌溢价偏弱，同质化竞争明显。</w:t>
      </w:r>
    </w:p>
    <w:p>
      <w:pPr>
        <w:spacing w:lineRule="exact" w:line="600" w:before="120" w:after="120"/>
        <w:ind w:firstLine="420"/>
        <w:jc w:val="left"/>
      </w:pPr>
      <w:r>
        <w:rPr>
          <w:rFonts w:ascii="楷体_GB2312" w:hAnsi="楷体_GB2312" w:eastAsia="楷体_GB2312"/>
          <w:b w:val="0"/>
          <w:color w:val="000000"/>
          <w:sz w:val="32"/>
        </w:rPr>
        <w:t>（三）主要风险</w:t>
      </w:r>
    </w:p>
    <w:p>
      <w:pPr>
        <w:spacing w:lineRule="exact" w:line="600" w:before="0" w:after="0"/>
        <w:ind w:firstLine="420"/>
        <w:jc w:val="both"/>
      </w:pPr>
      <w:r>
        <w:rPr>
          <w:rFonts w:ascii="仿宋_GB2312" w:hAnsi="仿宋_GB2312" w:eastAsia="仿宋_GB2312"/>
          <w:b w:val="0"/>
          <w:color w:val="000000"/>
          <w:sz w:val="32"/>
        </w:rPr>
        <w:t>一是轴承钢等原材料价格波动传导成本压力；二是高端精密钢球仍部分依赖进口技术与设备；三是国际贸易壁垒与绿色合规要求提升，出口20多国的市场面临认证与汇率风险（行业共性研判）。需通过技术升级与标准突破缓释风险。</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维度</w:t>
            </w:r>
          </w:p>
        </w:tc>
        <w:tc>
          <w:tcPr>
            <w:tcW w:type="dxa" w:w="2551"/>
          </w:tcPr>
          <w:p>
            <w:pPr>
              <w:spacing w:lineRule="exact" w:line="600"/>
              <w:jc w:val="center"/>
            </w:pPr>
            <w:r/>
            <w:r>
              <w:rPr>
                <w:rFonts w:ascii="黑体" w:hAnsi="黑体" w:eastAsia="黑体"/>
                <w:b/>
                <w:color w:val="000000"/>
                <w:sz w:val="32"/>
              </w:rPr>
              <w:t>判断</w:t>
            </w:r>
          </w:p>
        </w:tc>
        <w:tc>
          <w:tcPr>
            <w:tcW w:type="dxa" w:w="2835"/>
          </w:tcPr>
          <w:p>
            <w:pPr>
              <w:spacing w:lineRule="exact" w:line="600"/>
              <w:jc w:val="center"/>
            </w:pPr>
            <w:r/>
            <w:r>
              <w:rPr>
                <w:rFonts w:ascii="黑体" w:hAnsi="黑体" w:eastAsia="黑体"/>
                <w:b/>
                <w:color w:val="000000"/>
                <w:sz w:val="32"/>
              </w:rPr>
              <w:t>关键依据</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机遇</w:t>
            </w:r>
          </w:p>
        </w:tc>
        <w:tc>
          <w:tcPr>
            <w:tcW w:type="dxa" w:w="2551"/>
          </w:tcPr>
          <w:p>
            <w:pPr>
              <w:spacing w:lineRule="exact" w:line="600"/>
              <w:jc w:val="center"/>
            </w:pPr>
            <w:r/>
            <w:r>
              <w:rPr>
                <w:rFonts w:ascii="仿宋_GB2312" w:hAnsi="仿宋_GB2312" w:eastAsia="仿宋_GB2312"/>
                <w:b w:val="0"/>
                <w:color w:val="000000"/>
                <w:sz w:val="32"/>
              </w:rPr>
              <w:t>风电/新能源需求上行</w:t>
            </w:r>
          </w:p>
        </w:tc>
        <w:tc>
          <w:tcPr>
            <w:tcW w:type="dxa" w:w="2835"/>
          </w:tcPr>
          <w:p>
            <w:pPr>
              <w:spacing w:lineRule="exact" w:line="600"/>
              <w:jc w:val="center"/>
            </w:pPr>
            <w:r/>
            <w:r>
              <w:rPr>
                <w:rFonts w:ascii="仿宋_GB2312" w:hAnsi="仿宋_GB2312" w:eastAsia="仿宋_GB2312"/>
                <w:b w:val="0"/>
                <w:color w:val="000000"/>
                <w:sz w:val="32"/>
              </w:rPr>
              <w:t>2023新增风电装机7500万千瓦</w:t>
            </w:r>
          </w:p>
        </w:tc>
        <w:tc>
          <w:tcPr>
            <w:tcW w:type="dxa" w:w="1701"/>
          </w:tcPr>
          <w:p>
            <w:pPr>
              <w:spacing w:lineRule="exact" w:line="600"/>
              <w:jc w:val="center"/>
            </w:pPr>
            <w:r/>
            <w:r>
              <w:rPr>
                <w:rFonts w:ascii="仿宋_GB2312" w:hAnsi="仿宋_GB2312" w:eastAsia="仿宋_GB2312"/>
                <w:b w:val="0"/>
                <w:color w:val="000000"/>
                <w:sz w:val="32"/>
              </w:rPr>
              <w:t>行业年报</w:t>
            </w:r>
          </w:p>
        </w:tc>
      </w:tr>
      <w:tr>
        <w:tc>
          <w:tcPr>
            <w:tcW w:type="dxa" w:w="1417"/>
          </w:tcPr>
          <w:p>
            <w:pPr>
              <w:spacing w:lineRule="exact" w:line="600"/>
              <w:jc w:val="center"/>
            </w:pPr>
            <w:r/>
            <w:r>
              <w:rPr>
                <w:rFonts w:ascii="仿宋_GB2312" w:hAnsi="仿宋_GB2312" w:eastAsia="仿宋_GB2312"/>
                <w:b w:val="0"/>
                <w:color w:val="000000"/>
                <w:sz w:val="32"/>
              </w:rPr>
              <w:t>挑战</w:t>
            </w:r>
          </w:p>
        </w:tc>
        <w:tc>
          <w:tcPr>
            <w:tcW w:type="dxa" w:w="2551"/>
          </w:tcPr>
          <w:p>
            <w:pPr>
              <w:spacing w:lineRule="exact" w:line="600"/>
              <w:jc w:val="center"/>
            </w:pPr>
            <w:r/>
            <w:r>
              <w:rPr>
                <w:rFonts w:ascii="仿宋_GB2312" w:hAnsi="仿宋_GB2312" w:eastAsia="仿宋_GB2312"/>
                <w:b w:val="0"/>
                <w:color w:val="000000"/>
                <w:sz w:val="32"/>
              </w:rPr>
              <w:t>大而不强、高端不足</w:t>
            </w:r>
          </w:p>
        </w:tc>
        <w:tc>
          <w:tcPr>
            <w:tcW w:type="dxa" w:w="2835"/>
          </w:tcPr>
          <w:p>
            <w:pPr>
              <w:spacing w:lineRule="exact" w:line="600"/>
              <w:jc w:val="center"/>
            </w:pPr>
            <w:r/>
            <w:r>
              <w:rPr>
                <w:rFonts w:ascii="仿宋_GB2312" w:hAnsi="仿宋_GB2312" w:eastAsia="仿宋_GB2312"/>
                <w:b w:val="0"/>
                <w:color w:val="000000"/>
                <w:sz w:val="32"/>
              </w:rPr>
              <w:t>产能占全国65%但高端弱</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风险</w:t>
            </w:r>
          </w:p>
        </w:tc>
        <w:tc>
          <w:tcPr>
            <w:tcW w:type="dxa" w:w="2551"/>
          </w:tcPr>
          <w:p>
            <w:pPr>
              <w:spacing w:lineRule="exact" w:line="600"/>
              <w:jc w:val="center"/>
            </w:pPr>
            <w:r/>
            <w:r>
              <w:rPr>
                <w:rFonts w:ascii="仿宋_GB2312" w:hAnsi="仿宋_GB2312" w:eastAsia="仿宋_GB2312"/>
                <w:b w:val="0"/>
                <w:color w:val="000000"/>
                <w:sz w:val="32"/>
              </w:rPr>
              <w:t>原料波动+贸易壁垒</w:t>
            </w:r>
          </w:p>
        </w:tc>
        <w:tc>
          <w:tcPr>
            <w:tcW w:type="dxa" w:w="2835"/>
          </w:tcPr>
          <w:p>
            <w:pPr>
              <w:spacing w:lineRule="exact" w:line="600"/>
              <w:jc w:val="center"/>
            </w:pPr>
            <w:r/>
            <w:r>
              <w:rPr>
                <w:rFonts w:ascii="仿宋_GB2312" w:hAnsi="仿宋_GB2312" w:eastAsia="仿宋_GB2312"/>
                <w:b w:val="0"/>
                <w:color w:val="000000"/>
                <w:sz w:val="32"/>
              </w:rPr>
              <w:t>出口20多国</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（一）数字赋能与平台化</w:t>
      </w:r>
    </w:p>
    <w:p>
      <w:pPr>
        <w:spacing w:lineRule="exact" w:line="600" w:before="0" w:after="0"/>
        <w:ind w:firstLine="420"/>
        <w:jc w:val="both"/>
      </w:pPr>
      <w:r>
        <w:rPr>
          <w:rFonts w:ascii="仿宋_GB2312" w:hAnsi="仿宋_GB2312" w:eastAsia="仿宋_GB2312"/>
          <w:b w:val="0"/>
          <w:color w:val="000000"/>
          <w:sz w:val="32"/>
        </w:rPr>
        <w:t>以「钢球产业大脑」为核心，深化云联钢球数字经济总部「集采+代采+商城」模式，打通上下游采购与销售端，目标打造中国钢球产业链数字经济产业创新中心（来源：宁阳县政府/经济日报）。通过「产业+平台+金融+资本」四轮驱动，推动县域钢球提档升级、提质增效。</w:t>
      </w:r>
    </w:p>
    <w:p>
      <w:pPr>
        <w:spacing w:lineRule="exact" w:line="600" w:before="120" w:after="120"/>
        <w:ind w:firstLine="420"/>
        <w:jc w:val="left"/>
      </w:pPr>
      <w:r>
        <w:rPr>
          <w:rFonts w:ascii="楷体_GB2312" w:hAnsi="楷体_GB2312" w:eastAsia="楷体_GB2312"/>
          <w:b w:val="0"/>
          <w:color w:val="000000"/>
          <w:sz w:val="32"/>
        </w:rPr>
        <w:t>（二）高端化与进口替代</w:t>
      </w:r>
    </w:p>
    <w:p>
      <w:pPr>
        <w:spacing w:lineRule="exact" w:line="600" w:before="0" w:after="0"/>
        <w:ind w:firstLine="420"/>
        <w:jc w:val="both"/>
      </w:pPr>
      <w:r>
        <w:rPr>
          <w:rFonts w:ascii="仿宋_GB2312" w:hAnsi="仿宋_GB2312" w:eastAsia="仿宋_GB2312"/>
          <w:b w:val="0"/>
          <w:color w:val="000000"/>
          <w:sz w:val="32"/>
        </w:rPr>
        <w:t>依托辰信链主建设「四中心一平台」（研发设计、质量检测、原料供应、金融支持中心+产业大脑），向精密制造+服务赋能转型（来源：山东省装备制造业协会）。重点突破G5—G10级超精钢球、不锈钢球、特种钢球，服务风电、医疗、军工等进口替代场景。</w:t>
      </w:r>
    </w:p>
    <w:p>
      <w:pPr>
        <w:spacing w:lineRule="exact" w:line="600" w:before="120" w:after="120"/>
        <w:ind w:firstLine="420"/>
        <w:jc w:val="left"/>
      </w:pPr>
      <w:r>
        <w:rPr>
          <w:rFonts w:ascii="楷体_GB2312" w:hAnsi="楷体_GB2312" w:eastAsia="楷体_GB2312"/>
          <w:b w:val="0"/>
          <w:color w:val="000000"/>
          <w:sz w:val="32"/>
        </w:rPr>
        <w:t>（三）链主带动协同升级</w:t>
      </w:r>
    </w:p>
    <w:p>
      <w:pPr>
        <w:spacing w:lineRule="exact" w:line="600" w:before="0" w:after="0"/>
        <w:ind w:firstLine="420"/>
        <w:jc w:val="both"/>
      </w:pPr>
      <w:r>
        <w:rPr>
          <w:rFonts w:ascii="仿宋_GB2312" w:hAnsi="仿宋_GB2312" w:eastAsia="仿宋_GB2312"/>
          <w:b w:val="0"/>
          <w:color w:val="000000"/>
          <w:sz w:val="32"/>
        </w:rPr>
        <w:t>辰信作为链主，为320余家生产主体提供研发设计、原料供应、质量检测、金融支持等公共服务，推动传统钢球从「制造」向「智造」跃升（来源：山东省装备制造业协会/宁阳县政府）。通过标准输出与数字化改造，带动中小企业整体跃升竞争力。</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路径</w:t>
            </w:r>
          </w:p>
        </w:tc>
        <w:tc>
          <w:tcPr>
            <w:tcW w:type="dxa" w:w="2551"/>
          </w:tcPr>
          <w:p>
            <w:pPr>
              <w:spacing w:lineRule="exact" w:line="600"/>
              <w:jc w:val="center"/>
            </w:pPr>
            <w:r/>
            <w:r>
              <w:rPr>
                <w:rFonts w:ascii="黑体" w:hAnsi="黑体" w:eastAsia="黑体"/>
                <w:b/>
                <w:color w:val="000000"/>
                <w:sz w:val="32"/>
              </w:rPr>
              <w:t>抓手</w:t>
            </w:r>
          </w:p>
        </w:tc>
        <w:tc>
          <w:tcPr>
            <w:tcW w:type="dxa" w:w="2835"/>
          </w:tcPr>
          <w:p>
            <w:pPr>
              <w:spacing w:lineRule="exact" w:line="600"/>
              <w:jc w:val="center"/>
            </w:pPr>
            <w:r/>
            <w:r>
              <w:rPr>
                <w:rFonts w:ascii="黑体" w:hAnsi="黑体" w:eastAsia="黑体"/>
                <w:b/>
                <w:color w:val="000000"/>
                <w:sz w:val="32"/>
              </w:rPr>
              <w:t>目标</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数字赋能</w:t>
            </w:r>
          </w:p>
        </w:tc>
        <w:tc>
          <w:tcPr>
            <w:tcW w:type="dxa" w:w="2551"/>
          </w:tcPr>
          <w:p>
            <w:pPr>
              <w:spacing w:lineRule="exact" w:line="600"/>
              <w:jc w:val="center"/>
            </w:pPr>
            <w:r/>
            <w:r>
              <w:rPr>
                <w:rFonts w:ascii="仿宋_GB2312" w:hAnsi="仿宋_GB2312" w:eastAsia="仿宋_GB2312"/>
                <w:b w:val="0"/>
                <w:color w:val="000000"/>
                <w:sz w:val="32"/>
              </w:rPr>
              <w:t>产业大脑+云联钢球</w:t>
            </w:r>
          </w:p>
        </w:tc>
        <w:tc>
          <w:tcPr>
            <w:tcW w:type="dxa" w:w="2835"/>
          </w:tcPr>
          <w:p>
            <w:pPr>
              <w:spacing w:lineRule="exact" w:line="600"/>
              <w:jc w:val="center"/>
            </w:pPr>
            <w:r/>
            <w:r>
              <w:rPr>
                <w:rFonts w:ascii="仿宋_GB2312" w:hAnsi="仿宋_GB2312" w:eastAsia="仿宋_GB2312"/>
                <w:b w:val="0"/>
                <w:color w:val="000000"/>
                <w:sz w:val="32"/>
              </w:rPr>
              <w:t>中国钢球数字中心</w:t>
            </w:r>
          </w:p>
        </w:tc>
        <w:tc>
          <w:tcPr>
            <w:tcW w:type="dxa" w:w="1701"/>
          </w:tcPr>
          <w:p>
            <w:pPr>
              <w:spacing w:lineRule="exact" w:line="600"/>
              <w:jc w:val="center"/>
            </w:pPr>
            <w:r/>
            <w:r>
              <w:rPr>
                <w:rFonts w:ascii="仿宋_GB2312" w:hAnsi="仿宋_GB2312" w:eastAsia="仿宋_GB2312"/>
                <w:b w:val="0"/>
                <w:color w:val="000000"/>
                <w:sz w:val="32"/>
              </w:rPr>
              <w:t>宁阳县政府</w:t>
            </w:r>
          </w:p>
        </w:tc>
      </w:tr>
      <w:tr>
        <w:tc>
          <w:tcPr>
            <w:tcW w:type="dxa" w:w="1417"/>
          </w:tcPr>
          <w:p>
            <w:pPr>
              <w:spacing w:lineRule="exact" w:line="600"/>
              <w:jc w:val="center"/>
            </w:pPr>
            <w:r/>
            <w:r>
              <w:rPr>
                <w:rFonts w:ascii="仿宋_GB2312" w:hAnsi="仿宋_GB2312" w:eastAsia="仿宋_GB2312"/>
                <w:b w:val="0"/>
                <w:color w:val="000000"/>
                <w:sz w:val="32"/>
              </w:rPr>
              <w:t>高端化</w:t>
            </w:r>
          </w:p>
        </w:tc>
        <w:tc>
          <w:tcPr>
            <w:tcW w:type="dxa" w:w="2551"/>
          </w:tcPr>
          <w:p>
            <w:pPr>
              <w:spacing w:lineRule="exact" w:line="600"/>
              <w:jc w:val="center"/>
            </w:pPr>
            <w:r/>
            <w:r>
              <w:rPr>
                <w:rFonts w:ascii="仿宋_GB2312" w:hAnsi="仿宋_GB2312" w:eastAsia="仿宋_GB2312"/>
                <w:b w:val="0"/>
                <w:color w:val="000000"/>
                <w:sz w:val="32"/>
              </w:rPr>
              <w:t>四中心一平台</w:t>
            </w:r>
          </w:p>
        </w:tc>
        <w:tc>
          <w:tcPr>
            <w:tcW w:type="dxa" w:w="2835"/>
          </w:tcPr>
          <w:p>
            <w:pPr>
              <w:spacing w:lineRule="exact" w:line="600"/>
              <w:jc w:val="center"/>
            </w:pPr>
            <w:r/>
            <w:r>
              <w:rPr>
                <w:rFonts w:ascii="仿宋_GB2312" w:hAnsi="仿宋_GB2312" w:eastAsia="仿宋_GB2312"/>
                <w:b w:val="0"/>
                <w:color w:val="000000"/>
                <w:sz w:val="32"/>
              </w:rPr>
              <w:t>G5-G10超精替代</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链主带动</w:t>
            </w:r>
          </w:p>
        </w:tc>
        <w:tc>
          <w:tcPr>
            <w:tcW w:type="dxa" w:w="2551"/>
          </w:tcPr>
          <w:p>
            <w:pPr>
              <w:spacing w:lineRule="exact" w:line="600"/>
              <w:jc w:val="center"/>
            </w:pPr>
            <w:r/>
            <w:r>
              <w:rPr>
                <w:rFonts w:ascii="仿宋_GB2312" w:hAnsi="仿宋_GB2312" w:eastAsia="仿宋_GB2312"/>
                <w:b w:val="0"/>
                <w:color w:val="000000"/>
                <w:sz w:val="32"/>
              </w:rPr>
              <w:t>辰信公共服务</w:t>
            </w:r>
          </w:p>
        </w:tc>
        <w:tc>
          <w:tcPr>
            <w:tcW w:type="dxa" w:w="2835"/>
          </w:tcPr>
          <w:p>
            <w:pPr>
              <w:spacing w:lineRule="exact" w:line="600"/>
              <w:jc w:val="center"/>
            </w:pPr>
            <w:r/>
            <w:r>
              <w:rPr>
                <w:rFonts w:ascii="仿宋_GB2312" w:hAnsi="仿宋_GB2312" w:eastAsia="仿宋_GB2312"/>
                <w:b w:val="0"/>
                <w:color w:val="000000"/>
                <w:sz w:val="32"/>
              </w:rPr>
              <w:t>赋能320余家企业</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（一）技改与智造升级融资</w:t>
      </w:r>
    </w:p>
    <w:p>
      <w:pPr>
        <w:spacing w:lineRule="exact" w:line="600" w:before="0" w:after="0"/>
        <w:ind w:firstLine="420"/>
        <w:jc w:val="both"/>
      </w:pPr>
      <w:r>
        <w:rPr>
          <w:rFonts w:ascii="仿宋_GB2312" w:hAnsi="仿宋_GB2312" w:eastAsia="仿宋_GB2312"/>
          <w:b w:val="0"/>
          <w:color w:val="000000"/>
          <w:sz w:val="32"/>
        </w:rPr>
        <w:t>钢球企业「机器换人」「生产换线」需要持续设备投资，辰信一期即投入11亿元、配备1300余台（套）智能设备，中小企业数字化改造同样需要信贷与融资租赁支持（来源：辰信官网/经济日报）。预计县域钢球智改数转年均融资需求在数亿元量级（行业共性研判）。</w:t>
      </w:r>
    </w:p>
    <w:p>
      <w:pPr>
        <w:spacing w:lineRule="exact" w:line="600" w:before="120" w:after="120"/>
        <w:ind w:firstLine="420"/>
        <w:jc w:val="left"/>
      </w:pPr>
      <w:r>
        <w:rPr>
          <w:rFonts w:ascii="楷体_GB2312" w:hAnsi="楷体_GB2312" w:eastAsia="楷体_GB2312"/>
          <w:b w:val="0"/>
          <w:color w:val="000000"/>
          <w:sz w:val="32"/>
        </w:rPr>
        <w:t>（二）供应链金融创新</w:t>
      </w:r>
    </w:p>
    <w:p>
      <w:pPr>
        <w:spacing w:lineRule="exact" w:line="600" w:before="0" w:after="0"/>
        <w:ind w:firstLine="420"/>
        <w:jc w:val="both"/>
      </w:pPr>
      <w:r>
        <w:rPr>
          <w:rFonts w:ascii="仿宋_GB2312" w:hAnsi="仿宋_GB2312" w:eastAsia="仿宋_GB2312"/>
          <w:b w:val="0"/>
          <w:color w:val="000000"/>
          <w:sz w:val="32"/>
        </w:rPr>
        <w:t>「钢球产业大脑」以数据驱动「数字供应链金融」，云联钢球平台已入驻12家金融机构，可为中小钢球企业提供订单融资、存货融资与集采垫资（来源：经济日报）。此类基于真实交易数据的信用融资，是缓解小微企业「融资难」的重要方向。</w:t>
      </w:r>
    </w:p>
    <w:p>
      <w:pPr>
        <w:spacing w:lineRule="exact" w:line="600" w:before="120" w:after="120"/>
        <w:ind w:firstLine="420"/>
        <w:jc w:val="left"/>
      </w:pPr>
      <w:r>
        <w:rPr>
          <w:rFonts w:ascii="楷体_GB2312" w:hAnsi="楷体_GB2312" w:eastAsia="楷体_GB2312"/>
          <w:b w:val="0"/>
          <w:color w:val="000000"/>
          <w:sz w:val="32"/>
        </w:rPr>
        <w:t>（三）直接融资与产业基金</w:t>
      </w:r>
    </w:p>
    <w:p>
      <w:pPr>
        <w:spacing w:lineRule="exact" w:line="600" w:before="0" w:after="0"/>
        <w:ind w:firstLine="420"/>
        <w:jc w:val="both"/>
      </w:pPr>
      <w:r>
        <w:rPr>
          <w:rFonts w:ascii="仿宋_GB2312" w:hAnsi="仿宋_GB2312" w:eastAsia="仿宋_GB2312"/>
          <w:b w:val="0"/>
          <w:color w:val="000000"/>
          <w:sz w:val="32"/>
        </w:rPr>
        <w:t>宁阳将辰信对标上市公司标准建设，并规划以产业基金、上市培育支持链主及骨干企业资本化（来源：宁阳县政府/山东省装备制造业协会）。建议设立钢球产业专项基金，支持辰信及华通、中瑞等骨干企业股份制改造与挂牌上市，补齐资本短板。</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融资方向</w:t>
            </w:r>
          </w:p>
        </w:tc>
        <w:tc>
          <w:tcPr>
            <w:tcW w:type="dxa" w:w="2268"/>
          </w:tcPr>
          <w:p>
            <w:pPr>
              <w:spacing w:lineRule="exact" w:line="600"/>
              <w:jc w:val="center"/>
            </w:pPr>
            <w:r/>
            <w:r>
              <w:rPr>
                <w:rFonts w:ascii="黑体" w:hAnsi="黑体" w:eastAsia="黑体"/>
                <w:b/>
                <w:color w:val="000000"/>
                <w:sz w:val="32"/>
              </w:rPr>
              <w:t>规模/方式</w:t>
            </w:r>
          </w:p>
        </w:tc>
        <w:tc>
          <w:tcPr>
            <w:tcW w:type="dxa" w:w="2551"/>
          </w:tcPr>
          <w:p>
            <w:pPr>
              <w:spacing w:lineRule="exact" w:line="600"/>
              <w:jc w:val="center"/>
            </w:pPr>
            <w:r/>
            <w:r>
              <w:rPr>
                <w:rFonts w:ascii="黑体" w:hAnsi="黑体" w:eastAsia="黑体"/>
                <w:b/>
                <w:color w:val="000000"/>
                <w:sz w:val="32"/>
              </w:rPr>
              <w:t>受益主体</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技改信贷</w:t>
            </w:r>
          </w:p>
        </w:tc>
        <w:tc>
          <w:tcPr>
            <w:tcW w:type="dxa" w:w="2268"/>
          </w:tcPr>
          <w:p>
            <w:pPr>
              <w:spacing w:lineRule="exact" w:line="600"/>
              <w:jc w:val="center"/>
            </w:pPr>
            <w:r/>
            <w:r>
              <w:rPr>
                <w:rFonts w:ascii="仿宋_GB2312" w:hAnsi="仿宋_GB2312" w:eastAsia="仿宋_GB2312"/>
                <w:b w:val="0"/>
                <w:color w:val="000000"/>
                <w:sz w:val="32"/>
              </w:rPr>
              <w:t>数亿元级设备贷</w:t>
            </w:r>
          </w:p>
        </w:tc>
        <w:tc>
          <w:tcPr>
            <w:tcW w:type="dxa" w:w="2551"/>
          </w:tcPr>
          <w:p>
            <w:pPr>
              <w:spacing w:lineRule="exact" w:line="600"/>
              <w:jc w:val="center"/>
            </w:pPr>
            <w:r/>
            <w:r>
              <w:rPr>
                <w:rFonts w:ascii="仿宋_GB2312" w:hAnsi="仿宋_GB2312" w:eastAsia="仿宋_GB2312"/>
                <w:b w:val="0"/>
                <w:color w:val="000000"/>
                <w:sz w:val="32"/>
              </w:rPr>
              <w:t>中小企业</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供应链金融</w:t>
            </w:r>
          </w:p>
        </w:tc>
        <w:tc>
          <w:tcPr>
            <w:tcW w:type="dxa" w:w="2268"/>
          </w:tcPr>
          <w:p>
            <w:pPr>
              <w:spacing w:lineRule="exact" w:line="600"/>
              <w:jc w:val="center"/>
            </w:pPr>
            <w:r/>
            <w:r>
              <w:rPr>
                <w:rFonts w:ascii="仿宋_GB2312" w:hAnsi="仿宋_GB2312" w:eastAsia="仿宋_GB2312"/>
                <w:b w:val="0"/>
                <w:color w:val="000000"/>
                <w:sz w:val="32"/>
              </w:rPr>
              <w:t>产业大脑数据贷</w:t>
            </w:r>
          </w:p>
        </w:tc>
        <w:tc>
          <w:tcPr>
            <w:tcW w:type="dxa" w:w="2551"/>
          </w:tcPr>
          <w:p>
            <w:pPr>
              <w:spacing w:lineRule="exact" w:line="600"/>
              <w:jc w:val="center"/>
            </w:pPr>
            <w:r/>
            <w:r>
              <w:rPr>
                <w:rFonts w:ascii="仿宋_GB2312" w:hAnsi="仿宋_GB2312" w:eastAsia="仿宋_GB2312"/>
                <w:b w:val="0"/>
                <w:color w:val="000000"/>
                <w:sz w:val="32"/>
              </w:rPr>
              <w:t>320余家小微</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产业基金/上市</w:t>
            </w:r>
          </w:p>
        </w:tc>
        <w:tc>
          <w:tcPr>
            <w:tcW w:type="dxa" w:w="2268"/>
          </w:tcPr>
          <w:p>
            <w:pPr>
              <w:spacing w:lineRule="exact" w:line="600"/>
              <w:jc w:val="center"/>
            </w:pPr>
            <w:r/>
            <w:r>
              <w:rPr>
                <w:rFonts w:ascii="仿宋_GB2312" w:hAnsi="仿宋_GB2312" w:eastAsia="仿宋_GB2312"/>
                <w:b w:val="0"/>
                <w:color w:val="000000"/>
                <w:sz w:val="32"/>
              </w:rPr>
              <w:t>专项基金+股改</w:t>
            </w:r>
          </w:p>
        </w:tc>
        <w:tc>
          <w:tcPr>
            <w:tcW w:type="dxa" w:w="2551"/>
          </w:tcPr>
          <w:p>
            <w:pPr>
              <w:spacing w:lineRule="exact" w:line="600"/>
              <w:jc w:val="center"/>
            </w:pPr>
            <w:r/>
            <w:r>
              <w:rPr>
                <w:rFonts w:ascii="仿宋_GB2312" w:hAnsi="仿宋_GB2312" w:eastAsia="仿宋_GB2312"/>
                <w:b w:val="0"/>
                <w:color w:val="000000"/>
                <w:sz w:val="32"/>
              </w:rPr>
              <w:t>辰信等骨干</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辰信轴承科技（山东）有限公司：位于宁阳堽城工业园，隶属于辰信集团，2022年成立，宁阳钢球产业园链主企业；总投资26亿元建设辰信基础零部件绿色智能智造示范项目，一期投入11亿元、占地162.96亩、配备1300余台（套）智能设备，达产后可形成30万吨钢球钢丝原材料改制及2万吨精密钢球产能，年销售收入有望突破20亿元、税金1.8亿元，直接带动600余人就业；产品涵盖φ0.3mm—φ78mm全规格、G5—G100级全精度，依托洛阳轴承研究所与中机十院技术支撑。来源：辰信轴承科技官网、山东省装备制造业协会（2026-04）。</w:t>
      </w:r>
    </w:p>
    <w:p>
      <w:pPr>
        <w:spacing w:lineRule="exact" w:line="600" w:before="0" w:after="0"/>
        <w:ind w:firstLine="420"/>
        <w:jc w:val="both"/>
      </w:pPr>
      <w:r>
        <w:rPr>
          <w:rFonts w:ascii="仿宋_GB2312" w:hAnsi="仿宋_GB2312" w:eastAsia="仿宋_GB2312"/>
          <w:b w:val="0"/>
          <w:color w:val="000000"/>
          <w:sz w:val="32"/>
        </w:rPr>
        <w:t>宁阳县新东工贸有限公司：位于宁阳泗店镇，钢球产业骨干企业，主营钢球、轴承及钢球磨削液；企业官网披露员工300余人、工程技术人员20人，年产钢球3000吨，出口率99%，产品应用于轴承、汽车安全带、医疗器械、家电滑轨等领域。来源：宁阳县新东工贸有限公司官网、天眼查。</w:t>
      </w:r>
    </w:p>
    <w:p>
      <w:pPr>
        <w:spacing w:lineRule="exact" w:line="600" w:before="0" w:after="0"/>
        <w:ind w:firstLine="420"/>
        <w:jc w:val="both"/>
      </w:pPr>
      <w:r>
        <w:rPr>
          <w:rFonts w:ascii="仿宋_GB2312" w:hAnsi="仿宋_GB2312" w:eastAsia="仿宋_GB2312"/>
          <w:b w:val="0"/>
          <w:color w:val="000000"/>
          <w:sz w:val="32"/>
        </w:rPr>
        <w:t>宁阳县先锋轴承钢球厂：位于宁阳堽城钢球工业园，钢球制造代表企业，主营钢球、铜球、玻璃球等加工，为宁阳320余家钢球生产主体之一，支撑「中国钢球之乡」中低端碳钢球及多材质钢球供给。来源：天眼查、宁阳县钢球产业集群公开资料。</w:t>
      </w:r>
    </w:p>
    <w:p>
      <w:pPr>
        <w:spacing w:lineRule="exact" w:line="600" w:before="0" w:after="0"/>
        <w:jc w:val="left"/>
      </w:pPr>
      <w:r>
        <w:rPr>
          <w:rFonts w:ascii="仿宋_GB2312" w:hAnsi="仿宋_GB2312" w:eastAsia="仿宋_GB2312"/>
          <w:b w:val="0"/>
          <w:color w:val="000000"/>
          <w:sz w:val="28"/>
        </w:rPr>
        <w:t>主要数据来源：宁阳县政府官网《小钢珠「滚」出大产业》（2024-09-14，ny.gov.cn）；山东省工业和信息化厅中小企业产业集群公示及《小小钢球产业的蝶变》（sicc.gxt.shandong.gov.cn）；中国产业经济信息网/经济日报《山东宁阳：小钢球滚出大产业》（cinic.org.cn）；中国经济网《智改数转推动制造业高质量发展》（ce.cn，2024-10-20）；辰信轴承科技（山东）有限公司官网及《轴承科技：锚定高质量发展》（cxkyjt.com）；山东省装备制造业协会《协会探厂：辰信轴承链主风采》（sdszbzz.com，2026-04-15）；恒州诚思《轴承钢球市场报告：2023年全球约122.8亿元》（yhresearch.cn）；博研咨询《中国配套轴承钢球行业市场前景预测及投资价值评估报告》（docin.com）；北京博研智尚《中国特殊滚珠轴承行业市场前景预测》（cninfo360.cn）</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