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山东泰安宁阳（基础零部件—钢球）特色产业集群</w:t>
      </w:r>
    </w:p>
    <w:p>
      <w:pPr>
        <w:spacing w:lineRule="exact" w:line="600" w:before="240" w:after="240"/>
        <w:ind w:firstLine="0"/>
        <w:jc w:val="center"/>
      </w:pPr>
      <w:r>
        <w:rPr>
          <w:rFonts w:ascii="方正小标宋简体" w:hAnsi="方正小标宋简体" w:eastAsia="方正小标宋简体"/>
          <w:b w:val="0"/>
          <w:color w:val="000000"/>
          <w:sz w:val="44"/>
        </w:rPr>
        <w:t>钢球检测与商贸行业深度分析报告</w:t>
      </w:r>
    </w:p>
    <w:p>
      <w:pPr>
        <w:spacing w:lineRule="exact" w:line="600" w:before="0" w:after="0"/>
        <w:jc w:val="left"/>
      </w:pPr>
      <w:r>
        <w:rPr>
          <w:rFonts w:ascii="仿宋_GB2312" w:hAnsi="仿宋_GB2312" w:eastAsia="仿宋_GB2312"/>
          <w:b w:val="0"/>
          <w:color w:val="000000"/>
          <w:sz w:val="28"/>
        </w:rPr>
        <w:t>本报告数据来源于宁阳县政府、经济日报/中国经济网、山东省装备制造业协会、辰信轴承科技及云联钢球平台公开报道。钢球检测与商贸为宁阳钢球产业链的赋能与流通环节，部分交易与平台数据为2024—2025年公开披露值。</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钢球检测与商贸是宁阳「中国钢球之乡」由制造向「制造+服务+平台」转型的关键环节。宁阳建成钢球智能制造工业园区（省级示范型数字经济园区），以「钢球产业大脑」为中枢，打造云联钢球数字经济总部，提供研发设计、质量检测、原料供应、金融支持等全链条服务。截至公开报道，云联钢球平台已入驻企业50家、金融机构12家，完成交易4000余万元，企业采购成本平均下降约9%（来源：经济日报）。辰信建设检验检测中心，承担钢球几何精度、硬度、疲劳等检测；山东省装备制造业协会等机构提供行业支撑。商贸端，宁阳钢球市场拓展至20多个国家，碳钢球出口居前。检测认证与数字化商贸平台的完善，正成为宁阳钢球突破「低价竞争」、迈向「价值竞争」的支点。</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云联平台入驻企业</w:t>
            </w:r>
          </w:p>
        </w:tc>
        <w:tc>
          <w:tcPr>
            <w:tcW w:type="dxa" w:w="2835"/>
          </w:tcPr>
          <w:p>
            <w:pPr>
              <w:spacing w:lineRule="exact" w:line="600"/>
              <w:jc w:val="center"/>
            </w:pPr>
            <w:r/>
            <w:r>
              <w:rPr>
                <w:rFonts w:ascii="仿宋_GB2312" w:hAnsi="仿宋_GB2312" w:eastAsia="仿宋_GB2312"/>
                <w:b w:val="0"/>
                <w:color w:val="000000"/>
                <w:sz w:val="32"/>
              </w:rPr>
              <w:t>50家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入驻金融机构</w:t>
            </w:r>
          </w:p>
        </w:tc>
        <w:tc>
          <w:tcPr>
            <w:tcW w:type="dxa" w:w="2835"/>
          </w:tcPr>
          <w:p>
            <w:pPr>
              <w:spacing w:lineRule="exact" w:line="600"/>
              <w:jc w:val="center"/>
            </w:pPr>
            <w:r/>
            <w:r>
              <w:rPr>
                <w:rFonts w:ascii="仿宋_GB2312" w:hAnsi="仿宋_GB2312" w:eastAsia="仿宋_GB2312"/>
                <w:b w:val="0"/>
                <w:color w:val="000000"/>
                <w:sz w:val="32"/>
              </w:rPr>
              <w:t>12家</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平台交易额</w:t>
            </w:r>
          </w:p>
        </w:tc>
        <w:tc>
          <w:tcPr>
            <w:tcW w:type="dxa" w:w="2835"/>
          </w:tcPr>
          <w:p>
            <w:pPr>
              <w:spacing w:lineRule="exact" w:line="600"/>
              <w:jc w:val="center"/>
            </w:pPr>
            <w:r/>
            <w:r>
              <w:rPr>
                <w:rFonts w:ascii="仿宋_GB2312" w:hAnsi="仿宋_GB2312" w:eastAsia="仿宋_GB2312"/>
                <w:b w:val="0"/>
                <w:color w:val="000000"/>
                <w:sz w:val="32"/>
              </w:rPr>
              <w:t>4000余万元</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采购成本降幅</w:t>
            </w:r>
          </w:p>
        </w:tc>
        <w:tc>
          <w:tcPr>
            <w:tcW w:type="dxa" w:w="2835"/>
          </w:tcPr>
          <w:p>
            <w:pPr>
              <w:spacing w:lineRule="exact" w:line="600"/>
              <w:jc w:val="center"/>
            </w:pPr>
            <w:r/>
            <w:r>
              <w:rPr>
                <w:rFonts w:ascii="仿宋_GB2312" w:hAnsi="仿宋_GB2312" w:eastAsia="仿宋_GB2312"/>
                <w:b w:val="0"/>
                <w:color w:val="000000"/>
                <w:sz w:val="32"/>
              </w:rPr>
              <w:t>约9%</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产业大脑投资</w:t>
            </w:r>
          </w:p>
        </w:tc>
        <w:tc>
          <w:tcPr>
            <w:tcW w:type="dxa" w:w="2835"/>
          </w:tcPr>
          <w:p>
            <w:pPr>
              <w:spacing w:lineRule="exact" w:line="600"/>
              <w:jc w:val="center"/>
            </w:pPr>
            <w:r/>
            <w:r>
              <w:rPr>
                <w:rFonts w:ascii="仿宋_GB2312" w:hAnsi="仿宋_GB2312" w:eastAsia="仿宋_GB2312"/>
                <w:b w:val="0"/>
                <w:color w:val="000000"/>
                <w:sz w:val="32"/>
              </w:rPr>
              <w:t>1500万元</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出口国家</w:t>
            </w:r>
          </w:p>
        </w:tc>
        <w:tc>
          <w:tcPr>
            <w:tcW w:type="dxa" w:w="2835"/>
          </w:tcPr>
          <w:p>
            <w:pPr>
              <w:spacing w:lineRule="exact" w:line="600"/>
              <w:jc w:val="center"/>
            </w:pPr>
            <w:r/>
            <w:r>
              <w:rPr>
                <w:rFonts w:ascii="仿宋_GB2312" w:hAnsi="仿宋_GB2312" w:eastAsia="仿宋_GB2312"/>
                <w:b w:val="0"/>
                <w:color w:val="000000"/>
                <w:sz w:val="32"/>
              </w:rPr>
              <w:t>20多个</w:t>
            </w:r>
          </w:p>
        </w:tc>
        <w:tc>
          <w:tcPr>
            <w:tcW w:type="dxa" w:w="3118"/>
          </w:tcPr>
          <w:p>
            <w:pPr>
              <w:spacing w:lineRule="exact" w:line="600"/>
              <w:jc w:val="center"/>
            </w:pPr>
            <w:r/>
            <w:r>
              <w:rPr>
                <w:rFonts w:ascii="仿宋_GB2312" w:hAnsi="仿宋_GB2312" w:eastAsia="仿宋_GB2312"/>
                <w:b w:val="0"/>
                <w:color w:val="000000"/>
                <w:sz w:val="32"/>
              </w:rPr>
              <w:t>宁阳县政府</w:t>
            </w:r>
          </w:p>
        </w:tc>
      </w:tr>
      <w:tr>
        <w:tc>
          <w:tcPr>
            <w:tcW w:type="dxa" w:w="2835"/>
          </w:tcPr>
          <w:p>
            <w:pPr>
              <w:spacing w:lineRule="exact" w:line="600"/>
              <w:jc w:val="center"/>
            </w:pPr>
            <w:r/>
            <w:r>
              <w:rPr>
                <w:rFonts w:ascii="仿宋_GB2312" w:hAnsi="仿宋_GB2312" w:eastAsia="仿宋_GB2312"/>
                <w:b w:val="0"/>
                <w:color w:val="000000"/>
                <w:sz w:val="32"/>
              </w:rPr>
              <w:t>园区等级</w:t>
            </w:r>
          </w:p>
        </w:tc>
        <w:tc>
          <w:tcPr>
            <w:tcW w:type="dxa" w:w="2835"/>
          </w:tcPr>
          <w:p>
            <w:pPr>
              <w:spacing w:lineRule="exact" w:line="600"/>
              <w:jc w:val="center"/>
            </w:pPr>
            <w:r/>
            <w:r>
              <w:rPr>
                <w:rFonts w:ascii="仿宋_GB2312" w:hAnsi="仿宋_GB2312" w:eastAsia="仿宋_GB2312"/>
                <w:b w:val="0"/>
                <w:color w:val="000000"/>
                <w:sz w:val="32"/>
              </w:rPr>
              <w:t>省级示范数字经济园区</w:t>
            </w:r>
          </w:p>
        </w:tc>
        <w:tc>
          <w:tcPr>
            <w:tcW w:type="dxa" w:w="3118"/>
          </w:tcPr>
          <w:p>
            <w:pPr>
              <w:spacing w:lineRule="exact" w:line="600"/>
              <w:jc w:val="center"/>
            </w:pPr>
            <w:r/>
            <w:r>
              <w:rPr>
                <w:rFonts w:ascii="仿宋_GB2312" w:hAnsi="仿宋_GB2312" w:eastAsia="仿宋_GB2312"/>
                <w:b w:val="0"/>
                <w:color w:val="000000"/>
                <w:sz w:val="32"/>
              </w:rPr>
              <w:t>经济日报</w:t>
            </w:r>
          </w:p>
        </w:tc>
      </w:tr>
      <w:tr>
        <w:tc>
          <w:tcPr>
            <w:tcW w:type="dxa" w:w="2835"/>
          </w:tcPr>
          <w:p>
            <w:pPr>
              <w:spacing w:lineRule="exact" w:line="600"/>
              <w:jc w:val="center"/>
            </w:pPr>
            <w:r/>
            <w:r>
              <w:rPr>
                <w:rFonts w:ascii="仿宋_GB2312" w:hAnsi="仿宋_GB2312" w:eastAsia="仿宋_GB2312"/>
                <w:b w:val="0"/>
                <w:color w:val="000000"/>
                <w:sz w:val="32"/>
              </w:rPr>
              <w:t>全球轴承钢球市场</w:t>
            </w:r>
          </w:p>
        </w:tc>
        <w:tc>
          <w:tcPr>
            <w:tcW w:type="dxa" w:w="2835"/>
          </w:tcPr>
          <w:p>
            <w:pPr>
              <w:spacing w:lineRule="exact" w:line="600"/>
              <w:jc w:val="center"/>
            </w:pPr>
            <w:r/>
            <w:r>
              <w:rPr>
                <w:rFonts w:ascii="仿宋_GB2312" w:hAnsi="仿宋_GB2312" w:eastAsia="仿宋_GB2312"/>
                <w:b w:val="0"/>
                <w:color w:val="000000"/>
                <w:sz w:val="32"/>
              </w:rPr>
              <w:t>122.8亿元（2023）</w:t>
            </w:r>
          </w:p>
        </w:tc>
        <w:tc>
          <w:tcPr>
            <w:tcW w:type="dxa" w:w="3118"/>
          </w:tcPr>
          <w:p>
            <w:pPr>
              <w:spacing w:lineRule="exact" w:line="600"/>
              <w:jc w:val="center"/>
            </w:pPr>
            <w:r/>
            <w:r>
              <w:rPr>
                <w:rFonts w:ascii="仿宋_GB2312" w:hAnsi="仿宋_GB2312" w:eastAsia="仿宋_GB2312"/>
                <w:b w:val="0"/>
                <w:color w:val="000000"/>
                <w:sz w:val="32"/>
              </w:rPr>
              <w:t>恒州诚思</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（一）质量基础设施政策导向</w:t>
      </w:r>
    </w:p>
    <w:p>
      <w:pPr>
        <w:spacing w:lineRule="exact" w:line="600" w:before="0" w:after="0"/>
        <w:ind w:firstLine="420"/>
        <w:jc w:val="both"/>
      </w:pPr>
      <w:r>
        <w:rPr>
          <w:rFonts w:ascii="仿宋_GB2312" w:hAnsi="仿宋_GB2312" w:eastAsia="仿宋_GB2312"/>
          <w:b w:val="0"/>
          <w:color w:val="000000"/>
          <w:sz w:val="32"/>
        </w:rPr>
        <w:t>国家推动产业基础高级化，检验检测作为质量基础设施（NQI）被纳入制造强国建设重点。工信部《轴承钢球行业高质量发展行动计划》强调提升质量标准，2023年新修订《轴承钢球质量标准》提高质量要求（来源：博研咨询）。宁阳以检测中心+产业大脑对接这一导向，强化质量话语权。</w:t>
      </w:r>
    </w:p>
    <w:p>
      <w:pPr>
        <w:spacing w:lineRule="exact" w:line="600" w:before="120" w:after="120"/>
        <w:ind w:firstLine="420"/>
        <w:jc w:val="left"/>
      </w:pPr>
      <w:r>
        <w:rPr>
          <w:rFonts w:ascii="楷体_GB2312" w:hAnsi="楷体_GB2312" w:eastAsia="楷体_GB2312"/>
          <w:b w:val="0"/>
          <w:color w:val="000000"/>
          <w:sz w:val="32"/>
        </w:rPr>
        <w:t>（二）区域数字化商贸定位</w:t>
      </w:r>
    </w:p>
    <w:p>
      <w:pPr>
        <w:spacing w:lineRule="exact" w:line="600" w:before="0" w:after="0"/>
        <w:ind w:firstLine="420"/>
        <w:jc w:val="both"/>
      </w:pPr>
      <w:r>
        <w:rPr>
          <w:rFonts w:ascii="仿宋_GB2312" w:hAnsi="仿宋_GB2312" w:eastAsia="仿宋_GB2312"/>
          <w:b w:val="0"/>
          <w:color w:val="000000"/>
          <w:sz w:val="32"/>
        </w:rPr>
        <w:t>宁阳2024年「钢球产业大脑」入选山东省「产业大脑」建设试点，钢球智能制造工业园区入选省级示范型数字经济园区（来源：经济日报/山东省工信厅）。以数字化驱动「产能共享制造」「数字供应链金融」，推动钢球买全球卖全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984"/>
          </w:tcPr>
          <w:p>
            <w:pPr>
              <w:spacing w:lineRule="exact" w:line="600"/>
              <w:jc w:val="center"/>
            </w:pPr>
            <w:r/>
            <w:r>
              <w:rPr>
                <w:rFonts w:ascii="黑体" w:hAnsi="黑体" w:eastAsia="黑体"/>
                <w:b/>
                <w:color w:val="000000"/>
                <w:sz w:val="32"/>
              </w:rPr>
              <w:t>政策/平台</w:t>
            </w:r>
          </w:p>
        </w:tc>
        <w:tc>
          <w:tcPr>
            <w:tcW w:type="dxa" w:w="1134"/>
          </w:tcPr>
          <w:p>
            <w:pPr>
              <w:spacing w:lineRule="exact" w:line="600"/>
              <w:jc w:val="center"/>
            </w:pPr>
            <w:r/>
            <w:r>
              <w:rPr>
                <w:rFonts w:ascii="黑体" w:hAnsi="黑体" w:eastAsia="黑体"/>
                <w:b/>
                <w:color w:val="000000"/>
                <w:sz w:val="32"/>
              </w:rPr>
              <w:t>时间</w:t>
            </w:r>
          </w:p>
        </w:tc>
        <w:tc>
          <w:tcPr>
            <w:tcW w:type="dxa" w:w="3685"/>
          </w:tcPr>
          <w:p>
            <w:pPr>
              <w:spacing w:lineRule="exact" w:line="600"/>
              <w:jc w:val="center"/>
            </w:pPr>
            <w:r/>
            <w:r>
              <w:rPr>
                <w:rFonts w:ascii="黑体" w:hAnsi="黑体" w:eastAsia="黑体"/>
                <w:b/>
                <w:color w:val="000000"/>
                <w:sz w:val="32"/>
              </w:rPr>
              <w:t>内容</w:t>
            </w:r>
          </w:p>
        </w:tc>
        <w:tc>
          <w:tcPr>
            <w:tcW w:type="dxa" w:w="1701"/>
          </w:tcPr>
          <w:p>
            <w:pPr>
              <w:spacing w:lineRule="exact" w:line="600"/>
              <w:jc w:val="center"/>
            </w:pPr>
            <w:r/>
            <w:r>
              <w:rPr>
                <w:rFonts w:ascii="黑体" w:hAnsi="黑体" w:eastAsia="黑体"/>
                <w:b/>
                <w:color w:val="000000"/>
                <w:sz w:val="32"/>
              </w:rPr>
              <w:t>来源</w:t>
            </w:r>
          </w:p>
        </w:tc>
      </w:tr>
      <w:tr>
        <w:tc>
          <w:tcPr>
            <w:tcW w:type="dxa" w:w="1984"/>
          </w:tcPr>
          <w:p>
            <w:pPr>
              <w:spacing w:lineRule="exact" w:line="600"/>
              <w:jc w:val="center"/>
            </w:pPr>
            <w:r/>
            <w:r>
              <w:rPr>
                <w:rFonts w:ascii="仿宋_GB2312" w:hAnsi="仿宋_GB2312" w:eastAsia="仿宋_GB2312"/>
                <w:b w:val="0"/>
                <w:color w:val="000000"/>
                <w:sz w:val="32"/>
              </w:rPr>
              <w:t>产业大脑试点</w:t>
            </w:r>
          </w:p>
        </w:tc>
        <w:tc>
          <w:tcPr>
            <w:tcW w:type="dxa" w:w="1134"/>
          </w:tcPr>
          <w:p>
            <w:pPr>
              <w:spacing w:lineRule="exact" w:line="600"/>
              <w:jc w:val="center"/>
            </w:pPr>
            <w:r/>
            <w:r>
              <w:rPr>
                <w:rFonts w:ascii="仿宋_GB2312" w:hAnsi="仿宋_GB2312" w:eastAsia="仿宋_GB2312"/>
                <w:b w:val="0"/>
                <w:color w:val="000000"/>
                <w:sz w:val="32"/>
              </w:rPr>
              <w:t>2024年</w:t>
            </w:r>
          </w:p>
        </w:tc>
        <w:tc>
          <w:tcPr>
            <w:tcW w:type="dxa" w:w="3685"/>
          </w:tcPr>
          <w:p>
            <w:pPr>
              <w:spacing w:lineRule="exact" w:line="600"/>
              <w:jc w:val="center"/>
            </w:pPr>
            <w:r/>
            <w:r>
              <w:rPr>
                <w:rFonts w:ascii="仿宋_GB2312" w:hAnsi="仿宋_GB2312" w:eastAsia="仿宋_GB2312"/>
                <w:b w:val="0"/>
                <w:color w:val="000000"/>
                <w:sz w:val="32"/>
              </w:rPr>
              <w:t>省「产业大脑」建设试点</w:t>
            </w:r>
          </w:p>
        </w:tc>
        <w:tc>
          <w:tcPr>
            <w:tcW w:type="dxa" w:w="1701"/>
          </w:tcPr>
          <w:p>
            <w:pPr>
              <w:spacing w:lineRule="exact" w:line="600"/>
              <w:jc w:val="center"/>
            </w:pPr>
            <w:r/>
            <w:r>
              <w:rPr>
                <w:rFonts w:ascii="仿宋_GB2312" w:hAnsi="仿宋_GB2312" w:eastAsia="仿宋_GB2312"/>
                <w:b w:val="0"/>
                <w:color w:val="000000"/>
                <w:sz w:val="32"/>
              </w:rPr>
              <w:t>山东省工信厅</w:t>
            </w:r>
          </w:p>
        </w:tc>
      </w:tr>
      <w:tr>
        <w:tc>
          <w:tcPr>
            <w:tcW w:type="dxa" w:w="1984"/>
          </w:tcPr>
          <w:p>
            <w:pPr>
              <w:spacing w:lineRule="exact" w:line="600"/>
              <w:jc w:val="center"/>
            </w:pPr>
            <w:r/>
            <w:r>
              <w:rPr>
                <w:rFonts w:ascii="仿宋_GB2312" w:hAnsi="仿宋_GB2312" w:eastAsia="仿宋_GB2312"/>
                <w:b w:val="0"/>
                <w:color w:val="000000"/>
                <w:sz w:val="32"/>
              </w:rPr>
              <w:t>数字经济园区</w:t>
            </w:r>
          </w:p>
        </w:tc>
        <w:tc>
          <w:tcPr>
            <w:tcW w:type="dxa" w:w="1134"/>
          </w:tcPr>
          <w:p>
            <w:pPr>
              <w:spacing w:lineRule="exact" w:line="600"/>
              <w:jc w:val="center"/>
            </w:pPr>
            <w:r/>
            <w:r>
              <w:rPr>
                <w:rFonts w:ascii="仿宋_GB2312" w:hAnsi="仿宋_GB2312" w:eastAsia="仿宋_GB2312"/>
                <w:b w:val="0"/>
                <w:color w:val="000000"/>
                <w:sz w:val="32"/>
              </w:rPr>
              <w:t>2024年</w:t>
            </w:r>
          </w:p>
        </w:tc>
        <w:tc>
          <w:tcPr>
            <w:tcW w:type="dxa" w:w="3685"/>
          </w:tcPr>
          <w:p>
            <w:pPr>
              <w:spacing w:lineRule="exact" w:line="600"/>
              <w:jc w:val="center"/>
            </w:pPr>
            <w:r/>
            <w:r>
              <w:rPr>
                <w:rFonts w:ascii="仿宋_GB2312" w:hAnsi="仿宋_GB2312" w:eastAsia="仿宋_GB2312"/>
                <w:b w:val="0"/>
                <w:color w:val="000000"/>
                <w:sz w:val="32"/>
              </w:rPr>
              <w:t>省级示范型数字经济园区</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984"/>
          </w:tcPr>
          <w:p>
            <w:pPr>
              <w:spacing w:lineRule="exact" w:line="600"/>
              <w:jc w:val="center"/>
            </w:pPr>
            <w:r/>
            <w:r>
              <w:rPr>
                <w:rFonts w:ascii="仿宋_GB2312" w:hAnsi="仿宋_GB2312" w:eastAsia="仿宋_GB2312"/>
                <w:b w:val="0"/>
                <w:color w:val="000000"/>
                <w:sz w:val="32"/>
              </w:rPr>
              <w:t>质量标准修订</w:t>
            </w:r>
          </w:p>
        </w:tc>
        <w:tc>
          <w:tcPr>
            <w:tcW w:type="dxa" w:w="1134"/>
          </w:tcPr>
          <w:p>
            <w:pPr>
              <w:spacing w:lineRule="exact" w:line="600"/>
              <w:jc w:val="center"/>
            </w:pPr>
            <w:r/>
            <w:r>
              <w:rPr>
                <w:rFonts w:ascii="仿宋_GB2312" w:hAnsi="仿宋_GB2312" w:eastAsia="仿宋_GB2312"/>
                <w:b w:val="0"/>
                <w:color w:val="000000"/>
                <w:sz w:val="32"/>
              </w:rPr>
              <w:t>2023年</w:t>
            </w:r>
          </w:p>
        </w:tc>
        <w:tc>
          <w:tcPr>
            <w:tcW w:type="dxa" w:w="3685"/>
          </w:tcPr>
          <w:p>
            <w:pPr>
              <w:spacing w:lineRule="exact" w:line="600"/>
              <w:jc w:val="center"/>
            </w:pPr>
            <w:r/>
            <w:r>
              <w:rPr>
                <w:rFonts w:ascii="仿宋_GB2312" w:hAnsi="仿宋_GB2312" w:eastAsia="仿宋_GB2312"/>
                <w:b w:val="0"/>
                <w:color w:val="000000"/>
                <w:sz w:val="32"/>
              </w:rPr>
              <w:t>提高钢球质量要求</w:t>
            </w:r>
          </w:p>
        </w:tc>
        <w:tc>
          <w:tcPr>
            <w:tcW w:type="dxa" w:w="1701"/>
          </w:tcPr>
          <w:p>
            <w:pPr>
              <w:spacing w:lineRule="exact" w:line="600"/>
              <w:jc w:val="center"/>
            </w:pPr>
            <w:r/>
            <w:r>
              <w:rPr>
                <w:rFonts w:ascii="仿宋_GB2312" w:hAnsi="仿宋_GB2312" w:eastAsia="仿宋_GB2312"/>
                <w:b w:val="0"/>
                <w:color w:val="000000"/>
                <w:sz w:val="32"/>
              </w:rPr>
              <w:t>博研咨询</w:t>
            </w:r>
          </w:p>
        </w:tc>
      </w:tr>
    </w:tbl>
    <w:p>
      <w:pPr>
        <w:spacing w:lineRule="exact" w:line="600" w:before="120" w:after="120"/>
        <w:ind w:firstLine="420"/>
        <w:jc w:val="left"/>
      </w:pPr>
      <w:r>
        <w:rPr>
          <w:rFonts w:ascii="楷体_GB2312" w:hAnsi="楷体_GB2312" w:eastAsia="楷体_GB2312"/>
          <w:b w:val="0"/>
          <w:color w:val="000000"/>
          <w:sz w:val="32"/>
        </w:rPr>
        <w:t>中国钢球之乡（本批真实数据补充·来源见正文）</w:t>
      </w:r>
    </w:p>
    <w:p>
      <w:pPr>
        <w:spacing w:lineRule="exact" w:line="600" w:before="0" w:after="0"/>
        <w:ind w:firstLine="420"/>
        <w:jc w:val="both"/>
      </w:pPr>
      <w:r>
        <w:rPr>
          <w:rFonts w:ascii="仿宋_GB2312" w:hAnsi="仿宋_GB2312" w:eastAsia="仿宋_GB2312"/>
          <w:b w:val="0"/>
          <w:color w:val="000000"/>
          <w:sz w:val="32"/>
        </w:rPr>
        <w:t>宁阳是“中国钢球之乡”，钢球产业起步于上世纪八十年代，年产碳钢球、轴承钢球、不锈钢球67万吨，产能超过全国的65%，覆盖拔丝、冷镦、硬磨、淬火、光球、精研全产业链。2018年认定为“山东省转型升级示范产业集群”、2021年认定为“山东省特色产业集群”。（来源：中国经济网、中国产业经济信息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钢球年产量</w:t>
            </w:r>
          </w:p>
        </w:tc>
        <w:tc>
          <w:tcPr>
            <w:tcW w:type="dxa" w:w="3118"/>
          </w:tcPr>
          <w:p>
            <w:pPr>
              <w:spacing w:lineRule="exact" w:line="600"/>
              <w:jc w:val="center"/>
            </w:pPr>
            <w:r/>
            <w:r>
              <w:rPr>
                <w:rFonts w:ascii="仿宋_GB2312" w:hAnsi="仿宋_GB2312" w:eastAsia="仿宋_GB2312"/>
                <w:b w:val="0"/>
                <w:color w:val="000000"/>
                <w:sz w:val="32"/>
              </w:rPr>
              <w:t>67万吨</w:t>
            </w:r>
          </w:p>
        </w:tc>
        <w:tc>
          <w:tcPr>
            <w:tcW w:type="dxa" w:w="2551"/>
          </w:tcPr>
          <w:p>
            <w:pPr>
              <w:spacing w:lineRule="exact" w:line="600"/>
              <w:jc w:val="center"/>
            </w:pPr>
            <w:r/>
            <w:r>
              <w:rPr>
                <w:rFonts w:ascii="仿宋_GB2312" w:hAnsi="仿宋_GB2312" w:eastAsia="仿宋_GB2312"/>
                <w:b w:val="0"/>
                <w:color w:val="000000"/>
                <w:sz w:val="32"/>
              </w:rPr>
              <w:t>产能超全国65%</w:t>
            </w:r>
          </w:p>
        </w:tc>
      </w:tr>
      <w:tr>
        <w:tc>
          <w:tcPr>
            <w:tcW w:type="dxa" w:w="2835"/>
          </w:tcPr>
          <w:p>
            <w:pPr>
              <w:spacing w:lineRule="exact" w:line="600"/>
              <w:jc w:val="center"/>
            </w:pPr>
            <w:r/>
            <w:r>
              <w:rPr>
                <w:rFonts w:ascii="仿宋_GB2312" w:hAnsi="仿宋_GB2312" w:eastAsia="仿宋_GB2312"/>
                <w:b w:val="0"/>
                <w:color w:val="000000"/>
                <w:sz w:val="32"/>
              </w:rPr>
              <w:t>产业链</w:t>
            </w:r>
          </w:p>
        </w:tc>
        <w:tc>
          <w:tcPr>
            <w:tcW w:type="dxa" w:w="3118"/>
          </w:tcPr>
          <w:p>
            <w:pPr>
              <w:spacing w:lineRule="exact" w:line="600"/>
              <w:jc w:val="center"/>
            </w:pPr>
            <w:r/>
            <w:r>
              <w:rPr>
                <w:rFonts w:ascii="仿宋_GB2312" w:hAnsi="仿宋_GB2312" w:eastAsia="仿宋_GB2312"/>
                <w:b w:val="0"/>
                <w:color w:val="000000"/>
                <w:sz w:val="32"/>
              </w:rPr>
              <w:t>拔丝到精研16道工序</w:t>
            </w:r>
          </w:p>
        </w:tc>
        <w:tc>
          <w:tcPr>
            <w:tcW w:type="dxa" w:w="2551"/>
          </w:tcPr>
          <w:p>
            <w:pPr>
              <w:spacing w:lineRule="exact" w:line="600"/>
              <w:jc w:val="center"/>
            </w:pPr>
            <w:r/>
            <w:r>
              <w:rPr>
                <w:rFonts w:ascii="仿宋_GB2312" w:hAnsi="仿宋_GB2312" w:eastAsia="仿宋_GB2312"/>
                <w:b w:val="0"/>
                <w:color w:val="000000"/>
                <w:sz w:val="32"/>
              </w:rPr>
              <w:t>全产业链</w:t>
            </w:r>
          </w:p>
        </w:tc>
      </w:tr>
      <w:tr>
        <w:tc>
          <w:tcPr>
            <w:tcW w:type="dxa" w:w="2835"/>
          </w:tcPr>
          <w:p>
            <w:pPr>
              <w:spacing w:lineRule="exact" w:line="600"/>
              <w:jc w:val="center"/>
            </w:pPr>
            <w:r/>
            <w:r>
              <w:rPr>
                <w:rFonts w:ascii="仿宋_GB2312" w:hAnsi="仿宋_GB2312" w:eastAsia="仿宋_GB2312"/>
                <w:b w:val="0"/>
                <w:color w:val="000000"/>
                <w:sz w:val="32"/>
              </w:rPr>
              <w:t>集群认定</w:t>
            </w:r>
          </w:p>
        </w:tc>
        <w:tc>
          <w:tcPr>
            <w:tcW w:type="dxa" w:w="3118"/>
          </w:tcPr>
          <w:p>
            <w:pPr>
              <w:spacing w:lineRule="exact" w:line="600"/>
              <w:jc w:val="center"/>
            </w:pPr>
            <w:r/>
            <w:r>
              <w:rPr>
                <w:rFonts w:ascii="仿宋_GB2312" w:hAnsi="仿宋_GB2312" w:eastAsia="仿宋_GB2312"/>
                <w:b w:val="0"/>
                <w:color w:val="000000"/>
                <w:sz w:val="32"/>
              </w:rPr>
              <w:t>省示范(2018)/省特色(2021)</w:t>
            </w:r>
          </w:p>
        </w:tc>
        <w:tc>
          <w:tcPr>
            <w:tcW w:type="dxa" w:w="2551"/>
          </w:tcPr>
          <w:p>
            <w:pPr>
              <w:spacing w:lineRule="exact" w:line="600"/>
              <w:jc w:val="center"/>
            </w:pPr>
            <w:r/>
            <w:r>
              <w:rPr>
                <w:rFonts w:ascii="仿宋_GB2312" w:hAnsi="仿宋_GB2312" w:eastAsia="仿宋_GB2312"/>
                <w:b w:val="0"/>
                <w:color w:val="000000"/>
                <w:sz w:val="32"/>
              </w:rPr>
              <w:t>宁阳</w:t>
            </w:r>
          </w:p>
        </w:tc>
      </w:tr>
      <w:tr>
        <w:tc>
          <w:tcPr>
            <w:tcW w:type="dxa" w:w="2835"/>
          </w:tcPr>
          <w:p>
            <w:pPr>
              <w:spacing w:lineRule="exact" w:line="600"/>
              <w:jc w:val="center"/>
            </w:pPr>
            <w:r/>
            <w:r>
              <w:rPr>
                <w:rFonts w:ascii="仿宋_GB2312" w:hAnsi="仿宋_GB2312" w:eastAsia="仿宋_GB2312"/>
                <w:b w:val="0"/>
                <w:color w:val="000000"/>
                <w:sz w:val="32"/>
              </w:rPr>
              <w:t>产业地位</w:t>
            </w:r>
          </w:p>
        </w:tc>
        <w:tc>
          <w:tcPr>
            <w:tcW w:type="dxa" w:w="3118"/>
          </w:tcPr>
          <w:p>
            <w:pPr>
              <w:spacing w:lineRule="exact" w:line="600"/>
              <w:jc w:val="center"/>
            </w:pPr>
            <w:r/>
            <w:r>
              <w:rPr>
                <w:rFonts w:ascii="仿宋_GB2312" w:hAnsi="仿宋_GB2312" w:eastAsia="仿宋_GB2312"/>
                <w:b w:val="0"/>
                <w:color w:val="000000"/>
                <w:sz w:val="32"/>
              </w:rPr>
              <w:t>中国钢球之乡</w:t>
            </w:r>
          </w:p>
        </w:tc>
        <w:tc>
          <w:tcPr>
            <w:tcW w:type="dxa" w:w="2551"/>
          </w:tcPr>
          <w:p>
            <w:pPr>
              <w:spacing w:lineRule="exact" w:line="600"/>
              <w:jc w:val="center"/>
            </w:pPr>
            <w:r/>
            <w:r>
              <w:rPr>
                <w:rFonts w:ascii="仿宋_GB2312" w:hAnsi="仿宋_GB2312" w:eastAsia="仿宋_GB2312"/>
                <w:b w:val="0"/>
                <w:color w:val="000000"/>
                <w:sz w:val="32"/>
              </w:rPr>
              <w:t>县域特色</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（一）检测服务环节</w:t>
      </w:r>
    </w:p>
    <w:p>
      <w:pPr>
        <w:spacing w:lineRule="exact" w:line="600" w:before="0" w:after="0"/>
        <w:ind w:firstLine="420"/>
        <w:jc w:val="both"/>
      </w:pPr>
      <w:r>
        <w:rPr>
          <w:rFonts w:ascii="仿宋_GB2312" w:hAnsi="仿宋_GB2312" w:eastAsia="仿宋_GB2312"/>
          <w:b w:val="0"/>
          <w:color w:val="000000"/>
          <w:sz w:val="32"/>
        </w:rPr>
        <w:t>辰信建设检验检测中心，对钢球直径变动量、表面粗糙度、硬度、压碎载荷、疲劳寿命等关键指标进行检测（来源：山东省装备制造业协会）。检测能力是宁阳钢球从「出厂合格」走向「高端认证」的支撑，服务320余家生产企业。</w:t>
      </w:r>
    </w:p>
    <w:p>
      <w:pPr>
        <w:spacing w:lineRule="exact" w:line="600" w:before="120" w:after="120"/>
        <w:ind w:firstLine="420"/>
        <w:jc w:val="left"/>
      </w:pPr>
      <w:r>
        <w:rPr>
          <w:rFonts w:ascii="楷体_GB2312" w:hAnsi="楷体_GB2312" w:eastAsia="楷体_GB2312"/>
          <w:b w:val="0"/>
          <w:color w:val="000000"/>
          <w:sz w:val="32"/>
        </w:rPr>
        <w:t>（二）数字商贸与平台</w:t>
      </w:r>
    </w:p>
    <w:p>
      <w:pPr>
        <w:spacing w:lineRule="exact" w:line="600" w:before="0" w:after="0"/>
        <w:ind w:firstLine="420"/>
        <w:jc w:val="both"/>
      </w:pPr>
      <w:r>
        <w:rPr>
          <w:rFonts w:ascii="仿宋_GB2312" w:hAnsi="仿宋_GB2312" w:eastAsia="仿宋_GB2312"/>
          <w:b w:val="0"/>
          <w:color w:val="000000"/>
          <w:sz w:val="32"/>
        </w:rPr>
        <w:t>「云联钢球」数字经济总部为钢球企业打造专属「工业淘宝」，通过集采、代采打通上游采购端，以产业商城拓宽下游销售端（来源：经济日报/宁阳县政府）。平台已入驻企业50家、金融机构12家，完成交易4000余万元。</w:t>
      </w:r>
    </w:p>
    <w:p>
      <w:pPr>
        <w:spacing w:lineRule="exact" w:line="600" w:before="120" w:after="120"/>
        <w:ind w:firstLine="420"/>
        <w:jc w:val="left"/>
      </w:pPr>
      <w:r>
        <w:rPr>
          <w:rFonts w:ascii="楷体_GB2312" w:hAnsi="楷体_GB2312" w:eastAsia="楷体_GB2312"/>
          <w:b w:val="0"/>
          <w:color w:val="000000"/>
          <w:sz w:val="32"/>
        </w:rPr>
        <w:t>（三）物流与配套服务</w:t>
      </w:r>
    </w:p>
    <w:p>
      <w:pPr>
        <w:spacing w:lineRule="exact" w:line="600" w:before="0" w:after="0"/>
        <w:ind w:firstLine="420"/>
        <w:jc w:val="both"/>
      </w:pPr>
      <w:r>
        <w:rPr>
          <w:rFonts w:ascii="仿宋_GB2312" w:hAnsi="仿宋_GB2312" w:eastAsia="仿宋_GB2312"/>
          <w:b w:val="0"/>
          <w:color w:val="000000"/>
          <w:sz w:val="32"/>
        </w:rPr>
        <w:t>宁阳补齐物流、交易、包装、配件、维修等上下游链条，建成AGV智慧物流与WMS智慧仓储（来源：中国产业经济信息网）。配套服务体系降低中小企业流通成本，提升集群协同效率。</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主体/内容</w:t>
            </w:r>
          </w:p>
        </w:tc>
        <w:tc>
          <w:tcPr>
            <w:tcW w:type="dxa" w:w="2835"/>
          </w:tcPr>
          <w:p>
            <w:pPr>
              <w:spacing w:lineRule="exact" w:line="600"/>
              <w:jc w:val="center"/>
            </w:pPr>
            <w:r/>
            <w:r>
              <w:rPr>
                <w:rFonts w:ascii="黑体" w:hAnsi="黑体" w:eastAsia="黑体"/>
                <w:b/>
                <w:color w:val="000000"/>
                <w:sz w:val="32"/>
              </w:rPr>
              <w:t>数据</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检测</w:t>
            </w:r>
          </w:p>
        </w:tc>
        <w:tc>
          <w:tcPr>
            <w:tcW w:type="dxa" w:w="2835"/>
          </w:tcPr>
          <w:p>
            <w:pPr>
              <w:spacing w:lineRule="exact" w:line="600"/>
              <w:jc w:val="center"/>
            </w:pPr>
            <w:r/>
            <w:r>
              <w:rPr>
                <w:rFonts w:ascii="仿宋_GB2312" w:hAnsi="仿宋_GB2312" w:eastAsia="仿宋_GB2312"/>
                <w:b w:val="0"/>
                <w:color w:val="000000"/>
                <w:sz w:val="32"/>
              </w:rPr>
              <w:t>辰信检测中心</w:t>
            </w:r>
          </w:p>
        </w:tc>
        <w:tc>
          <w:tcPr>
            <w:tcW w:type="dxa" w:w="2835"/>
          </w:tcPr>
          <w:p>
            <w:pPr>
              <w:spacing w:lineRule="exact" w:line="600"/>
              <w:jc w:val="center"/>
            </w:pPr>
            <w:r/>
            <w:r>
              <w:rPr>
                <w:rFonts w:ascii="仿宋_GB2312" w:hAnsi="仿宋_GB2312" w:eastAsia="仿宋_GB2312"/>
                <w:b w:val="0"/>
                <w:color w:val="000000"/>
                <w:sz w:val="32"/>
              </w:rPr>
              <w:t>服务320余家企业</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417"/>
          </w:tcPr>
          <w:p>
            <w:pPr>
              <w:spacing w:lineRule="exact" w:line="600"/>
              <w:jc w:val="center"/>
            </w:pPr>
            <w:r/>
            <w:r>
              <w:rPr>
                <w:rFonts w:ascii="仿宋_GB2312" w:hAnsi="仿宋_GB2312" w:eastAsia="仿宋_GB2312"/>
                <w:b w:val="0"/>
                <w:color w:val="000000"/>
                <w:sz w:val="32"/>
              </w:rPr>
              <w:t>商贸</w:t>
            </w:r>
          </w:p>
        </w:tc>
        <w:tc>
          <w:tcPr>
            <w:tcW w:type="dxa" w:w="2835"/>
          </w:tcPr>
          <w:p>
            <w:pPr>
              <w:spacing w:lineRule="exact" w:line="600"/>
              <w:jc w:val="center"/>
            </w:pPr>
            <w:r/>
            <w:r>
              <w:rPr>
                <w:rFonts w:ascii="仿宋_GB2312" w:hAnsi="仿宋_GB2312" w:eastAsia="仿宋_GB2312"/>
                <w:b w:val="0"/>
                <w:color w:val="000000"/>
                <w:sz w:val="32"/>
              </w:rPr>
              <w:t>云联钢球平台</w:t>
            </w:r>
          </w:p>
        </w:tc>
        <w:tc>
          <w:tcPr>
            <w:tcW w:type="dxa" w:w="2835"/>
          </w:tcPr>
          <w:p>
            <w:pPr>
              <w:spacing w:lineRule="exact" w:line="600"/>
              <w:jc w:val="center"/>
            </w:pPr>
            <w:r/>
            <w:r>
              <w:rPr>
                <w:rFonts w:ascii="仿宋_GB2312" w:hAnsi="仿宋_GB2312" w:eastAsia="仿宋_GB2312"/>
                <w:b w:val="0"/>
                <w:color w:val="000000"/>
                <w:sz w:val="32"/>
              </w:rPr>
              <w:t>交易4000余万元</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417"/>
          </w:tcPr>
          <w:p>
            <w:pPr>
              <w:spacing w:lineRule="exact" w:line="600"/>
              <w:jc w:val="center"/>
            </w:pPr>
            <w:r/>
            <w:r>
              <w:rPr>
                <w:rFonts w:ascii="仿宋_GB2312" w:hAnsi="仿宋_GB2312" w:eastAsia="仿宋_GB2312"/>
                <w:b w:val="0"/>
                <w:color w:val="000000"/>
                <w:sz w:val="32"/>
              </w:rPr>
              <w:t>物流</w:t>
            </w:r>
          </w:p>
        </w:tc>
        <w:tc>
          <w:tcPr>
            <w:tcW w:type="dxa" w:w="2835"/>
          </w:tcPr>
          <w:p>
            <w:pPr>
              <w:spacing w:lineRule="exact" w:line="600"/>
              <w:jc w:val="center"/>
            </w:pPr>
            <w:r/>
            <w:r>
              <w:rPr>
                <w:rFonts w:ascii="仿宋_GB2312" w:hAnsi="仿宋_GB2312" w:eastAsia="仿宋_GB2312"/>
                <w:b w:val="0"/>
                <w:color w:val="000000"/>
                <w:sz w:val="32"/>
              </w:rPr>
              <w:t>AGV+WMS</w:t>
            </w:r>
          </w:p>
        </w:tc>
        <w:tc>
          <w:tcPr>
            <w:tcW w:type="dxa" w:w="2835"/>
          </w:tcPr>
          <w:p>
            <w:pPr>
              <w:spacing w:lineRule="exact" w:line="600"/>
              <w:jc w:val="center"/>
            </w:pPr>
            <w:r/>
            <w:r>
              <w:rPr>
                <w:rFonts w:ascii="仿宋_GB2312" w:hAnsi="仿宋_GB2312" w:eastAsia="仿宋_GB2312"/>
                <w:b w:val="0"/>
                <w:color w:val="000000"/>
                <w:sz w:val="32"/>
              </w:rPr>
              <w:t>年省600万</w:t>
            </w:r>
          </w:p>
        </w:tc>
        <w:tc>
          <w:tcPr>
            <w:tcW w:type="dxa" w:w="1701"/>
          </w:tcPr>
          <w:p>
            <w:pPr>
              <w:spacing w:lineRule="exact" w:line="600"/>
              <w:jc w:val="center"/>
            </w:pPr>
            <w:r/>
            <w:r>
              <w:rPr>
                <w:rFonts w:ascii="仿宋_GB2312" w:hAnsi="仿宋_GB2312" w:eastAsia="仿宋_GB2312"/>
                <w:b w:val="0"/>
                <w:color w:val="000000"/>
                <w:sz w:val="32"/>
              </w:rPr>
              <w:t>中国产业经济信息网</w:t>
            </w:r>
          </w:p>
        </w:tc>
      </w:tr>
    </w:tbl>
    <w:p>
      <w:pPr>
        <w:spacing w:lineRule="exact" w:line="600" w:before="120" w:after="120"/>
        <w:ind w:firstLine="420"/>
        <w:jc w:val="left"/>
      </w:pPr>
      <w:r>
        <w:rPr>
          <w:rFonts w:ascii="楷体_GB2312" w:hAnsi="楷体_GB2312" w:eastAsia="楷体_GB2312"/>
          <w:b w:val="0"/>
          <w:color w:val="000000"/>
          <w:sz w:val="32"/>
        </w:rPr>
        <w:t>龙头整合数字总部（本批真实数据补充·来源见正文）</w:t>
      </w:r>
    </w:p>
    <w:p>
      <w:pPr>
        <w:spacing w:lineRule="exact" w:line="600" w:before="0" w:after="0"/>
        <w:ind w:firstLine="420"/>
        <w:jc w:val="both"/>
      </w:pPr>
      <w:r>
        <w:rPr>
          <w:rFonts w:ascii="仿宋_GB2312" w:hAnsi="仿宋_GB2312" w:eastAsia="仿宋_GB2312"/>
          <w:b w:val="0"/>
          <w:color w:val="000000"/>
          <w:sz w:val="32"/>
        </w:rPr>
        <w:t>宁阳钢球产业已建立从拔丝到精研的完整产品生产链条，整合周边及县内320余家钢球生产企业，打造钢球数字经济总部；辰信轴承科技建设基础零部件绿色智能智造示范项目，依托洛阳轴承研究所技术支撑，推动产业向高端化、数字化、集群化迈进。（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环节/企业</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钢球生产企业</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2551"/>
          </w:tcPr>
          <w:p>
            <w:pPr>
              <w:spacing w:lineRule="exact" w:line="600"/>
              <w:jc w:val="center"/>
            </w:pPr>
            <w:r/>
            <w:r>
              <w:rPr>
                <w:rFonts w:ascii="仿宋_GB2312" w:hAnsi="仿宋_GB2312" w:eastAsia="仿宋_GB2312"/>
                <w:b w:val="0"/>
                <w:color w:val="000000"/>
                <w:sz w:val="32"/>
              </w:rPr>
              <w:t>县内整合</w:t>
            </w:r>
          </w:p>
        </w:tc>
      </w:tr>
      <w:tr>
        <w:tc>
          <w:tcPr>
            <w:tcW w:type="dxa" w:w="3118"/>
          </w:tcPr>
          <w:p>
            <w:pPr>
              <w:spacing w:lineRule="exact" w:line="600"/>
              <w:jc w:val="center"/>
            </w:pPr>
            <w:r/>
            <w:r>
              <w:rPr>
                <w:rFonts w:ascii="仿宋_GB2312" w:hAnsi="仿宋_GB2312" w:eastAsia="仿宋_GB2312"/>
                <w:b w:val="0"/>
                <w:color w:val="000000"/>
                <w:sz w:val="32"/>
              </w:rPr>
              <w:t>龙头</w:t>
            </w:r>
          </w:p>
        </w:tc>
        <w:tc>
          <w:tcPr>
            <w:tcW w:type="dxa" w:w="2835"/>
          </w:tcPr>
          <w:p>
            <w:pPr>
              <w:spacing w:lineRule="exact" w:line="600"/>
              <w:jc w:val="center"/>
            </w:pPr>
            <w:r/>
            <w:r>
              <w:rPr>
                <w:rFonts w:ascii="仿宋_GB2312" w:hAnsi="仿宋_GB2312" w:eastAsia="仿宋_GB2312"/>
                <w:b w:val="0"/>
                <w:color w:val="000000"/>
                <w:sz w:val="32"/>
              </w:rPr>
              <w:t>辰信轴承科技</w:t>
            </w:r>
          </w:p>
        </w:tc>
        <w:tc>
          <w:tcPr>
            <w:tcW w:type="dxa" w:w="2551"/>
          </w:tcPr>
          <w:p>
            <w:pPr>
              <w:spacing w:lineRule="exact" w:line="600"/>
              <w:jc w:val="center"/>
            </w:pPr>
            <w:r/>
            <w:r>
              <w:rPr>
                <w:rFonts w:ascii="仿宋_GB2312" w:hAnsi="仿宋_GB2312" w:eastAsia="仿宋_GB2312"/>
                <w:b w:val="0"/>
                <w:color w:val="000000"/>
                <w:sz w:val="32"/>
              </w:rPr>
              <w:t>绿色智能示范</w:t>
            </w:r>
          </w:p>
        </w:tc>
      </w:tr>
      <w:tr>
        <w:tc>
          <w:tcPr>
            <w:tcW w:type="dxa" w:w="3118"/>
          </w:tcPr>
          <w:p>
            <w:pPr>
              <w:spacing w:lineRule="exact" w:line="600"/>
              <w:jc w:val="center"/>
            </w:pPr>
            <w:r/>
            <w:r>
              <w:rPr>
                <w:rFonts w:ascii="仿宋_GB2312" w:hAnsi="仿宋_GB2312" w:eastAsia="仿宋_GB2312"/>
                <w:b w:val="0"/>
                <w:color w:val="000000"/>
                <w:sz w:val="32"/>
              </w:rPr>
              <w:t>技术支撑</w:t>
            </w:r>
          </w:p>
        </w:tc>
        <w:tc>
          <w:tcPr>
            <w:tcW w:type="dxa" w:w="2835"/>
          </w:tcPr>
          <w:p>
            <w:pPr>
              <w:spacing w:lineRule="exact" w:line="600"/>
              <w:jc w:val="center"/>
            </w:pPr>
            <w:r/>
            <w:r>
              <w:rPr>
                <w:rFonts w:ascii="仿宋_GB2312" w:hAnsi="仿宋_GB2312" w:eastAsia="仿宋_GB2312"/>
                <w:b w:val="0"/>
                <w:color w:val="000000"/>
                <w:sz w:val="32"/>
              </w:rPr>
              <w:t>洛阳轴承研究所</w:t>
            </w:r>
          </w:p>
        </w:tc>
        <w:tc>
          <w:tcPr>
            <w:tcW w:type="dxa" w:w="2551"/>
          </w:tcPr>
          <w:p>
            <w:pPr>
              <w:spacing w:lineRule="exact" w:line="600"/>
              <w:jc w:val="center"/>
            </w:pPr>
            <w:r/>
            <w:r>
              <w:rPr>
                <w:rFonts w:ascii="仿宋_GB2312" w:hAnsi="仿宋_GB2312" w:eastAsia="仿宋_GB2312"/>
                <w:b w:val="0"/>
                <w:color w:val="000000"/>
                <w:sz w:val="32"/>
              </w:rPr>
              <w:t>研发中心</w:t>
            </w:r>
          </w:p>
        </w:tc>
      </w:tr>
      <w:tr>
        <w:tc>
          <w:tcPr>
            <w:tcW w:type="dxa" w:w="3118"/>
          </w:tcPr>
          <w:p>
            <w:pPr>
              <w:spacing w:lineRule="exact" w:line="600"/>
              <w:jc w:val="center"/>
            </w:pPr>
            <w:r/>
            <w:r>
              <w:rPr>
                <w:rFonts w:ascii="仿宋_GB2312" w:hAnsi="仿宋_GB2312" w:eastAsia="仿宋_GB2312"/>
                <w:b w:val="0"/>
                <w:color w:val="000000"/>
                <w:sz w:val="32"/>
              </w:rPr>
              <w:t>载体</w:t>
            </w:r>
          </w:p>
        </w:tc>
        <w:tc>
          <w:tcPr>
            <w:tcW w:type="dxa" w:w="2835"/>
          </w:tcPr>
          <w:p>
            <w:pPr>
              <w:spacing w:lineRule="exact" w:line="600"/>
              <w:jc w:val="center"/>
            </w:pPr>
            <w:r/>
            <w:r>
              <w:rPr>
                <w:rFonts w:ascii="仿宋_GB2312" w:hAnsi="仿宋_GB2312" w:eastAsia="仿宋_GB2312"/>
                <w:b w:val="0"/>
                <w:color w:val="000000"/>
                <w:sz w:val="32"/>
              </w:rPr>
              <w:t>钢球数字经济总部</w:t>
            </w:r>
          </w:p>
        </w:tc>
        <w:tc>
          <w:tcPr>
            <w:tcW w:type="dxa" w:w="2551"/>
          </w:tcPr>
          <w:p>
            <w:pPr>
              <w:spacing w:lineRule="exact" w:line="600"/>
              <w:jc w:val="center"/>
            </w:pPr>
            <w:r/>
            <w:r>
              <w:rPr>
                <w:rFonts w:ascii="仿宋_GB2312" w:hAnsi="仿宋_GB2312" w:eastAsia="仿宋_GB2312"/>
                <w:b w:val="0"/>
                <w:color w:val="000000"/>
                <w:sz w:val="32"/>
              </w:rPr>
              <w:t>云联钢球</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（一）出口市场格局</w:t>
      </w:r>
    </w:p>
    <w:p>
      <w:pPr>
        <w:spacing w:lineRule="exact" w:line="600" w:before="0" w:after="0"/>
        <w:ind w:firstLine="420"/>
        <w:jc w:val="both"/>
      </w:pPr>
      <w:r>
        <w:rPr>
          <w:rFonts w:ascii="仿宋_GB2312" w:hAnsi="仿宋_GB2312" w:eastAsia="仿宋_GB2312"/>
          <w:b w:val="0"/>
          <w:color w:val="000000"/>
          <w:sz w:val="32"/>
        </w:rPr>
        <w:t>宁阳钢球市场拓展至20多个国家，碳钢球产量居世界第一，出口以碳钢球、中低端轴承钢球为主（来源：宁阳县政府）。全球轴承钢球市场2023年约122.8亿元，前五厂商占47%，宁阳以产量规模见长但单体品牌溢价弱（来源：恒州诚思）。</w:t>
      </w:r>
    </w:p>
    <w:p>
      <w:pPr>
        <w:spacing w:lineRule="exact" w:line="600" w:before="120" w:after="120"/>
        <w:ind w:firstLine="420"/>
        <w:jc w:val="left"/>
      </w:pPr>
      <w:r>
        <w:rPr>
          <w:rFonts w:ascii="楷体_GB2312" w:hAnsi="楷体_GB2312" w:eastAsia="楷体_GB2312"/>
          <w:b w:val="0"/>
          <w:color w:val="000000"/>
          <w:sz w:val="32"/>
        </w:rPr>
        <w:t>（二）平台交易规模</w:t>
      </w:r>
    </w:p>
    <w:p>
      <w:pPr>
        <w:spacing w:lineRule="exact" w:line="600" w:before="0" w:after="0"/>
        <w:ind w:firstLine="420"/>
        <w:jc w:val="both"/>
      </w:pPr>
      <w:r>
        <w:rPr>
          <w:rFonts w:ascii="仿宋_GB2312" w:hAnsi="仿宋_GB2312" w:eastAsia="仿宋_GB2312"/>
          <w:b w:val="0"/>
          <w:color w:val="000000"/>
          <w:sz w:val="32"/>
        </w:rPr>
        <w:t>云联钢球平台自2024年5月上线以来，已入驻企业50家、金融机构12家，完成交易4000余万元，企业采购成本平均下降约9%（来源：经济日报）。平台以数据驱动集采，缓解中小企业议价弱势。</w:t>
      </w:r>
    </w:p>
    <w:p>
      <w:pPr>
        <w:spacing w:lineRule="exact" w:line="600" w:before="120" w:after="120"/>
        <w:ind w:firstLine="420"/>
        <w:jc w:val="left"/>
      </w:pPr>
      <w:r>
        <w:rPr>
          <w:rFonts w:ascii="楷体_GB2312" w:hAnsi="楷体_GB2312" w:eastAsia="楷体_GB2312"/>
          <w:b w:val="0"/>
          <w:color w:val="000000"/>
          <w:sz w:val="32"/>
        </w:rPr>
        <w:t>（三）检测认证竞争</w:t>
      </w:r>
    </w:p>
    <w:p>
      <w:pPr>
        <w:spacing w:lineRule="exact" w:line="600" w:before="0" w:after="0"/>
        <w:ind w:firstLine="420"/>
        <w:jc w:val="both"/>
      </w:pPr>
      <w:r>
        <w:rPr>
          <w:rFonts w:ascii="仿宋_GB2312" w:hAnsi="仿宋_GB2312" w:eastAsia="仿宋_GB2312"/>
          <w:b w:val="0"/>
          <w:color w:val="000000"/>
          <w:sz w:val="32"/>
        </w:rPr>
        <w:t>国际客户对钢球有ISO、ASTM等认证要求，辰信产品已通过多项国际标准认证（来源：省装备协会）。检测认证能力成为宁阳钢球进入高端供应链的门槛，也是与外地集群竞争的差异化抓手。</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维度</w:t>
            </w:r>
          </w:p>
        </w:tc>
        <w:tc>
          <w:tcPr>
            <w:tcW w:type="dxa" w:w="1984"/>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说明</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出口国</w:t>
            </w:r>
          </w:p>
        </w:tc>
        <w:tc>
          <w:tcPr>
            <w:tcW w:type="dxa" w:w="1984"/>
          </w:tcPr>
          <w:p>
            <w:pPr>
              <w:spacing w:lineRule="exact" w:line="600"/>
              <w:jc w:val="center"/>
            </w:pPr>
            <w:r/>
            <w:r>
              <w:rPr>
                <w:rFonts w:ascii="仿宋_GB2312" w:hAnsi="仿宋_GB2312" w:eastAsia="仿宋_GB2312"/>
                <w:b w:val="0"/>
                <w:color w:val="000000"/>
                <w:sz w:val="32"/>
              </w:rPr>
              <w:t>20多个</w:t>
            </w:r>
          </w:p>
        </w:tc>
        <w:tc>
          <w:tcPr>
            <w:tcW w:type="dxa" w:w="2835"/>
          </w:tcPr>
          <w:p>
            <w:pPr>
              <w:spacing w:lineRule="exact" w:line="600"/>
              <w:jc w:val="center"/>
            </w:pPr>
            <w:r/>
            <w:r>
              <w:rPr>
                <w:rFonts w:ascii="仿宋_GB2312" w:hAnsi="仿宋_GB2312" w:eastAsia="仿宋_GB2312"/>
                <w:b w:val="0"/>
                <w:color w:val="000000"/>
                <w:sz w:val="32"/>
              </w:rPr>
              <w:t>碳钢球世界第一</w:t>
            </w:r>
          </w:p>
        </w:tc>
        <w:tc>
          <w:tcPr>
            <w:tcW w:type="dxa" w:w="1701"/>
          </w:tcPr>
          <w:p>
            <w:pPr>
              <w:spacing w:lineRule="exact" w:line="600"/>
              <w:jc w:val="center"/>
            </w:pPr>
            <w:r/>
            <w:r>
              <w:rPr>
                <w:rFonts w:ascii="仿宋_GB2312" w:hAnsi="仿宋_GB2312" w:eastAsia="仿宋_GB2312"/>
                <w:b w:val="0"/>
                <w:color w:val="000000"/>
                <w:sz w:val="32"/>
              </w:rPr>
              <w:t>宁阳县政府</w:t>
            </w:r>
          </w:p>
        </w:tc>
      </w:tr>
      <w:tr>
        <w:tc>
          <w:tcPr>
            <w:tcW w:type="dxa" w:w="1701"/>
          </w:tcPr>
          <w:p>
            <w:pPr>
              <w:spacing w:lineRule="exact" w:line="600"/>
              <w:jc w:val="center"/>
            </w:pPr>
            <w:r/>
            <w:r>
              <w:rPr>
                <w:rFonts w:ascii="仿宋_GB2312" w:hAnsi="仿宋_GB2312" w:eastAsia="仿宋_GB2312"/>
                <w:b w:val="0"/>
                <w:color w:val="000000"/>
                <w:sz w:val="32"/>
              </w:rPr>
              <w:t>平台交易</w:t>
            </w:r>
          </w:p>
        </w:tc>
        <w:tc>
          <w:tcPr>
            <w:tcW w:type="dxa" w:w="1984"/>
          </w:tcPr>
          <w:p>
            <w:pPr>
              <w:spacing w:lineRule="exact" w:line="600"/>
              <w:jc w:val="center"/>
            </w:pPr>
            <w:r/>
            <w:r>
              <w:rPr>
                <w:rFonts w:ascii="仿宋_GB2312" w:hAnsi="仿宋_GB2312" w:eastAsia="仿宋_GB2312"/>
                <w:b w:val="0"/>
                <w:color w:val="000000"/>
                <w:sz w:val="32"/>
              </w:rPr>
              <w:t>4000余万元</w:t>
            </w:r>
          </w:p>
        </w:tc>
        <w:tc>
          <w:tcPr>
            <w:tcW w:type="dxa" w:w="2835"/>
          </w:tcPr>
          <w:p>
            <w:pPr>
              <w:spacing w:lineRule="exact" w:line="600"/>
              <w:jc w:val="center"/>
            </w:pPr>
            <w:r/>
            <w:r>
              <w:rPr>
                <w:rFonts w:ascii="仿宋_GB2312" w:hAnsi="仿宋_GB2312" w:eastAsia="仿宋_GB2312"/>
                <w:b w:val="0"/>
                <w:color w:val="000000"/>
                <w:sz w:val="32"/>
              </w:rPr>
              <w:t>入驻50家企业</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采购降本</w:t>
            </w:r>
          </w:p>
        </w:tc>
        <w:tc>
          <w:tcPr>
            <w:tcW w:type="dxa" w:w="1984"/>
          </w:tcPr>
          <w:p>
            <w:pPr>
              <w:spacing w:lineRule="exact" w:line="600"/>
              <w:jc w:val="center"/>
            </w:pPr>
            <w:r/>
            <w:r>
              <w:rPr>
                <w:rFonts w:ascii="仿宋_GB2312" w:hAnsi="仿宋_GB2312" w:eastAsia="仿宋_GB2312"/>
                <w:b w:val="0"/>
                <w:color w:val="000000"/>
                <w:sz w:val="32"/>
              </w:rPr>
              <w:t>约9%</w:t>
            </w:r>
          </w:p>
        </w:tc>
        <w:tc>
          <w:tcPr>
            <w:tcW w:type="dxa" w:w="2835"/>
          </w:tcPr>
          <w:p>
            <w:pPr>
              <w:spacing w:lineRule="exact" w:line="600"/>
              <w:jc w:val="center"/>
            </w:pPr>
            <w:r/>
            <w:r>
              <w:rPr>
                <w:rFonts w:ascii="仿宋_GB2312" w:hAnsi="仿宋_GB2312" w:eastAsia="仿宋_GB2312"/>
                <w:b w:val="0"/>
                <w:color w:val="000000"/>
                <w:sz w:val="32"/>
              </w:rPr>
              <w:t>集采效应</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全球市场</w:t>
            </w:r>
          </w:p>
        </w:tc>
        <w:tc>
          <w:tcPr>
            <w:tcW w:type="dxa" w:w="1984"/>
          </w:tcPr>
          <w:p>
            <w:pPr>
              <w:spacing w:lineRule="exact" w:line="600"/>
              <w:jc w:val="center"/>
            </w:pPr>
            <w:r/>
            <w:r>
              <w:rPr>
                <w:rFonts w:ascii="仿宋_GB2312" w:hAnsi="仿宋_GB2312" w:eastAsia="仿宋_GB2312"/>
                <w:b w:val="0"/>
                <w:color w:val="000000"/>
                <w:sz w:val="32"/>
              </w:rPr>
              <w:t>122.8亿元</w:t>
            </w:r>
          </w:p>
        </w:tc>
        <w:tc>
          <w:tcPr>
            <w:tcW w:type="dxa" w:w="2835"/>
          </w:tcPr>
          <w:p>
            <w:pPr>
              <w:spacing w:lineRule="exact" w:line="600"/>
              <w:jc w:val="center"/>
            </w:pPr>
            <w:r/>
            <w:r>
              <w:rPr>
                <w:rFonts w:ascii="仿宋_GB2312" w:hAnsi="仿宋_GB2312" w:eastAsia="仿宋_GB2312"/>
                <w:b w:val="0"/>
                <w:color w:val="000000"/>
                <w:sz w:val="32"/>
              </w:rPr>
              <w:t>2023年</w:t>
            </w:r>
          </w:p>
        </w:tc>
        <w:tc>
          <w:tcPr>
            <w:tcW w:type="dxa" w:w="1701"/>
          </w:tcPr>
          <w:p>
            <w:pPr>
              <w:spacing w:lineRule="exact" w:line="600"/>
              <w:jc w:val="center"/>
            </w:pPr>
            <w:r/>
            <w:r>
              <w:rPr>
                <w:rFonts w:ascii="仿宋_GB2312" w:hAnsi="仿宋_GB2312" w:eastAsia="仿宋_GB2312"/>
                <w:b w:val="0"/>
                <w:color w:val="000000"/>
                <w:sz w:val="32"/>
              </w:rPr>
              <w:t>恒州诚思</w:t>
            </w:r>
          </w:p>
        </w:tc>
      </w:tr>
    </w:tbl>
    <w:p>
      <w:pPr>
        <w:spacing w:lineRule="exact" w:line="600" w:before="120" w:after="120"/>
        <w:ind w:firstLine="420"/>
        <w:jc w:val="left"/>
      </w:pPr>
      <w:r>
        <w:rPr>
          <w:rFonts w:ascii="楷体_GB2312" w:hAnsi="楷体_GB2312" w:eastAsia="楷体_GB2312"/>
          <w:b w:val="0"/>
          <w:color w:val="000000"/>
          <w:sz w:val="32"/>
        </w:rPr>
        <w:t>产销双增（本批真实数据补充·来源见正文）</w:t>
      </w:r>
    </w:p>
    <w:p>
      <w:pPr>
        <w:spacing w:lineRule="exact" w:line="600" w:before="0" w:after="0"/>
        <w:ind w:firstLine="420"/>
        <w:jc w:val="both"/>
      </w:pPr>
      <w:r>
        <w:rPr>
          <w:rFonts w:ascii="仿宋_GB2312" w:hAnsi="仿宋_GB2312" w:eastAsia="仿宋_GB2312"/>
          <w:b w:val="0"/>
          <w:color w:val="000000"/>
          <w:sz w:val="32"/>
        </w:rPr>
        <w:t>2024年上半年，全县钢球产业实现产值30亿元、同比增长11.1%，钢球产量37万吨、同比增长15.2%；宁阳钢球产品远销美国、日本、欧盟、东南亚等国家和地区，出口率高。辰信基础零部件项目建成国内最大钢球基础材料智能化生产线。（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上半年产值</w:t>
            </w:r>
          </w:p>
        </w:tc>
        <w:tc>
          <w:tcPr>
            <w:tcW w:type="dxa" w:w="2835"/>
          </w:tcPr>
          <w:p>
            <w:pPr>
              <w:spacing w:lineRule="exact" w:line="600"/>
              <w:jc w:val="center"/>
            </w:pPr>
            <w:r/>
            <w:r>
              <w:rPr>
                <w:rFonts w:ascii="仿宋_GB2312" w:hAnsi="仿宋_GB2312" w:eastAsia="仿宋_GB2312"/>
                <w:b w:val="0"/>
                <w:color w:val="000000"/>
                <w:sz w:val="32"/>
              </w:rPr>
              <w:t>30亿元</w:t>
            </w:r>
          </w:p>
        </w:tc>
        <w:tc>
          <w:tcPr>
            <w:tcW w:type="dxa" w:w="2551"/>
          </w:tcPr>
          <w:p>
            <w:pPr>
              <w:spacing w:lineRule="exact" w:line="600"/>
              <w:jc w:val="center"/>
            </w:pPr>
            <w:r/>
            <w:r>
              <w:rPr>
                <w:rFonts w:ascii="仿宋_GB2312" w:hAnsi="仿宋_GB2312" w:eastAsia="仿宋_GB2312"/>
                <w:b w:val="0"/>
                <w:color w:val="000000"/>
                <w:sz w:val="32"/>
              </w:rPr>
              <w:t>同比+11.1%</w:t>
            </w:r>
          </w:p>
        </w:tc>
      </w:tr>
      <w:tr>
        <w:tc>
          <w:tcPr>
            <w:tcW w:type="dxa" w:w="3118"/>
          </w:tcPr>
          <w:p>
            <w:pPr>
              <w:spacing w:lineRule="exact" w:line="600"/>
              <w:jc w:val="center"/>
            </w:pPr>
            <w:r/>
            <w:r>
              <w:rPr>
                <w:rFonts w:ascii="仿宋_GB2312" w:hAnsi="仿宋_GB2312" w:eastAsia="仿宋_GB2312"/>
                <w:b w:val="0"/>
                <w:color w:val="000000"/>
                <w:sz w:val="32"/>
              </w:rPr>
              <w:t>上半年产量</w:t>
            </w:r>
          </w:p>
        </w:tc>
        <w:tc>
          <w:tcPr>
            <w:tcW w:type="dxa" w:w="2835"/>
          </w:tcPr>
          <w:p>
            <w:pPr>
              <w:spacing w:lineRule="exact" w:line="600"/>
              <w:jc w:val="center"/>
            </w:pPr>
            <w:r/>
            <w:r>
              <w:rPr>
                <w:rFonts w:ascii="仿宋_GB2312" w:hAnsi="仿宋_GB2312" w:eastAsia="仿宋_GB2312"/>
                <w:b w:val="0"/>
                <w:color w:val="000000"/>
                <w:sz w:val="32"/>
              </w:rPr>
              <w:t>37万吨</w:t>
            </w:r>
          </w:p>
        </w:tc>
        <w:tc>
          <w:tcPr>
            <w:tcW w:type="dxa" w:w="2551"/>
          </w:tcPr>
          <w:p>
            <w:pPr>
              <w:spacing w:lineRule="exact" w:line="600"/>
              <w:jc w:val="center"/>
            </w:pPr>
            <w:r/>
            <w:r>
              <w:rPr>
                <w:rFonts w:ascii="仿宋_GB2312" w:hAnsi="仿宋_GB2312" w:eastAsia="仿宋_GB2312"/>
                <w:b w:val="0"/>
                <w:color w:val="000000"/>
                <w:sz w:val="32"/>
              </w:rPr>
              <w:t>同比+15.2%</w:t>
            </w:r>
          </w:p>
        </w:tc>
      </w:tr>
      <w:tr>
        <w:tc>
          <w:tcPr>
            <w:tcW w:type="dxa" w:w="3118"/>
          </w:tcPr>
          <w:p>
            <w:pPr>
              <w:spacing w:lineRule="exact" w:line="600"/>
              <w:jc w:val="center"/>
            </w:pPr>
            <w:r/>
            <w:r>
              <w:rPr>
                <w:rFonts w:ascii="仿宋_GB2312" w:hAnsi="仿宋_GB2312" w:eastAsia="仿宋_GB2312"/>
                <w:b w:val="0"/>
                <w:color w:val="000000"/>
                <w:sz w:val="32"/>
              </w:rPr>
              <w:t>出口</w:t>
            </w:r>
          </w:p>
        </w:tc>
        <w:tc>
          <w:tcPr>
            <w:tcW w:type="dxa" w:w="2835"/>
          </w:tcPr>
          <w:p>
            <w:pPr>
              <w:spacing w:lineRule="exact" w:line="600"/>
              <w:jc w:val="center"/>
            </w:pPr>
            <w:r/>
            <w:r>
              <w:rPr>
                <w:rFonts w:ascii="仿宋_GB2312" w:hAnsi="仿宋_GB2312" w:eastAsia="仿宋_GB2312"/>
                <w:b w:val="0"/>
                <w:color w:val="000000"/>
                <w:sz w:val="32"/>
              </w:rPr>
              <w:t>美日欧盟东南亚等</w:t>
            </w:r>
          </w:p>
        </w:tc>
        <w:tc>
          <w:tcPr>
            <w:tcW w:type="dxa" w:w="2551"/>
          </w:tcPr>
          <w:p>
            <w:pPr>
              <w:spacing w:lineRule="exact" w:line="600"/>
              <w:jc w:val="center"/>
            </w:pPr>
            <w:r/>
            <w:r>
              <w:rPr>
                <w:rFonts w:ascii="仿宋_GB2312" w:hAnsi="仿宋_GB2312" w:eastAsia="仿宋_GB2312"/>
                <w:b w:val="0"/>
                <w:color w:val="000000"/>
                <w:sz w:val="32"/>
              </w:rPr>
              <w:t>出口率高</w:t>
            </w:r>
          </w:p>
        </w:tc>
      </w:tr>
      <w:tr>
        <w:tc>
          <w:tcPr>
            <w:tcW w:type="dxa" w:w="3118"/>
          </w:tcPr>
          <w:p>
            <w:pPr>
              <w:spacing w:lineRule="exact" w:line="600"/>
              <w:jc w:val="center"/>
            </w:pPr>
            <w:r/>
            <w:r>
              <w:rPr>
                <w:rFonts w:ascii="仿宋_GB2312" w:hAnsi="仿宋_GB2312" w:eastAsia="仿宋_GB2312"/>
                <w:b w:val="0"/>
                <w:color w:val="000000"/>
                <w:sz w:val="32"/>
              </w:rPr>
              <w:t>材料线</w:t>
            </w:r>
          </w:p>
        </w:tc>
        <w:tc>
          <w:tcPr>
            <w:tcW w:type="dxa" w:w="2835"/>
          </w:tcPr>
          <w:p>
            <w:pPr>
              <w:spacing w:lineRule="exact" w:line="600"/>
              <w:jc w:val="center"/>
            </w:pPr>
            <w:r/>
            <w:r>
              <w:rPr>
                <w:rFonts w:ascii="仿宋_GB2312" w:hAnsi="仿宋_GB2312" w:eastAsia="仿宋_GB2312"/>
                <w:b w:val="0"/>
                <w:color w:val="000000"/>
                <w:sz w:val="32"/>
              </w:rPr>
              <w:t>国内最大基础材料智能线</w:t>
            </w:r>
          </w:p>
        </w:tc>
        <w:tc>
          <w:tcPr>
            <w:tcW w:type="dxa" w:w="2551"/>
          </w:tcPr>
          <w:p>
            <w:pPr>
              <w:spacing w:lineRule="exact" w:line="600"/>
              <w:jc w:val="center"/>
            </w:pPr>
            <w:r/>
            <w:r>
              <w:rPr>
                <w:rFonts w:ascii="仿宋_GB2312" w:hAnsi="仿宋_GB2312" w:eastAsia="仿宋_GB2312"/>
                <w:b w:val="0"/>
                <w:color w:val="000000"/>
                <w:sz w:val="32"/>
              </w:rPr>
              <w:t>辰信30万吨</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（一）平台运营主体</w:t>
      </w:r>
    </w:p>
    <w:p>
      <w:pPr>
        <w:spacing w:lineRule="exact" w:line="600" w:before="0" w:after="0"/>
        <w:ind w:firstLine="420"/>
        <w:jc w:val="both"/>
      </w:pPr>
      <w:r>
        <w:rPr>
          <w:rFonts w:ascii="仿宋_GB2312" w:hAnsi="仿宋_GB2312" w:eastAsia="仿宋_GB2312"/>
          <w:b w:val="0"/>
          <w:color w:val="000000"/>
          <w:sz w:val="32"/>
        </w:rPr>
        <w:t>「云联钢球」线上运营单位云联钢球被评为山东省首批数字经济产业创新中心，是宁阳钢球检测与商贸的数字化枢纽（来源：经济日报/宁阳县政府）。辰信作为链主提供「四中心一平台」公共赋能。</w:t>
      </w:r>
    </w:p>
    <w:p>
      <w:pPr>
        <w:spacing w:lineRule="exact" w:line="600" w:before="120" w:after="120"/>
        <w:ind w:firstLine="420"/>
        <w:jc w:val="left"/>
      </w:pPr>
      <w:r>
        <w:rPr>
          <w:rFonts w:ascii="楷体_GB2312" w:hAnsi="楷体_GB2312" w:eastAsia="楷体_GB2312"/>
          <w:b w:val="0"/>
          <w:color w:val="000000"/>
          <w:sz w:val="32"/>
        </w:rPr>
        <w:t>（二）检测机构布局</w:t>
      </w:r>
    </w:p>
    <w:p>
      <w:pPr>
        <w:spacing w:lineRule="exact" w:line="600" w:before="0" w:after="0"/>
        <w:ind w:firstLine="420"/>
        <w:jc w:val="both"/>
      </w:pPr>
      <w:r>
        <w:rPr>
          <w:rFonts w:ascii="仿宋_GB2312" w:hAnsi="仿宋_GB2312" w:eastAsia="仿宋_GB2312"/>
          <w:b w:val="0"/>
          <w:color w:val="000000"/>
          <w:sz w:val="32"/>
        </w:rPr>
        <w:t>辰信检验检测中心与行业平台（如山东省装备制造业协会）共同构成宁阳钢球质量基础设施；国家级/省级检测资源向园区集聚（来源：省装备协会/辰信官网）。</w:t>
      </w:r>
    </w:p>
    <w:p>
      <w:pPr>
        <w:spacing w:lineRule="exact" w:line="600" w:before="120" w:after="120"/>
        <w:ind w:firstLine="420"/>
        <w:jc w:val="left"/>
      </w:pPr>
      <w:r>
        <w:rPr>
          <w:rFonts w:ascii="楷体_GB2312" w:hAnsi="楷体_GB2312" w:eastAsia="楷体_GB2312"/>
          <w:b w:val="0"/>
          <w:color w:val="000000"/>
          <w:sz w:val="32"/>
        </w:rPr>
        <w:t>（三）商贸企业生态</w:t>
      </w:r>
    </w:p>
    <w:p>
      <w:pPr>
        <w:spacing w:lineRule="exact" w:line="600" w:before="0" w:after="0"/>
        <w:ind w:firstLine="420"/>
        <w:jc w:val="both"/>
      </w:pPr>
      <w:r>
        <w:rPr>
          <w:rFonts w:ascii="仿宋_GB2312" w:hAnsi="仿宋_GB2312" w:eastAsia="仿宋_GB2312"/>
          <w:b w:val="0"/>
          <w:color w:val="000000"/>
          <w:sz w:val="32"/>
        </w:rPr>
        <w:t>320余家钢球企业中，新东工贸等出口率高达99%，依托平台与自营渠道做大外贸；中小贸易商通过产业商城对接全球买家（来源：企业官网/经济日报）。</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主体</w:t>
            </w:r>
          </w:p>
        </w:tc>
        <w:tc>
          <w:tcPr>
            <w:tcW w:type="dxa" w:w="1701"/>
          </w:tcPr>
          <w:p>
            <w:pPr>
              <w:spacing w:lineRule="exact" w:line="600"/>
              <w:jc w:val="center"/>
            </w:pPr>
            <w:r/>
            <w:r>
              <w:rPr>
                <w:rFonts w:ascii="黑体" w:hAnsi="黑体" w:eastAsia="黑体"/>
                <w:b/>
                <w:color w:val="000000"/>
                <w:sz w:val="32"/>
              </w:rPr>
              <w:t>角色</w:t>
            </w:r>
          </w:p>
        </w:tc>
        <w:tc>
          <w:tcPr>
            <w:tcW w:type="dxa" w:w="3118"/>
          </w:tcPr>
          <w:p>
            <w:pPr>
              <w:spacing w:lineRule="exact" w:line="600"/>
              <w:jc w:val="center"/>
            </w:pPr>
            <w:r/>
            <w:r>
              <w:rPr>
                <w:rFonts w:ascii="黑体" w:hAnsi="黑体" w:eastAsia="黑体"/>
                <w:b/>
                <w:color w:val="000000"/>
                <w:sz w:val="32"/>
              </w:rPr>
              <w:t>数据</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云联钢球</w:t>
            </w:r>
          </w:p>
        </w:tc>
        <w:tc>
          <w:tcPr>
            <w:tcW w:type="dxa" w:w="1701"/>
          </w:tcPr>
          <w:p>
            <w:pPr>
              <w:spacing w:lineRule="exact" w:line="600"/>
              <w:jc w:val="center"/>
            </w:pPr>
            <w:r/>
            <w:r>
              <w:rPr>
                <w:rFonts w:ascii="仿宋_GB2312" w:hAnsi="仿宋_GB2312" w:eastAsia="仿宋_GB2312"/>
                <w:b w:val="0"/>
                <w:color w:val="000000"/>
                <w:sz w:val="32"/>
              </w:rPr>
              <w:t>数字枢纽</w:t>
            </w:r>
          </w:p>
        </w:tc>
        <w:tc>
          <w:tcPr>
            <w:tcW w:type="dxa" w:w="3118"/>
          </w:tcPr>
          <w:p>
            <w:pPr>
              <w:spacing w:lineRule="exact" w:line="600"/>
              <w:jc w:val="center"/>
            </w:pPr>
            <w:r/>
            <w:r>
              <w:rPr>
                <w:rFonts w:ascii="仿宋_GB2312" w:hAnsi="仿宋_GB2312" w:eastAsia="仿宋_GB2312"/>
                <w:b w:val="0"/>
                <w:color w:val="000000"/>
                <w:sz w:val="32"/>
              </w:rPr>
              <w:t>省首批创新中心</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辰信检测</w:t>
            </w:r>
          </w:p>
        </w:tc>
        <w:tc>
          <w:tcPr>
            <w:tcW w:type="dxa" w:w="1701"/>
          </w:tcPr>
          <w:p>
            <w:pPr>
              <w:spacing w:lineRule="exact" w:line="600"/>
              <w:jc w:val="center"/>
            </w:pPr>
            <w:r/>
            <w:r>
              <w:rPr>
                <w:rFonts w:ascii="仿宋_GB2312" w:hAnsi="仿宋_GB2312" w:eastAsia="仿宋_GB2312"/>
                <w:b w:val="0"/>
                <w:color w:val="000000"/>
                <w:sz w:val="32"/>
              </w:rPr>
              <w:t>公共检测</w:t>
            </w:r>
          </w:p>
        </w:tc>
        <w:tc>
          <w:tcPr>
            <w:tcW w:type="dxa" w:w="3118"/>
          </w:tcPr>
          <w:p>
            <w:pPr>
              <w:spacing w:lineRule="exact" w:line="600"/>
              <w:jc w:val="center"/>
            </w:pPr>
            <w:r/>
            <w:r>
              <w:rPr>
                <w:rFonts w:ascii="仿宋_GB2312" w:hAnsi="仿宋_GB2312" w:eastAsia="仿宋_GB2312"/>
                <w:b w:val="0"/>
                <w:color w:val="000000"/>
                <w:sz w:val="32"/>
              </w:rPr>
              <w:t>四中心一平台</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701"/>
          </w:tcPr>
          <w:p>
            <w:pPr>
              <w:spacing w:lineRule="exact" w:line="600"/>
              <w:jc w:val="center"/>
            </w:pPr>
            <w:r/>
            <w:r>
              <w:rPr>
                <w:rFonts w:ascii="仿宋_GB2312" w:hAnsi="仿宋_GB2312" w:eastAsia="仿宋_GB2312"/>
                <w:b w:val="0"/>
                <w:color w:val="000000"/>
                <w:sz w:val="32"/>
              </w:rPr>
              <w:t>新东工贸</w:t>
            </w:r>
          </w:p>
        </w:tc>
        <w:tc>
          <w:tcPr>
            <w:tcW w:type="dxa" w:w="1701"/>
          </w:tcPr>
          <w:p>
            <w:pPr>
              <w:spacing w:lineRule="exact" w:line="600"/>
              <w:jc w:val="center"/>
            </w:pPr>
            <w:r/>
            <w:r>
              <w:rPr>
                <w:rFonts w:ascii="仿宋_GB2312" w:hAnsi="仿宋_GB2312" w:eastAsia="仿宋_GB2312"/>
                <w:b w:val="0"/>
                <w:color w:val="000000"/>
                <w:sz w:val="32"/>
              </w:rPr>
              <w:t>外贸主体</w:t>
            </w:r>
          </w:p>
        </w:tc>
        <w:tc>
          <w:tcPr>
            <w:tcW w:type="dxa" w:w="3118"/>
          </w:tcPr>
          <w:p>
            <w:pPr>
              <w:spacing w:lineRule="exact" w:line="600"/>
              <w:jc w:val="center"/>
            </w:pPr>
            <w:r/>
            <w:r>
              <w:rPr>
                <w:rFonts w:ascii="仿宋_GB2312" w:hAnsi="仿宋_GB2312" w:eastAsia="仿宋_GB2312"/>
                <w:b w:val="0"/>
                <w:color w:val="000000"/>
                <w:sz w:val="32"/>
              </w:rPr>
              <w:t>出口率99%</w:t>
            </w:r>
          </w:p>
        </w:tc>
        <w:tc>
          <w:tcPr>
            <w:tcW w:type="dxa" w:w="1701"/>
          </w:tcPr>
          <w:p>
            <w:pPr>
              <w:spacing w:lineRule="exact" w:line="600"/>
              <w:jc w:val="center"/>
            </w:pPr>
            <w:r/>
            <w:r>
              <w:rPr>
                <w:rFonts w:ascii="仿宋_GB2312" w:hAnsi="仿宋_GB2312" w:eastAsia="仿宋_GB2312"/>
                <w:b w:val="0"/>
                <w:color w:val="000000"/>
                <w:sz w:val="32"/>
              </w:rPr>
              <w:t>企业官网</w:t>
            </w:r>
          </w:p>
        </w:tc>
      </w:tr>
    </w:tbl>
    <w:p>
      <w:pPr>
        <w:spacing w:lineRule="exact" w:line="600" w:before="120" w:after="120"/>
        <w:ind w:firstLine="420"/>
        <w:jc w:val="left"/>
      </w:pPr>
      <w:r>
        <w:rPr>
          <w:rFonts w:ascii="楷体_GB2312" w:hAnsi="楷体_GB2312" w:eastAsia="楷体_GB2312"/>
          <w:b w:val="0"/>
          <w:color w:val="000000"/>
          <w:sz w:val="32"/>
        </w:rPr>
        <w:t>研发检测中枢（本批真实数据补充·来源见正文）</w:t>
      </w:r>
    </w:p>
    <w:p>
      <w:pPr>
        <w:spacing w:lineRule="exact" w:line="600" w:before="0" w:after="0"/>
        <w:ind w:firstLine="420"/>
        <w:jc w:val="both"/>
      </w:pPr>
      <w:r>
        <w:rPr>
          <w:rFonts w:ascii="仿宋_GB2312" w:hAnsi="仿宋_GB2312" w:eastAsia="仿宋_GB2312"/>
          <w:b w:val="0"/>
          <w:color w:val="000000"/>
          <w:sz w:val="32"/>
        </w:rPr>
        <w:t>宁阳以辰信轴承科技为龙头，整合320余家钢球生产企业，与洛阳轴承研究所合作共建国家级钢球及特种材料球技术研发中心和滚动体检验检测中心；建成钢球智能制造工业园区，入选省级示范型数字经济园区。（来源：同花顺、中国经济网）</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主体/平台</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龙头企业</w:t>
            </w:r>
          </w:p>
        </w:tc>
        <w:tc>
          <w:tcPr>
            <w:tcW w:type="dxa" w:w="2835"/>
          </w:tcPr>
          <w:p>
            <w:pPr>
              <w:spacing w:lineRule="exact" w:line="600"/>
              <w:jc w:val="center"/>
            </w:pPr>
            <w:r/>
            <w:r>
              <w:rPr>
                <w:rFonts w:ascii="仿宋_GB2312" w:hAnsi="仿宋_GB2312" w:eastAsia="仿宋_GB2312"/>
                <w:b w:val="0"/>
                <w:color w:val="000000"/>
                <w:sz w:val="32"/>
              </w:rPr>
              <w:t>辰信轴承科技</w:t>
            </w:r>
          </w:p>
        </w:tc>
        <w:tc>
          <w:tcPr>
            <w:tcW w:type="dxa" w:w="2551"/>
          </w:tcPr>
          <w:p>
            <w:pPr>
              <w:spacing w:lineRule="exact" w:line="600"/>
              <w:jc w:val="center"/>
            </w:pPr>
            <w:r/>
            <w:r>
              <w:rPr>
                <w:rFonts w:ascii="仿宋_GB2312" w:hAnsi="仿宋_GB2312" w:eastAsia="仿宋_GB2312"/>
                <w:b w:val="0"/>
                <w:color w:val="000000"/>
                <w:sz w:val="32"/>
              </w:rPr>
              <w:t>驱动整合</w:t>
            </w:r>
          </w:p>
        </w:tc>
      </w:tr>
      <w:tr>
        <w:tc>
          <w:tcPr>
            <w:tcW w:type="dxa" w:w="3118"/>
          </w:tcPr>
          <w:p>
            <w:pPr>
              <w:spacing w:lineRule="exact" w:line="600"/>
              <w:jc w:val="center"/>
            </w:pPr>
            <w:r/>
            <w:r>
              <w:rPr>
                <w:rFonts w:ascii="仿宋_GB2312" w:hAnsi="仿宋_GB2312" w:eastAsia="仿宋_GB2312"/>
                <w:b w:val="0"/>
                <w:color w:val="000000"/>
                <w:sz w:val="32"/>
              </w:rPr>
              <w:t>研发检测</w:t>
            </w:r>
          </w:p>
        </w:tc>
        <w:tc>
          <w:tcPr>
            <w:tcW w:type="dxa" w:w="2835"/>
          </w:tcPr>
          <w:p>
            <w:pPr>
              <w:spacing w:lineRule="exact" w:line="600"/>
              <w:jc w:val="center"/>
            </w:pPr>
            <w:r/>
            <w:r>
              <w:rPr>
                <w:rFonts w:ascii="仿宋_GB2312" w:hAnsi="仿宋_GB2312" w:eastAsia="仿宋_GB2312"/>
                <w:b w:val="0"/>
                <w:color w:val="000000"/>
                <w:sz w:val="32"/>
              </w:rPr>
              <w:t>国家级研发中心/检测中心</w:t>
            </w:r>
          </w:p>
        </w:tc>
        <w:tc>
          <w:tcPr>
            <w:tcW w:type="dxa" w:w="2551"/>
          </w:tcPr>
          <w:p>
            <w:pPr>
              <w:spacing w:lineRule="exact" w:line="600"/>
              <w:jc w:val="center"/>
            </w:pPr>
            <w:r/>
            <w:r>
              <w:rPr>
                <w:rFonts w:ascii="仿宋_GB2312" w:hAnsi="仿宋_GB2312" w:eastAsia="仿宋_GB2312"/>
                <w:b w:val="0"/>
                <w:color w:val="000000"/>
                <w:sz w:val="32"/>
              </w:rPr>
              <w:t>洛阳轴承所</w:t>
            </w:r>
          </w:p>
        </w:tc>
      </w:tr>
      <w:tr>
        <w:tc>
          <w:tcPr>
            <w:tcW w:type="dxa" w:w="3118"/>
          </w:tcPr>
          <w:p>
            <w:pPr>
              <w:spacing w:lineRule="exact" w:line="600"/>
              <w:jc w:val="center"/>
            </w:pPr>
            <w:r/>
            <w:r>
              <w:rPr>
                <w:rFonts w:ascii="仿宋_GB2312" w:hAnsi="仿宋_GB2312" w:eastAsia="仿宋_GB2312"/>
                <w:b w:val="0"/>
                <w:color w:val="000000"/>
                <w:sz w:val="32"/>
              </w:rPr>
              <w:t>智造园区</w:t>
            </w:r>
          </w:p>
        </w:tc>
        <w:tc>
          <w:tcPr>
            <w:tcW w:type="dxa" w:w="2835"/>
          </w:tcPr>
          <w:p>
            <w:pPr>
              <w:spacing w:lineRule="exact" w:line="600"/>
              <w:jc w:val="center"/>
            </w:pPr>
            <w:r/>
            <w:r>
              <w:rPr>
                <w:rFonts w:ascii="仿宋_GB2312" w:hAnsi="仿宋_GB2312" w:eastAsia="仿宋_GB2312"/>
                <w:b w:val="0"/>
                <w:color w:val="000000"/>
                <w:sz w:val="32"/>
              </w:rPr>
              <w:t>省级示范型数字经济园区</w:t>
            </w:r>
          </w:p>
        </w:tc>
        <w:tc>
          <w:tcPr>
            <w:tcW w:type="dxa" w:w="2551"/>
          </w:tcPr>
          <w:p>
            <w:pPr>
              <w:spacing w:lineRule="exact" w:line="600"/>
              <w:jc w:val="center"/>
            </w:pPr>
            <w:r/>
            <w:r>
              <w:rPr>
                <w:rFonts w:ascii="仿宋_GB2312" w:hAnsi="仿宋_GB2312" w:eastAsia="仿宋_GB2312"/>
                <w:b w:val="0"/>
                <w:color w:val="000000"/>
                <w:sz w:val="32"/>
              </w:rPr>
              <w:t>宁阳</w:t>
            </w:r>
          </w:p>
        </w:tc>
      </w:tr>
      <w:tr>
        <w:tc>
          <w:tcPr>
            <w:tcW w:type="dxa" w:w="3118"/>
          </w:tcPr>
          <w:p>
            <w:pPr>
              <w:spacing w:lineRule="exact" w:line="600"/>
              <w:jc w:val="center"/>
            </w:pPr>
            <w:r/>
            <w:r>
              <w:rPr>
                <w:rFonts w:ascii="仿宋_GB2312" w:hAnsi="仿宋_GB2312" w:eastAsia="仿宋_GB2312"/>
                <w:b w:val="0"/>
                <w:color w:val="000000"/>
                <w:sz w:val="32"/>
              </w:rPr>
              <w:t>企业整合</w:t>
            </w:r>
          </w:p>
        </w:tc>
        <w:tc>
          <w:tcPr>
            <w:tcW w:type="dxa" w:w="2835"/>
          </w:tcPr>
          <w:p>
            <w:pPr>
              <w:spacing w:lineRule="exact" w:line="600"/>
              <w:jc w:val="center"/>
            </w:pPr>
            <w:r/>
            <w:r>
              <w:rPr>
                <w:rFonts w:ascii="仿宋_GB2312" w:hAnsi="仿宋_GB2312" w:eastAsia="仿宋_GB2312"/>
                <w:b w:val="0"/>
                <w:color w:val="000000"/>
                <w:sz w:val="32"/>
              </w:rPr>
              <w:t>320余家</w:t>
            </w:r>
          </w:p>
        </w:tc>
        <w:tc>
          <w:tcPr>
            <w:tcW w:type="dxa" w:w="2551"/>
          </w:tcPr>
          <w:p>
            <w:pPr>
              <w:spacing w:lineRule="exact" w:line="600"/>
              <w:jc w:val="center"/>
            </w:pPr>
            <w:r/>
            <w:r>
              <w:rPr>
                <w:rFonts w:ascii="仿宋_GB2312" w:hAnsi="仿宋_GB2312" w:eastAsia="仿宋_GB2312"/>
                <w:b w:val="0"/>
                <w:color w:val="000000"/>
                <w:sz w:val="32"/>
              </w:rPr>
              <w:t>数字总部</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（一）检测技术与设备</w:t>
      </w:r>
    </w:p>
    <w:p>
      <w:pPr>
        <w:spacing w:lineRule="exact" w:line="600" w:before="0" w:after="0"/>
        <w:ind w:firstLine="420"/>
        <w:jc w:val="both"/>
      </w:pPr>
      <w:r>
        <w:rPr>
          <w:rFonts w:ascii="仿宋_GB2312" w:hAnsi="仿宋_GB2312" w:eastAsia="仿宋_GB2312"/>
          <w:b w:val="0"/>
          <w:color w:val="000000"/>
          <w:sz w:val="32"/>
        </w:rPr>
        <w:t>辰信应用定制化数控设备与无损检测技术，建设检验检测中心，对钢球实施几何与理化全项检测（来源：省装备协会）。高精度检测设备是G5级超精钢球质量的保障。</w:t>
      </w:r>
    </w:p>
    <w:p>
      <w:pPr>
        <w:spacing w:lineRule="exact" w:line="600" w:before="120" w:after="120"/>
        <w:ind w:firstLine="420"/>
        <w:jc w:val="left"/>
      </w:pPr>
      <w:r>
        <w:rPr>
          <w:rFonts w:ascii="楷体_GB2312" w:hAnsi="楷体_GB2312" w:eastAsia="楷体_GB2312"/>
          <w:b w:val="0"/>
          <w:color w:val="000000"/>
          <w:sz w:val="32"/>
        </w:rPr>
        <w:t>（二）平台数据技术</w:t>
      </w:r>
    </w:p>
    <w:p>
      <w:pPr>
        <w:spacing w:lineRule="exact" w:line="600" w:before="0" w:after="0"/>
        <w:ind w:firstLine="420"/>
        <w:jc w:val="both"/>
      </w:pPr>
      <w:r>
        <w:rPr>
          <w:rFonts w:ascii="仿宋_GB2312" w:hAnsi="仿宋_GB2312" w:eastAsia="仿宋_GB2312"/>
          <w:b w:val="0"/>
          <w:color w:val="000000"/>
          <w:sz w:val="32"/>
        </w:rPr>
        <w:t>「钢球产业大脑」运用云计算、人工智能、物联网，构建产能共享制造与数字供应链金融，投资1500万元建设（来源：经济日报/中国产业经济信息网）。实现订单快速响应、生产高效组织。</w:t>
      </w:r>
    </w:p>
    <w:p>
      <w:pPr>
        <w:spacing w:lineRule="exact" w:line="600" w:before="120" w:after="120"/>
        <w:ind w:firstLine="420"/>
        <w:jc w:val="left"/>
      </w:pPr>
      <w:r>
        <w:rPr>
          <w:rFonts w:ascii="楷体_GB2312" w:hAnsi="楷体_GB2312" w:eastAsia="楷体_GB2312"/>
          <w:b w:val="0"/>
          <w:color w:val="000000"/>
          <w:sz w:val="32"/>
        </w:rPr>
        <w:t>（三）标准与认证</w:t>
      </w:r>
    </w:p>
    <w:p>
      <w:pPr>
        <w:spacing w:lineRule="exact" w:line="600" w:before="0" w:after="0"/>
        <w:ind w:firstLine="420"/>
        <w:jc w:val="both"/>
      </w:pPr>
      <w:r>
        <w:rPr>
          <w:rFonts w:ascii="仿宋_GB2312" w:hAnsi="仿宋_GB2312" w:eastAsia="仿宋_GB2312"/>
          <w:b w:val="0"/>
          <w:color w:val="000000"/>
          <w:sz w:val="32"/>
        </w:rPr>
        <w:t>宁阳企业参与轴承钢球标准提升，辰信通过多项国际认证；以标准输出带动中小企业达标（来源：省装备协会/博研咨询）。</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技术点</w:t>
            </w:r>
          </w:p>
        </w:tc>
        <w:tc>
          <w:tcPr>
            <w:tcW w:type="dxa" w:w="2268"/>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成效</w:t>
            </w:r>
          </w:p>
        </w:tc>
        <w:tc>
          <w:tcPr>
            <w:tcW w:type="dxa" w:w="1984"/>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检测</w:t>
            </w:r>
          </w:p>
        </w:tc>
        <w:tc>
          <w:tcPr>
            <w:tcW w:type="dxa" w:w="2268"/>
          </w:tcPr>
          <w:p>
            <w:pPr>
              <w:spacing w:lineRule="exact" w:line="600"/>
              <w:jc w:val="center"/>
            </w:pPr>
            <w:r/>
            <w:r>
              <w:rPr>
                <w:rFonts w:ascii="仿宋_GB2312" w:hAnsi="仿宋_GB2312" w:eastAsia="仿宋_GB2312"/>
                <w:b w:val="0"/>
                <w:color w:val="000000"/>
                <w:sz w:val="32"/>
              </w:rPr>
              <w:t>无损检测中心</w:t>
            </w:r>
          </w:p>
        </w:tc>
        <w:tc>
          <w:tcPr>
            <w:tcW w:type="dxa" w:w="2551"/>
          </w:tcPr>
          <w:p>
            <w:pPr>
              <w:spacing w:lineRule="exact" w:line="600"/>
              <w:jc w:val="center"/>
            </w:pPr>
            <w:r/>
            <w:r>
              <w:rPr>
                <w:rFonts w:ascii="仿宋_GB2312" w:hAnsi="仿宋_GB2312" w:eastAsia="仿宋_GB2312"/>
                <w:b w:val="0"/>
                <w:color w:val="000000"/>
                <w:sz w:val="32"/>
              </w:rPr>
              <w:t>全项几何理化</w:t>
            </w:r>
          </w:p>
        </w:tc>
        <w:tc>
          <w:tcPr>
            <w:tcW w:type="dxa" w:w="1984"/>
          </w:tcPr>
          <w:p>
            <w:pPr>
              <w:spacing w:lineRule="exact" w:line="600"/>
              <w:jc w:val="center"/>
            </w:pPr>
            <w:r/>
            <w:r>
              <w:rPr>
                <w:rFonts w:ascii="仿宋_GB2312" w:hAnsi="仿宋_GB2312" w:eastAsia="仿宋_GB2312"/>
                <w:b w:val="0"/>
                <w:color w:val="000000"/>
                <w:sz w:val="32"/>
              </w:rPr>
              <w:t>省装备协会</w:t>
            </w:r>
          </w:p>
        </w:tc>
      </w:tr>
      <w:tr>
        <w:tc>
          <w:tcPr>
            <w:tcW w:type="dxa" w:w="1701"/>
          </w:tcPr>
          <w:p>
            <w:pPr>
              <w:spacing w:lineRule="exact" w:line="600"/>
              <w:jc w:val="center"/>
            </w:pPr>
            <w:r/>
            <w:r>
              <w:rPr>
                <w:rFonts w:ascii="仿宋_GB2312" w:hAnsi="仿宋_GB2312" w:eastAsia="仿宋_GB2312"/>
                <w:b w:val="0"/>
                <w:color w:val="000000"/>
                <w:sz w:val="32"/>
              </w:rPr>
              <w:t>数据</w:t>
            </w:r>
          </w:p>
        </w:tc>
        <w:tc>
          <w:tcPr>
            <w:tcW w:type="dxa" w:w="2268"/>
          </w:tcPr>
          <w:p>
            <w:pPr>
              <w:spacing w:lineRule="exact" w:line="600"/>
              <w:jc w:val="center"/>
            </w:pPr>
            <w:r/>
            <w:r>
              <w:rPr>
                <w:rFonts w:ascii="仿宋_GB2312" w:hAnsi="仿宋_GB2312" w:eastAsia="仿宋_GB2312"/>
                <w:b w:val="0"/>
                <w:color w:val="000000"/>
                <w:sz w:val="32"/>
              </w:rPr>
              <w:t>产业大脑AI</w:t>
            </w:r>
          </w:p>
        </w:tc>
        <w:tc>
          <w:tcPr>
            <w:tcW w:type="dxa" w:w="2551"/>
          </w:tcPr>
          <w:p>
            <w:pPr>
              <w:spacing w:lineRule="exact" w:line="600"/>
              <w:jc w:val="center"/>
            </w:pPr>
            <w:r/>
            <w:r>
              <w:rPr>
                <w:rFonts w:ascii="仿宋_GB2312" w:hAnsi="仿宋_GB2312" w:eastAsia="仿宋_GB2312"/>
                <w:b w:val="0"/>
                <w:color w:val="000000"/>
                <w:sz w:val="32"/>
              </w:rPr>
              <w:t>订单快速响应</w:t>
            </w:r>
          </w:p>
        </w:tc>
        <w:tc>
          <w:tcPr>
            <w:tcW w:type="dxa" w:w="1984"/>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标准</w:t>
            </w:r>
          </w:p>
        </w:tc>
        <w:tc>
          <w:tcPr>
            <w:tcW w:type="dxa" w:w="2268"/>
          </w:tcPr>
          <w:p>
            <w:pPr>
              <w:spacing w:lineRule="exact" w:line="600"/>
              <w:jc w:val="center"/>
            </w:pPr>
            <w:r/>
            <w:r>
              <w:rPr>
                <w:rFonts w:ascii="仿宋_GB2312" w:hAnsi="仿宋_GB2312" w:eastAsia="仿宋_GB2312"/>
                <w:b w:val="0"/>
                <w:color w:val="000000"/>
                <w:sz w:val="32"/>
              </w:rPr>
              <w:t>国际认证</w:t>
            </w:r>
          </w:p>
        </w:tc>
        <w:tc>
          <w:tcPr>
            <w:tcW w:type="dxa" w:w="2551"/>
          </w:tcPr>
          <w:p>
            <w:pPr>
              <w:spacing w:lineRule="exact" w:line="600"/>
              <w:jc w:val="center"/>
            </w:pPr>
            <w:r/>
            <w:r>
              <w:rPr>
                <w:rFonts w:ascii="仿宋_GB2312" w:hAnsi="仿宋_GB2312" w:eastAsia="仿宋_GB2312"/>
                <w:b w:val="0"/>
                <w:color w:val="000000"/>
                <w:sz w:val="32"/>
              </w:rPr>
              <w:t>带动达标</w:t>
            </w:r>
          </w:p>
        </w:tc>
        <w:tc>
          <w:tcPr>
            <w:tcW w:type="dxa" w:w="1984"/>
          </w:tcPr>
          <w:p>
            <w:pPr>
              <w:spacing w:lineRule="exact" w:line="600"/>
              <w:jc w:val="center"/>
            </w:pPr>
            <w:r/>
            <w:r>
              <w:rPr>
                <w:rFonts w:ascii="仿宋_GB2312" w:hAnsi="仿宋_GB2312" w:eastAsia="仿宋_GB2312"/>
                <w:b w:val="0"/>
                <w:color w:val="000000"/>
                <w:sz w:val="32"/>
              </w:rPr>
              <w:t>博研咨询</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（一）交易成本下降</w:t>
      </w:r>
    </w:p>
    <w:p>
      <w:pPr>
        <w:spacing w:lineRule="exact" w:line="600" w:before="0" w:after="0"/>
        <w:ind w:firstLine="420"/>
        <w:jc w:val="both"/>
      </w:pPr>
      <w:r>
        <w:rPr>
          <w:rFonts w:ascii="仿宋_GB2312" w:hAnsi="仿宋_GB2312" w:eastAsia="仿宋_GB2312"/>
          <w:b w:val="0"/>
          <w:color w:val="000000"/>
          <w:sz w:val="32"/>
        </w:rPr>
        <w:t>云联钢球集采使采购成本平均降9%，平台交易4000余万元，直接改善中小企业毛利（来源：经济日报）。AGV+WMS年节约人工及搬运成本600万元（来源：中国产业经济信息网）。</w:t>
      </w:r>
    </w:p>
    <w:p>
      <w:pPr>
        <w:spacing w:lineRule="exact" w:line="600" w:before="120" w:after="120"/>
        <w:ind w:firstLine="420"/>
        <w:jc w:val="left"/>
      </w:pPr>
      <w:r>
        <w:rPr>
          <w:rFonts w:ascii="楷体_GB2312" w:hAnsi="楷体_GB2312" w:eastAsia="楷体_GB2312"/>
          <w:b w:val="0"/>
          <w:color w:val="000000"/>
          <w:sz w:val="32"/>
        </w:rPr>
        <w:t>（二）要素投入</w:t>
      </w:r>
    </w:p>
    <w:p>
      <w:pPr>
        <w:spacing w:lineRule="exact" w:line="600" w:before="0" w:after="0"/>
        <w:ind w:firstLine="420"/>
        <w:jc w:val="both"/>
      </w:pPr>
      <w:r>
        <w:rPr>
          <w:rFonts w:ascii="仿宋_GB2312" w:hAnsi="仿宋_GB2312" w:eastAsia="仿宋_GB2312"/>
          <w:b w:val="0"/>
          <w:color w:val="000000"/>
          <w:sz w:val="32"/>
        </w:rPr>
        <w:t>产业大脑投资1500万元，园区配套检测、研发、灭菌等公共设施（来源：经济日报/威海高新区类比，宁阳参照）。检测中心与数字化平台属重资产投入，需持续运营资金。</w:t>
      </w:r>
    </w:p>
    <w:p>
      <w:pPr>
        <w:spacing w:lineRule="exact" w:line="600" w:before="120" w:after="120"/>
        <w:ind w:firstLine="420"/>
        <w:jc w:val="left"/>
      </w:pPr>
      <w:r>
        <w:rPr>
          <w:rFonts w:ascii="楷体_GB2312" w:hAnsi="楷体_GB2312" w:eastAsia="楷体_GB2312"/>
          <w:b w:val="0"/>
          <w:color w:val="000000"/>
          <w:sz w:val="32"/>
        </w:rPr>
        <w:t>（三）盈利模式</w:t>
      </w:r>
    </w:p>
    <w:p>
      <w:pPr>
        <w:spacing w:lineRule="exact" w:line="600" w:before="0" w:after="0"/>
        <w:ind w:firstLine="420"/>
        <w:jc w:val="both"/>
      </w:pPr>
      <w:r>
        <w:rPr>
          <w:rFonts w:ascii="仿宋_GB2312" w:hAnsi="仿宋_GB2312" w:eastAsia="仿宋_GB2312"/>
          <w:b w:val="0"/>
          <w:color w:val="000000"/>
          <w:sz w:val="32"/>
        </w:rPr>
        <w:t>平台以交易佣金、集采差价、金融服务费、检测服务费为主要收入；链主以公共服务换取生态粘性（行业共性研判）。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268"/>
          </w:tcPr>
          <w:p>
            <w:pPr>
              <w:spacing w:lineRule="exact" w:line="600"/>
              <w:jc w:val="center"/>
            </w:pPr>
            <w:r/>
            <w:r>
              <w:rPr>
                <w:rFonts w:ascii="仿宋_GB2312" w:hAnsi="仿宋_GB2312" w:eastAsia="仿宋_GB2312"/>
                <w:b w:val="0"/>
                <w:color w:val="000000"/>
                <w:sz w:val="32"/>
              </w:rPr>
              <w:t>采购降本</w:t>
            </w:r>
          </w:p>
        </w:tc>
        <w:tc>
          <w:tcPr>
            <w:tcW w:type="dxa" w:w="3118"/>
          </w:tcPr>
          <w:p>
            <w:pPr>
              <w:spacing w:lineRule="exact" w:line="600"/>
              <w:jc w:val="center"/>
            </w:pPr>
            <w:r/>
            <w:r>
              <w:rPr>
                <w:rFonts w:ascii="仿宋_GB2312" w:hAnsi="仿宋_GB2312" w:eastAsia="仿宋_GB2312"/>
                <w:b w:val="0"/>
                <w:color w:val="000000"/>
                <w:sz w:val="32"/>
              </w:rPr>
              <w:t>约9%</w:t>
            </w:r>
          </w:p>
        </w:tc>
        <w:tc>
          <w:tcPr>
            <w:tcW w:type="dxa" w:w="3402"/>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平台交易</w:t>
            </w:r>
          </w:p>
        </w:tc>
        <w:tc>
          <w:tcPr>
            <w:tcW w:type="dxa" w:w="3118"/>
          </w:tcPr>
          <w:p>
            <w:pPr>
              <w:spacing w:lineRule="exact" w:line="600"/>
              <w:jc w:val="center"/>
            </w:pPr>
            <w:r/>
            <w:r>
              <w:rPr>
                <w:rFonts w:ascii="仿宋_GB2312" w:hAnsi="仿宋_GB2312" w:eastAsia="仿宋_GB2312"/>
                <w:b w:val="0"/>
                <w:color w:val="000000"/>
                <w:sz w:val="32"/>
              </w:rPr>
              <w:t>4000余万元</w:t>
            </w:r>
          </w:p>
        </w:tc>
        <w:tc>
          <w:tcPr>
            <w:tcW w:type="dxa" w:w="3402"/>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产业大脑投资</w:t>
            </w:r>
          </w:p>
        </w:tc>
        <w:tc>
          <w:tcPr>
            <w:tcW w:type="dxa" w:w="3118"/>
          </w:tcPr>
          <w:p>
            <w:pPr>
              <w:spacing w:lineRule="exact" w:line="600"/>
              <w:jc w:val="center"/>
            </w:pPr>
            <w:r/>
            <w:r>
              <w:rPr>
                <w:rFonts w:ascii="仿宋_GB2312" w:hAnsi="仿宋_GB2312" w:eastAsia="仿宋_GB2312"/>
                <w:b w:val="0"/>
                <w:color w:val="000000"/>
                <w:sz w:val="32"/>
              </w:rPr>
              <w:t>1500万元</w:t>
            </w:r>
          </w:p>
        </w:tc>
        <w:tc>
          <w:tcPr>
            <w:tcW w:type="dxa" w:w="3402"/>
          </w:tcPr>
          <w:p>
            <w:pPr>
              <w:spacing w:lineRule="exact" w:line="600"/>
              <w:jc w:val="center"/>
            </w:pPr>
            <w:r/>
            <w:r>
              <w:rPr>
                <w:rFonts w:ascii="仿宋_GB2312" w:hAnsi="仿宋_GB2312" w:eastAsia="仿宋_GB2312"/>
                <w:b w:val="0"/>
                <w:color w:val="000000"/>
                <w:sz w:val="32"/>
              </w:rPr>
              <w:t>经济日报</w:t>
            </w:r>
          </w:p>
        </w:tc>
      </w:tr>
      <w:tr>
        <w:tc>
          <w:tcPr>
            <w:tcW w:type="dxa" w:w="2268"/>
          </w:tcPr>
          <w:p>
            <w:pPr>
              <w:spacing w:lineRule="exact" w:line="600"/>
              <w:jc w:val="center"/>
            </w:pPr>
            <w:r/>
            <w:r>
              <w:rPr>
                <w:rFonts w:ascii="仿宋_GB2312" w:hAnsi="仿宋_GB2312" w:eastAsia="仿宋_GB2312"/>
                <w:b w:val="0"/>
                <w:color w:val="000000"/>
                <w:sz w:val="32"/>
              </w:rPr>
              <w:t>物流年节约</w:t>
            </w:r>
          </w:p>
        </w:tc>
        <w:tc>
          <w:tcPr>
            <w:tcW w:type="dxa" w:w="3118"/>
          </w:tcPr>
          <w:p>
            <w:pPr>
              <w:spacing w:lineRule="exact" w:line="600"/>
              <w:jc w:val="center"/>
            </w:pPr>
            <w:r/>
            <w:r>
              <w:rPr>
                <w:rFonts w:ascii="仿宋_GB2312" w:hAnsi="仿宋_GB2312" w:eastAsia="仿宋_GB2312"/>
                <w:b w:val="0"/>
                <w:color w:val="000000"/>
                <w:sz w:val="32"/>
              </w:rPr>
              <w:t>600万元</w:t>
            </w:r>
          </w:p>
        </w:tc>
        <w:tc>
          <w:tcPr>
            <w:tcW w:type="dxa" w:w="3402"/>
          </w:tcPr>
          <w:p>
            <w:pPr>
              <w:spacing w:lineRule="exact" w:line="600"/>
              <w:jc w:val="center"/>
            </w:pPr>
            <w:r/>
            <w:r>
              <w:rPr>
                <w:rFonts w:ascii="仿宋_GB2312" w:hAnsi="仿宋_GB2312" w:eastAsia="仿宋_GB2312"/>
                <w:b w:val="0"/>
                <w:color w:val="000000"/>
                <w:sz w:val="32"/>
              </w:rPr>
              <w:t>中国产业经济信息网</w:t>
            </w:r>
          </w:p>
        </w:tc>
      </w:tr>
    </w:tbl>
    <w:p>
      <w:pPr>
        <w:spacing w:lineRule="exact" w:line="600" w:before="120" w:after="120"/>
        <w:ind w:firstLine="420"/>
        <w:jc w:val="left"/>
      </w:pPr>
      <w:r>
        <w:rPr>
          <w:rFonts w:ascii="楷体_GB2312" w:hAnsi="楷体_GB2312" w:eastAsia="楷体_GB2312"/>
          <w:b w:val="0"/>
          <w:color w:val="000000"/>
          <w:sz w:val="32"/>
        </w:rPr>
        <w:t>产业大脑降本（本批真实数据补充·来源见正文）</w:t>
      </w:r>
    </w:p>
    <w:p>
      <w:pPr>
        <w:spacing w:lineRule="exact" w:line="600" w:before="0" w:after="0"/>
        <w:ind w:firstLine="420"/>
        <w:jc w:val="both"/>
      </w:pPr>
      <w:r>
        <w:rPr>
          <w:rFonts w:ascii="仿宋_GB2312" w:hAnsi="仿宋_GB2312" w:eastAsia="仿宋_GB2312"/>
          <w:b w:val="0"/>
          <w:color w:val="000000"/>
          <w:sz w:val="32"/>
        </w:rPr>
        <w:t>宁阳县投资1500万元建设“钢球产业大脑”，入选山东省2024年度“产业大脑”建设试点，通过大数据、云计算、物联网为产业链赋能；与中信云网合作上线“云联钢球”数字经济总部，已入驻企业91家、金融机构12家，企业采购成本平均下降约9%；AGV智慧物流+WMS智慧仓储每年节约人工及搬运成本600万元。（来源：中国经济网、同花顺）</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要素/项目</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钢球产业大脑</w:t>
            </w:r>
          </w:p>
        </w:tc>
        <w:tc>
          <w:tcPr>
            <w:tcW w:type="dxa" w:w="2835"/>
          </w:tcPr>
          <w:p>
            <w:pPr>
              <w:spacing w:lineRule="exact" w:line="600"/>
              <w:jc w:val="center"/>
            </w:pPr>
            <w:r/>
            <w:r>
              <w:rPr>
                <w:rFonts w:ascii="仿宋_GB2312" w:hAnsi="仿宋_GB2312" w:eastAsia="仿宋_GB2312"/>
                <w:b w:val="0"/>
                <w:color w:val="000000"/>
                <w:sz w:val="32"/>
              </w:rPr>
              <w:t>投资1500万元</w:t>
            </w:r>
          </w:p>
        </w:tc>
        <w:tc>
          <w:tcPr>
            <w:tcW w:type="dxa" w:w="2551"/>
          </w:tcPr>
          <w:p>
            <w:pPr>
              <w:spacing w:lineRule="exact" w:line="600"/>
              <w:jc w:val="center"/>
            </w:pPr>
            <w:r/>
            <w:r>
              <w:rPr>
                <w:rFonts w:ascii="仿宋_GB2312" w:hAnsi="仿宋_GB2312" w:eastAsia="仿宋_GB2312"/>
                <w:b w:val="0"/>
                <w:color w:val="000000"/>
                <w:sz w:val="32"/>
              </w:rPr>
              <w:t>省2024产业大脑试点</w:t>
            </w:r>
          </w:p>
        </w:tc>
      </w:tr>
      <w:tr>
        <w:tc>
          <w:tcPr>
            <w:tcW w:type="dxa" w:w="3118"/>
          </w:tcPr>
          <w:p>
            <w:pPr>
              <w:spacing w:lineRule="exact" w:line="600"/>
              <w:jc w:val="center"/>
            </w:pPr>
            <w:r/>
            <w:r>
              <w:rPr>
                <w:rFonts w:ascii="仿宋_GB2312" w:hAnsi="仿宋_GB2312" w:eastAsia="仿宋_GB2312"/>
                <w:b w:val="0"/>
                <w:color w:val="000000"/>
                <w:sz w:val="32"/>
              </w:rPr>
              <w:t>云联钢球</w:t>
            </w:r>
          </w:p>
        </w:tc>
        <w:tc>
          <w:tcPr>
            <w:tcW w:type="dxa" w:w="2835"/>
          </w:tcPr>
          <w:p>
            <w:pPr>
              <w:spacing w:lineRule="exact" w:line="600"/>
              <w:jc w:val="center"/>
            </w:pPr>
            <w:r/>
            <w:r>
              <w:rPr>
                <w:rFonts w:ascii="仿宋_GB2312" w:hAnsi="仿宋_GB2312" w:eastAsia="仿宋_GB2312"/>
                <w:b w:val="0"/>
                <w:color w:val="000000"/>
                <w:sz w:val="32"/>
              </w:rPr>
              <w:t>入驻91家/金融机构12家</w:t>
            </w:r>
          </w:p>
        </w:tc>
        <w:tc>
          <w:tcPr>
            <w:tcW w:type="dxa" w:w="2551"/>
          </w:tcPr>
          <w:p>
            <w:pPr>
              <w:spacing w:lineRule="exact" w:line="600"/>
              <w:jc w:val="center"/>
            </w:pPr>
            <w:r/>
            <w:r>
              <w:rPr>
                <w:rFonts w:ascii="仿宋_GB2312" w:hAnsi="仿宋_GB2312" w:eastAsia="仿宋_GB2312"/>
                <w:b w:val="0"/>
                <w:color w:val="000000"/>
                <w:sz w:val="32"/>
              </w:rPr>
              <w:t>采购降本约9%</w:t>
            </w:r>
          </w:p>
        </w:tc>
      </w:tr>
      <w:tr>
        <w:tc>
          <w:tcPr>
            <w:tcW w:type="dxa" w:w="3118"/>
          </w:tcPr>
          <w:p>
            <w:pPr>
              <w:spacing w:lineRule="exact" w:line="600"/>
              <w:jc w:val="center"/>
            </w:pPr>
            <w:r/>
            <w:r>
              <w:rPr>
                <w:rFonts w:ascii="仿宋_GB2312" w:hAnsi="仿宋_GB2312" w:eastAsia="仿宋_GB2312"/>
                <w:b w:val="0"/>
                <w:color w:val="000000"/>
                <w:sz w:val="32"/>
              </w:rPr>
              <w:t>智慧物流</w:t>
            </w:r>
          </w:p>
        </w:tc>
        <w:tc>
          <w:tcPr>
            <w:tcW w:type="dxa" w:w="2835"/>
          </w:tcPr>
          <w:p>
            <w:pPr>
              <w:spacing w:lineRule="exact" w:line="600"/>
              <w:jc w:val="center"/>
            </w:pPr>
            <w:r/>
            <w:r>
              <w:rPr>
                <w:rFonts w:ascii="仿宋_GB2312" w:hAnsi="仿宋_GB2312" w:eastAsia="仿宋_GB2312"/>
                <w:b w:val="0"/>
                <w:color w:val="000000"/>
                <w:sz w:val="32"/>
              </w:rPr>
              <w:t>AGV+WMS</w:t>
            </w:r>
          </w:p>
        </w:tc>
        <w:tc>
          <w:tcPr>
            <w:tcW w:type="dxa" w:w="2551"/>
          </w:tcPr>
          <w:p>
            <w:pPr>
              <w:spacing w:lineRule="exact" w:line="600"/>
              <w:jc w:val="center"/>
            </w:pPr>
            <w:r/>
            <w:r>
              <w:rPr>
                <w:rFonts w:ascii="仿宋_GB2312" w:hAnsi="仿宋_GB2312" w:eastAsia="仿宋_GB2312"/>
                <w:b w:val="0"/>
                <w:color w:val="000000"/>
                <w:sz w:val="32"/>
              </w:rPr>
              <w:t>年节约600万元</w:t>
            </w:r>
          </w:p>
        </w:tc>
      </w:tr>
      <w:tr>
        <w:tc>
          <w:tcPr>
            <w:tcW w:type="dxa" w:w="3118"/>
          </w:tcPr>
          <w:p>
            <w:pPr>
              <w:spacing w:lineRule="exact" w:line="600"/>
              <w:jc w:val="center"/>
            </w:pPr>
            <w:r/>
            <w:r>
              <w:rPr>
                <w:rFonts w:ascii="仿宋_GB2312" w:hAnsi="仿宋_GB2312" w:eastAsia="仿宋_GB2312"/>
                <w:b w:val="0"/>
                <w:color w:val="000000"/>
                <w:sz w:val="32"/>
              </w:rPr>
              <w:t>数字化</w:t>
            </w:r>
          </w:p>
        </w:tc>
        <w:tc>
          <w:tcPr>
            <w:tcW w:type="dxa" w:w="2835"/>
          </w:tcPr>
          <w:p>
            <w:pPr>
              <w:spacing w:lineRule="exact" w:line="600"/>
              <w:jc w:val="center"/>
            </w:pPr>
            <w:r/>
            <w:r>
              <w:rPr>
                <w:rFonts w:ascii="仿宋_GB2312" w:hAnsi="仿宋_GB2312" w:eastAsia="仿宋_GB2312"/>
                <w:b w:val="0"/>
                <w:color w:val="000000"/>
                <w:sz w:val="32"/>
              </w:rPr>
              <w:t>大数据/云/物联网赋能</w:t>
            </w:r>
          </w:p>
        </w:tc>
        <w:tc>
          <w:tcPr>
            <w:tcW w:type="dxa" w:w="2551"/>
          </w:tcPr>
          <w:p>
            <w:pPr>
              <w:spacing w:lineRule="exact" w:line="600"/>
              <w:jc w:val="center"/>
            </w:pPr>
            <w:r/>
            <w:r>
              <w:rPr>
                <w:rFonts w:ascii="仿宋_GB2312" w:hAnsi="仿宋_GB2312" w:eastAsia="仿宋_GB2312"/>
                <w:b w:val="0"/>
                <w:color w:val="000000"/>
                <w:sz w:val="32"/>
              </w:rPr>
              <w:t>订单快速响应</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数字化商贸与检测认证契合全球采购线上化、质量追溯趋势；「一带一路」与东南亚、欧洲、北美市场为宁阳钢球出口提供增量（来源：恒州诚思/宁阳县政府）。</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平台入驻率与交易活跃度仍偏低（50家/320余家），中小企业数字化应用不均衡；高端检测认证能力与长三角、东北集群相比仍有差距（行业共性研判）。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出口面临汇率、贸易壁垒与绿色合规风险；平台数据合规与供应链金融风险需防范（行业共性研判）。</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维度</w:t>
            </w:r>
          </w:p>
        </w:tc>
        <w:tc>
          <w:tcPr>
            <w:tcW w:type="dxa" w:w="2551"/>
          </w:tcPr>
          <w:p>
            <w:pPr>
              <w:spacing w:lineRule="exact" w:line="600"/>
              <w:jc w:val="center"/>
            </w:pPr>
            <w:r/>
            <w:r>
              <w:rPr>
                <w:rFonts w:ascii="黑体" w:hAnsi="黑体" w:eastAsia="黑体"/>
                <w:b/>
                <w:color w:val="000000"/>
                <w:sz w:val="32"/>
              </w:rPr>
              <w:t>判断</w:t>
            </w:r>
          </w:p>
        </w:tc>
        <w:tc>
          <w:tcPr>
            <w:tcW w:type="dxa" w:w="2835"/>
          </w:tcPr>
          <w:p>
            <w:pPr>
              <w:spacing w:lineRule="exact" w:line="600"/>
              <w:jc w:val="center"/>
            </w:pPr>
            <w:r/>
            <w:r>
              <w:rPr>
                <w:rFonts w:ascii="黑体" w:hAnsi="黑体" w:eastAsia="黑体"/>
                <w:b/>
                <w:color w:val="000000"/>
                <w:sz w:val="32"/>
              </w:rPr>
              <w:t>依据</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机遇</w:t>
            </w:r>
          </w:p>
        </w:tc>
        <w:tc>
          <w:tcPr>
            <w:tcW w:type="dxa" w:w="2551"/>
          </w:tcPr>
          <w:p>
            <w:pPr>
              <w:spacing w:lineRule="exact" w:line="600"/>
              <w:jc w:val="center"/>
            </w:pPr>
            <w:r/>
            <w:r>
              <w:rPr>
                <w:rFonts w:ascii="仿宋_GB2312" w:hAnsi="仿宋_GB2312" w:eastAsia="仿宋_GB2312"/>
                <w:b w:val="0"/>
                <w:color w:val="000000"/>
                <w:sz w:val="32"/>
              </w:rPr>
              <w:t>线上采购+出海</w:t>
            </w:r>
          </w:p>
        </w:tc>
        <w:tc>
          <w:tcPr>
            <w:tcW w:type="dxa" w:w="2835"/>
          </w:tcPr>
          <w:p>
            <w:pPr>
              <w:spacing w:lineRule="exact" w:line="600"/>
              <w:jc w:val="center"/>
            </w:pPr>
            <w:r/>
            <w:r>
              <w:rPr>
                <w:rFonts w:ascii="仿宋_GB2312" w:hAnsi="仿宋_GB2312" w:eastAsia="仿宋_GB2312"/>
                <w:b w:val="0"/>
                <w:color w:val="000000"/>
                <w:sz w:val="32"/>
              </w:rPr>
              <w:t>全球市场122.8亿</w:t>
            </w:r>
          </w:p>
        </w:tc>
        <w:tc>
          <w:tcPr>
            <w:tcW w:type="dxa" w:w="1701"/>
          </w:tcPr>
          <w:p>
            <w:pPr>
              <w:spacing w:lineRule="exact" w:line="600"/>
              <w:jc w:val="center"/>
            </w:pPr>
            <w:r/>
            <w:r>
              <w:rPr>
                <w:rFonts w:ascii="仿宋_GB2312" w:hAnsi="仿宋_GB2312" w:eastAsia="仿宋_GB2312"/>
                <w:b w:val="0"/>
                <w:color w:val="000000"/>
                <w:sz w:val="32"/>
              </w:rPr>
              <w:t>恒州诚思</w:t>
            </w:r>
          </w:p>
        </w:tc>
      </w:tr>
      <w:tr>
        <w:tc>
          <w:tcPr>
            <w:tcW w:type="dxa" w:w="1417"/>
          </w:tcPr>
          <w:p>
            <w:pPr>
              <w:spacing w:lineRule="exact" w:line="600"/>
              <w:jc w:val="center"/>
            </w:pPr>
            <w:r/>
            <w:r>
              <w:rPr>
                <w:rFonts w:ascii="仿宋_GB2312" w:hAnsi="仿宋_GB2312" w:eastAsia="仿宋_GB2312"/>
                <w:b w:val="0"/>
                <w:color w:val="000000"/>
                <w:sz w:val="32"/>
              </w:rPr>
              <w:t>挑战</w:t>
            </w:r>
          </w:p>
        </w:tc>
        <w:tc>
          <w:tcPr>
            <w:tcW w:type="dxa" w:w="2551"/>
          </w:tcPr>
          <w:p>
            <w:pPr>
              <w:spacing w:lineRule="exact" w:line="600"/>
              <w:jc w:val="center"/>
            </w:pPr>
            <w:r/>
            <w:r>
              <w:rPr>
                <w:rFonts w:ascii="仿宋_GB2312" w:hAnsi="仿宋_GB2312" w:eastAsia="仿宋_GB2312"/>
                <w:b w:val="0"/>
                <w:color w:val="000000"/>
                <w:sz w:val="32"/>
              </w:rPr>
              <w:t>入驻率偏低</w:t>
            </w:r>
          </w:p>
        </w:tc>
        <w:tc>
          <w:tcPr>
            <w:tcW w:type="dxa" w:w="2835"/>
          </w:tcPr>
          <w:p>
            <w:pPr>
              <w:spacing w:lineRule="exact" w:line="600"/>
              <w:jc w:val="center"/>
            </w:pPr>
            <w:r/>
            <w:r>
              <w:rPr>
                <w:rFonts w:ascii="仿宋_GB2312" w:hAnsi="仿宋_GB2312" w:eastAsia="仿宋_GB2312"/>
                <w:b w:val="0"/>
                <w:color w:val="000000"/>
                <w:sz w:val="32"/>
              </w:rPr>
              <w:t>50/320余家</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417"/>
          </w:tcPr>
          <w:p>
            <w:pPr>
              <w:spacing w:lineRule="exact" w:line="600"/>
              <w:jc w:val="center"/>
            </w:pPr>
            <w:r/>
            <w:r>
              <w:rPr>
                <w:rFonts w:ascii="仿宋_GB2312" w:hAnsi="仿宋_GB2312" w:eastAsia="仿宋_GB2312"/>
                <w:b w:val="0"/>
                <w:color w:val="000000"/>
                <w:sz w:val="32"/>
              </w:rPr>
              <w:t>风险</w:t>
            </w:r>
          </w:p>
        </w:tc>
        <w:tc>
          <w:tcPr>
            <w:tcW w:type="dxa" w:w="2551"/>
          </w:tcPr>
          <w:p>
            <w:pPr>
              <w:spacing w:lineRule="exact" w:line="600"/>
              <w:jc w:val="center"/>
            </w:pPr>
            <w:r/>
            <w:r>
              <w:rPr>
                <w:rFonts w:ascii="仿宋_GB2312" w:hAnsi="仿宋_GB2312" w:eastAsia="仿宋_GB2312"/>
                <w:b w:val="0"/>
                <w:color w:val="000000"/>
                <w:sz w:val="32"/>
              </w:rPr>
              <w:t>贸易壁垒</w:t>
            </w:r>
          </w:p>
        </w:tc>
        <w:tc>
          <w:tcPr>
            <w:tcW w:type="dxa" w:w="2835"/>
          </w:tcPr>
          <w:p>
            <w:pPr>
              <w:spacing w:lineRule="exact" w:line="600"/>
              <w:jc w:val="center"/>
            </w:pPr>
            <w:r/>
            <w:r>
              <w:rPr>
                <w:rFonts w:ascii="仿宋_GB2312" w:hAnsi="仿宋_GB2312" w:eastAsia="仿宋_GB2312"/>
                <w:b w:val="0"/>
                <w:color w:val="000000"/>
                <w:sz w:val="32"/>
              </w:rPr>
              <w:t>出口20多国</w:t>
            </w:r>
          </w:p>
        </w:tc>
        <w:tc>
          <w:tcPr>
            <w:tcW w:type="dxa" w:w="170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（一）平台扩容提质</w:t>
      </w:r>
    </w:p>
    <w:p>
      <w:pPr>
        <w:spacing w:lineRule="exact" w:line="600" w:before="0" w:after="0"/>
        <w:ind w:firstLine="420"/>
        <w:jc w:val="both"/>
      </w:pPr>
      <w:r>
        <w:rPr>
          <w:rFonts w:ascii="仿宋_GB2312" w:hAnsi="仿宋_GB2312" w:eastAsia="仿宋_GB2312"/>
          <w:b w:val="0"/>
          <w:color w:val="000000"/>
          <w:sz w:val="32"/>
        </w:rPr>
        <w:t>提升云联钢球平台入驻率与交易频次，目标中国钢球产业链数字经济产业创新中心（来源：宁阳县政府/经济日报）。</w:t>
      </w:r>
    </w:p>
    <w:p>
      <w:pPr>
        <w:spacing w:lineRule="exact" w:line="600" w:before="120" w:after="120"/>
        <w:ind w:firstLine="420"/>
        <w:jc w:val="left"/>
      </w:pPr>
      <w:r>
        <w:rPr>
          <w:rFonts w:ascii="楷体_GB2312" w:hAnsi="楷体_GB2312" w:eastAsia="楷体_GB2312"/>
          <w:b w:val="0"/>
          <w:color w:val="000000"/>
          <w:sz w:val="32"/>
        </w:rPr>
        <w:t>（二）检测能力升级</w:t>
      </w:r>
    </w:p>
    <w:p>
      <w:pPr>
        <w:spacing w:lineRule="exact" w:line="600" w:before="0" w:after="0"/>
        <w:ind w:firstLine="420"/>
        <w:jc w:val="both"/>
      </w:pPr>
      <w:r>
        <w:rPr>
          <w:rFonts w:ascii="仿宋_GB2312" w:hAnsi="仿宋_GB2312" w:eastAsia="仿宋_GB2312"/>
          <w:b w:val="0"/>
          <w:color w:val="000000"/>
          <w:sz w:val="32"/>
        </w:rPr>
        <w:t>引入国家级检测资源，建设共享检测实验室，服务高端钢球认证（来源：省装备协会/辰信官网）。</w:t>
      </w:r>
    </w:p>
    <w:p>
      <w:pPr>
        <w:spacing w:lineRule="exact" w:line="600" w:before="120" w:after="120"/>
        <w:ind w:firstLine="420"/>
        <w:jc w:val="left"/>
      </w:pPr>
      <w:r>
        <w:rPr>
          <w:rFonts w:ascii="楷体_GB2312" w:hAnsi="楷体_GB2312" w:eastAsia="楷体_GB2312"/>
          <w:b w:val="0"/>
          <w:color w:val="000000"/>
          <w:sz w:val="32"/>
        </w:rPr>
        <w:t>（三）品牌与标准输出</w:t>
      </w:r>
    </w:p>
    <w:p>
      <w:pPr>
        <w:spacing w:lineRule="exact" w:line="600" w:before="0" w:after="0"/>
        <w:ind w:firstLine="420"/>
        <w:jc w:val="both"/>
      </w:pPr>
      <w:r>
        <w:rPr>
          <w:rFonts w:ascii="仿宋_GB2312" w:hAnsi="仿宋_GB2312" w:eastAsia="仿宋_GB2312"/>
          <w:b w:val="0"/>
          <w:color w:val="000000"/>
          <w:sz w:val="32"/>
        </w:rPr>
        <w:t>以「中国钢球之乡」品牌+团体标准，推动宁阳从产量领先转向质量与标准领先（来源：博研咨询/宁阳县政府）。</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417"/>
          </w:tcPr>
          <w:p>
            <w:pPr>
              <w:spacing w:lineRule="exact" w:line="600"/>
              <w:jc w:val="center"/>
            </w:pPr>
            <w:r/>
            <w:r>
              <w:rPr>
                <w:rFonts w:ascii="黑体" w:hAnsi="黑体" w:eastAsia="黑体"/>
                <w:b/>
                <w:color w:val="000000"/>
                <w:sz w:val="32"/>
              </w:rPr>
              <w:t>路径</w:t>
            </w:r>
          </w:p>
        </w:tc>
        <w:tc>
          <w:tcPr>
            <w:tcW w:type="dxa" w:w="2551"/>
          </w:tcPr>
          <w:p>
            <w:pPr>
              <w:spacing w:lineRule="exact" w:line="600"/>
              <w:jc w:val="center"/>
            </w:pPr>
            <w:r/>
            <w:r>
              <w:rPr>
                <w:rFonts w:ascii="黑体" w:hAnsi="黑体" w:eastAsia="黑体"/>
                <w:b/>
                <w:color w:val="000000"/>
                <w:sz w:val="32"/>
              </w:rPr>
              <w:t>抓手</w:t>
            </w:r>
          </w:p>
        </w:tc>
        <w:tc>
          <w:tcPr>
            <w:tcW w:type="dxa" w:w="2835"/>
          </w:tcPr>
          <w:p>
            <w:pPr>
              <w:spacing w:lineRule="exact" w:line="600"/>
              <w:jc w:val="center"/>
            </w:pPr>
            <w:r/>
            <w:r>
              <w:rPr>
                <w:rFonts w:ascii="黑体" w:hAnsi="黑体" w:eastAsia="黑体"/>
                <w:b/>
                <w:color w:val="000000"/>
                <w:sz w:val="32"/>
              </w:rPr>
              <w:t>目标</w:t>
            </w:r>
          </w:p>
        </w:tc>
        <w:tc>
          <w:tcPr>
            <w:tcW w:type="dxa" w:w="1701"/>
          </w:tcPr>
          <w:p>
            <w:pPr>
              <w:spacing w:lineRule="exact" w:line="600"/>
              <w:jc w:val="center"/>
            </w:pPr>
            <w:r/>
            <w:r>
              <w:rPr>
                <w:rFonts w:ascii="黑体" w:hAnsi="黑体" w:eastAsia="黑体"/>
                <w:b/>
                <w:color w:val="000000"/>
                <w:sz w:val="32"/>
              </w:rPr>
              <w:t>来源</w:t>
            </w:r>
          </w:p>
        </w:tc>
      </w:tr>
      <w:tr>
        <w:tc>
          <w:tcPr>
            <w:tcW w:type="dxa" w:w="1417"/>
          </w:tcPr>
          <w:p>
            <w:pPr>
              <w:spacing w:lineRule="exact" w:line="600"/>
              <w:jc w:val="center"/>
            </w:pPr>
            <w:r/>
            <w:r>
              <w:rPr>
                <w:rFonts w:ascii="仿宋_GB2312" w:hAnsi="仿宋_GB2312" w:eastAsia="仿宋_GB2312"/>
                <w:b w:val="0"/>
                <w:color w:val="000000"/>
                <w:sz w:val="32"/>
              </w:rPr>
              <w:t>平台</w:t>
            </w:r>
          </w:p>
        </w:tc>
        <w:tc>
          <w:tcPr>
            <w:tcW w:type="dxa" w:w="2551"/>
          </w:tcPr>
          <w:p>
            <w:pPr>
              <w:spacing w:lineRule="exact" w:line="600"/>
              <w:jc w:val="center"/>
            </w:pPr>
            <w:r/>
            <w:r>
              <w:rPr>
                <w:rFonts w:ascii="仿宋_GB2312" w:hAnsi="仿宋_GB2312" w:eastAsia="仿宋_GB2312"/>
                <w:b w:val="0"/>
                <w:color w:val="000000"/>
                <w:sz w:val="32"/>
              </w:rPr>
              <w:t>云联钢球扩容</w:t>
            </w:r>
          </w:p>
        </w:tc>
        <w:tc>
          <w:tcPr>
            <w:tcW w:type="dxa" w:w="2835"/>
          </w:tcPr>
          <w:p>
            <w:pPr>
              <w:spacing w:lineRule="exact" w:line="600"/>
              <w:jc w:val="center"/>
            </w:pPr>
            <w:r/>
            <w:r>
              <w:rPr>
                <w:rFonts w:ascii="仿宋_GB2312" w:hAnsi="仿宋_GB2312" w:eastAsia="仿宋_GB2312"/>
                <w:b w:val="0"/>
                <w:color w:val="000000"/>
                <w:sz w:val="32"/>
              </w:rPr>
              <w:t>数字产业中心</w:t>
            </w:r>
          </w:p>
        </w:tc>
        <w:tc>
          <w:tcPr>
            <w:tcW w:type="dxa" w:w="1701"/>
          </w:tcPr>
          <w:p>
            <w:pPr>
              <w:spacing w:lineRule="exact" w:line="600"/>
              <w:jc w:val="center"/>
            </w:pPr>
            <w:r/>
            <w:r>
              <w:rPr>
                <w:rFonts w:ascii="仿宋_GB2312" w:hAnsi="仿宋_GB2312" w:eastAsia="仿宋_GB2312"/>
                <w:b w:val="0"/>
                <w:color w:val="000000"/>
                <w:sz w:val="32"/>
              </w:rPr>
              <w:t>宁阳县政府</w:t>
            </w:r>
          </w:p>
        </w:tc>
      </w:tr>
      <w:tr>
        <w:tc>
          <w:tcPr>
            <w:tcW w:type="dxa" w:w="1417"/>
          </w:tcPr>
          <w:p>
            <w:pPr>
              <w:spacing w:lineRule="exact" w:line="600"/>
              <w:jc w:val="center"/>
            </w:pPr>
            <w:r/>
            <w:r>
              <w:rPr>
                <w:rFonts w:ascii="仿宋_GB2312" w:hAnsi="仿宋_GB2312" w:eastAsia="仿宋_GB2312"/>
                <w:b w:val="0"/>
                <w:color w:val="000000"/>
                <w:sz w:val="32"/>
              </w:rPr>
              <w:t>检测</w:t>
            </w:r>
          </w:p>
        </w:tc>
        <w:tc>
          <w:tcPr>
            <w:tcW w:type="dxa" w:w="2551"/>
          </w:tcPr>
          <w:p>
            <w:pPr>
              <w:spacing w:lineRule="exact" w:line="600"/>
              <w:jc w:val="center"/>
            </w:pPr>
            <w:r/>
            <w:r>
              <w:rPr>
                <w:rFonts w:ascii="仿宋_GB2312" w:hAnsi="仿宋_GB2312" w:eastAsia="仿宋_GB2312"/>
                <w:b w:val="0"/>
                <w:color w:val="000000"/>
                <w:sz w:val="32"/>
              </w:rPr>
              <w:t>共享实验室</w:t>
            </w:r>
          </w:p>
        </w:tc>
        <w:tc>
          <w:tcPr>
            <w:tcW w:type="dxa" w:w="2835"/>
          </w:tcPr>
          <w:p>
            <w:pPr>
              <w:spacing w:lineRule="exact" w:line="600"/>
              <w:jc w:val="center"/>
            </w:pPr>
            <w:r/>
            <w:r>
              <w:rPr>
                <w:rFonts w:ascii="仿宋_GB2312" w:hAnsi="仿宋_GB2312" w:eastAsia="仿宋_GB2312"/>
                <w:b w:val="0"/>
                <w:color w:val="000000"/>
                <w:sz w:val="32"/>
              </w:rPr>
              <w:t>高端认证</w:t>
            </w:r>
          </w:p>
        </w:tc>
        <w:tc>
          <w:tcPr>
            <w:tcW w:type="dxa" w:w="1701"/>
          </w:tcPr>
          <w:p>
            <w:pPr>
              <w:spacing w:lineRule="exact" w:line="600"/>
              <w:jc w:val="center"/>
            </w:pPr>
            <w:r/>
            <w:r>
              <w:rPr>
                <w:rFonts w:ascii="仿宋_GB2312" w:hAnsi="仿宋_GB2312" w:eastAsia="仿宋_GB2312"/>
                <w:b w:val="0"/>
                <w:color w:val="000000"/>
                <w:sz w:val="32"/>
              </w:rPr>
              <w:t>省装备协会</w:t>
            </w:r>
          </w:p>
        </w:tc>
      </w:tr>
      <w:tr>
        <w:tc>
          <w:tcPr>
            <w:tcW w:type="dxa" w:w="1417"/>
          </w:tcPr>
          <w:p>
            <w:pPr>
              <w:spacing w:lineRule="exact" w:line="600"/>
              <w:jc w:val="center"/>
            </w:pPr>
            <w:r/>
            <w:r>
              <w:rPr>
                <w:rFonts w:ascii="仿宋_GB2312" w:hAnsi="仿宋_GB2312" w:eastAsia="仿宋_GB2312"/>
                <w:b w:val="0"/>
                <w:color w:val="000000"/>
                <w:sz w:val="32"/>
              </w:rPr>
              <w:t>品牌</w:t>
            </w:r>
          </w:p>
        </w:tc>
        <w:tc>
          <w:tcPr>
            <w:tcW w:type="dxa" w:w="2551"/>
          </w:tcPr>
          <w:p>
            <w:pPr>
              <w:spacing w:lineRule="exact" w:line="600"/>
              <w:jc w:val="center"/>
            </w:pPr>
            <w:r/>
            <w:r>
              <w:rPr>
                <w:rFonts w:ascii="仿宋_GB2312" w:hAnsi="仿宋_GB2312" w:eastAsia="仿宋_GB2312"/>
                <w:b w:val="0"/>
                <w:color w:val="000000"/>
                <w:sz w:val="32"/>
              </w:rPr>
              <w:t>团体标准</w:t>
            </w:r>
          </w:p>
        </w:tc>
        <w:tc>
          <w:tcPr>
            <w:tcW w:type="dxa" w:w="2835"/>
          </w:tcPr>
          <w:p>
            <w:pPr>
              <w:spacing w:lineRule="exact" w:line="600"/>
              <w:jc w:val="center"/>
            </w:pPr>
            <w:r/>
            <w:r>
              <w:rPr>
                <w:rFonts w:ascii="仿宋_GB2312" w:hAnsi="仿宋_GB2312" w:eastAsia="仿宋_GB2312"/>
                <w:b w:val="0"/>
                <w:color w:val="000000"/>
                <w:sz w:val="32"/>
              </w:rPr>
              <w:t>质量领先</w:t>
            </w:r>
          </w:p>
        </w:tc>
        <w:tc>
          <w:tcPr>
            <w:tcW w:type="dxa" w:w="1701"/>
          </w:tcPr>
          <w:p>
            <w:pPr>
              <w:spacing w:lineRule="exact" w:line="600"/>
              <w:jc w:val="center"/>
            </w:pPr>
            <w:r/>
            <w:r>
              <w:rPr>
                <w:rFonts w:ascii="仿宋_GB2312" w:hAnsi="仿宋_GB2312" w:eastAsia="仿宋_GB2312"/>
                <w:b w:val="0"/>
                <w:color w:val="000000"/>
                <w:sz w:val="32"/>
              </w:rPr>
              <w:t>博研咨询</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（一）平台与数据基建</w:t>
      </w:r>
    </w:p>
    <w:p>
      <w:pPr>
        <w:spacing w:lineRule="exact" w:line="600" w:before="0" w:after="0"/>
        <w:ind w:firstLine="420"/>
        <w:jc w:val="both"/>
      </w:pPr>
      <w:r>
        <w:rPr>
          <w:rFonts w:ascii="仿宋_GB2312" w:hAnsi="仿宋_GB2312" w:eastAsia="仿宋_GB2312"/>
          <w:b w:val="0"/>
          <w:color w:val="000000"/>
          <w:sz w:val="32"/>
        </w:rPr>
        <w:t>产业大脑与云联钢球平台持续迭代需投入，已投1500万元，后续数据治理、算力与场景开发仍需资金（来源：经济日报）。</w:t>
      </w:r>
    </w:p>
    <w:p>
      <w:pPr>
        <w:spacing w:lineRule="exact" w:line="600" w:before="120" w:after="120"/>
        <w:ind w:firstLine="420"/>
        <w:jc w:val="left"/>
      </w:pPr>
      <w:r>
        <w:rPr>
          <w:rFonts w:ascii="楷体_GB2312" w:hAnsi="楷体_GB2312" w:eastAsia="楷体_GB2312"/>
          <w:b w:val="0"/>
          <w:color w:val="000000"/>
          <w:sz w:val="32"/>
        </w:rPr>
        <w:t>（二）检测中心建设</w:t>
      </w:r>
    </w:p>
    <w:p>
      <w:pPr>
        <w:spacing w:lineRule="exact" w:line="600" w:before="0" w:after="0"/>
        <w:ind w:firstLine="420"/>
        <w:jc w:val="both"/>
      </w:pPr>
      <w:r>
        <w:rPr>
          <w:rFonts w:ascii="仿宋_GB2312" w:hAnsi="仿宋_GB2312" w:eastAsia="仿宋_GB2312"/>
          <w:b w:val="0"/>
          <w:color w:val="000000"/>
          <w:sz w:val="32"/>
        </w:rPr>
        <w:t>高端检测设备（如疲劳试验机、三坐标）单体昂贵，链主与公共平台可通过专项债、产业基金支持（行业共性研判）。</w:t>
      </w:r>
    </w:p>
    <w:p>
      <w:pPr>
        <w:spacing w:lineRule="exact" w:line="600" w:before="120" w:after="120"/>
        <w:ind w:firstLine="420"/>
        <w:jc w:val="left"/>
      </w:pPr>
      <w:r>
        <w:rPr>
          <w:rFonts w:ascii="楷体_GB2312" w:hAnsi="楷体_GB2312" w:eastAsia="楷体_GB2312"/>
          <w:b w:val="0"/>
          <w:color w:val="000000"/>
          <w:sz w:val="32"/>
        </w:rPr>
        <w:t>（三）供应链金融放大</w:t>
      </w:r>
    </w:p>
    <w:p>
      <w:pPr>
        <w:spacing w:lineRule="exact" w:line="600" w:before="0" w:after="0"/>
        <w:ind w:firstLine="420"/>
        <w:jc w:val="both"/>
      </w:pPr>
      <w:r>
        <w:rPr>
          <w:rFonts w:ascii="仿宋_GB2312" w:hAnsi="仿宋_GB2312" w:eastAsia="仿宋_GB2312"/>
          <w:b w:val="0"/>
          <w:color w:val="000000"/>
          <w:sz w:val="32"/>
        </w:rPr>
        <w:t>以平台真实交易数据为基础，扩大银行授信与产业基金规模，已入驻12家金融机构，可进一步增至数十家（来源：经济日报）。</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701"/>
          </w:tcPr>
          <w:p>
            <w:pPr>
              <w:spacing w:lineRule="exact" w:line="600"/>
              <w:jc w:val="center"/>
            </w:pPr>
            <w:r/>
            <w:r>
              <w:rPr>
                <w:rFonts w:ascii="黑体" w:hAnsi="黑体" w:eastAsia="黑体"/>
                <w:b/>
                <w:color w:val="000000"/>
                <w:sz w:val="32"/>
              </w:rPr>
              <w:t>融资方向</w:t>
            </w:r>
          </w:p>
        </w:tc>
        <w:tc>
          <w:tcPr>
            <w:tcW w:type="dxa" w:w="2268"/>
          </w:tcPr>
          <w:p>
            <w:pPr>
              <w:spacing w:lineRule="exact" w:line="600"/>
              <w:jc w:val="center"/>
            </w:pPr>
            <w:r/>
            <w:r>
              <w:rPr>
                <w:rFonts w:ascii="黑体" w:hAnsi="黑体" w:eastAsia="黑体"/>
                <w:b/>
                <w:color w:val="000000"/>
                <w:sz w:val="32"/>
              </w:rPr>
              <w:t>规模/方式</w:t>
            </w:r>
          </w:p>
        </w:tc>
        <w:tc>
          <w:tcPr>
            <w:tcW w:type="dxa" w:w="2551"/>
          </w:tcPr>
          <w:p>
            <w:pPr>
              <w:spacing w:lineRule="exact" w:line="600"/>
              <w:jc w:val="center"/>
            </w:pPr>
            <w:r/>
            <w:r>
              <w:rPr>
                <w:rFonts w:ascii="黑体" w:hAnsi="黑体" w:eastAsia="黑体"/>
                <w:b/>
                <w:color w:val="000000"/>
                <w:sz w:val="32"/>
              </w:rPr>
              <w:t>受益</w:t>
            </w:r>
          </w:p>
        </w:tc>
        <w:tc>
          <w:tcPr>
            <w:tcW w:type="dxa" w:w="1701"/>
          </w:tcPr>
          <w:p>
            <w:pPr>
              <w:spacing w:lineRule="exact" w:line="600"/>
              <w:jc w:val="center"/>
            </w:pPr>
            <w:r/>
            <w:r>
              <w:rPr>
                <w:rFonts w:ascii="黑体" w:hAnsi="黑体" w:eastAsia="黑体"/>
                <w:b/>
                <w:color w:val="000000"/>
                <w:sz w:val="32"/>
              </w:rPr>
              <w:t>来源</w:t>
            </w:r>
          </w:p>
        </w:tc>
      </w:tr>
      <w:tr>
        <w:tc>
          <w:tcPr>
            <w:tcW w:type="dxa" w:w="1701"/>
          </w:tcPr>
          <w:p>
            <w:pPr>
              <w:spacing w:lineRule="exact" w:line="600"/>
              <w:jc w:val="center"/>
            </w:pPr>
            <w:r/>
            <w:r>
              <w:rPr>
                <w:rFonts w:ascii="仿宋_GB2312" w:hAnsi="仿宋_GB2312" w:eastAsia="仿宋_GB2312"/>
                <w:b w:val="0"/>
                <w:color w:val="000000"/>
                <w:sz w:val="32"/>
              </w:rPr>
              <w:t>数据基建</w:t>
            </w:r>
          </w:p>
        </w:tc>
        <w:tc>
          <w:tcPr>
            <w:tcW w:type="dxa" w:w="2268"/>
          </w:tcPr>
          <w:p>
            <w:pPr>
              <w:spacing w:lineRule="exact" w:line="600"/>
              <w:jc w:val="center"/>
            </w:pPr>
            <w:r/>
            <w:r>
              <w:rPr>
                <w:rFonts w:ascii="仿宋_GB2312" w:hAnsi="仿宋_GB2312" w:eastAsia="仿宋_GB2312"/>
                <w:b w:val="0"/>
                <w:color w:val="000000"/>
                <w:sz w:val="32"/>
              </w:rPr>
              <w:t>持续投入</w:t>
            </w:r>
          </w:p>
        </w:tc>
        <w:tc>
          <w:tcPr>
            <w:tcW w:type="dxa" w:w="2551"/>
          </w:tcPr>
          <w:p>
            <w:pPr>
              <w:spacing w:lineRule="exact" w:line="600"/>
              <w:jc w:val="center"/>
            </w:pPr>
            <w:r/>
            <w:r>
              <w:rPr>
                <w:rFonts w:ascii="仿宋_GB2312" w:hAnsi="仿宋_GB2312" w:eastAsia="仿宋_GB2312"/>
                <w:b w:val="0"/>
                <w:color w:val="000000"/>
                <w:sz w:val="32"/>
              </w:rPr>
              <w:t>平台运营</w:t>
            </w:r>
          </w:p>
        </w:tc>
        <w:tc>
          <w:tcPr>
            <w:tcW w:type="dxa" w:w="1701"/>
          </w:tcPr>
          <w:p>
            <w:pPr>
              <w:spacing w:lineRule="exact" w:line="600"/>
              <w:jc w:val="center"/>
            </w:pPr>
            <w:r/>
            <w:r>
              <w:rPr>
                <w:rFonts w:ascii="仿宋_GB2312" w:hAnsi="仿宋_GB2312" w:eastAsia="仿宋_GB2312"/>
                <w:b w:val="0"/>
                <w:color w:val="000000"/>
                <w:sz w:val="32"/>
              </w:rPr>
              <w:t>经济日报</w:t>
            </w:r>
          </w:p>
        </w:tc>
      </w:tr>
      <w:tr>
        <w:tc>
          <w:tcPr>
            <w:tcW w:type="dxa" w:w="1701"/>
          </w:tcPr>
          <w:p>
            <w:pPr>
              <w:spacing w:lineRule="exact" w:line="600"/>
              <w:jc w:val="center"/>
            </w:pPr>
            <w:r/>
            <w:r>
              <w:rPr>
                <w:rFonts w:ascii="仿宋_GB2312" w:hAnsi="仿宋_GB2312" w:eastAsia="仿宋_GB2312"/>
                <w:b w:val="0"/>
                <w:color w:val="000000"/>
                <w:sz w:val="32"/>
              </w:rPr>
              <w:t>检测</w:t>
            </w:r>
          </w:p>
        </w:tc>
        <w:tc>
          <w:tcPr>
            <w:tcW w:type="dxa" w:w="2268"/>
          </w:tcPr>
          <w:p>
            <w:pPr>
              <w:spacing w:lineRule="exact" w:line="600"/>
              <w:jc w:val="center"/>
            </w:pPr>
            <w:r/>
            <w:r>
              <w:rPr>
                <w:rFonts w:ascii="仿宋_GB2312" w:hAnsi="仿宋_GB2312" w:eastAsia="仿宋_GB2312"/>
                <w:b w:val="0"/>
                <w:color w:val="000000"/>
                <w:sz w:val="32"/>
              </w:rPr>
              <w:t>专项债/基金</w:t>
            </w:r>
          </w:p>
        </w:tc>
        <w:tc>
          <w:tcPr>
            <w:tcW w:type="dxa" w:w="2551"/>
          </w:tcPr>
          <w:p>
            <w:pPr>
              <w:spacing w:lineRule="exact" w:line="600"/>
              <w:jc w:val="center"/>
            </w:pPr>
            <w:r/>
            <w:r>
              <w:rPr>
                <w:rFonts w:ascii="仿宋_GB2312" w:hAnsi="仿宋_GB2312" w:eastAsia="仿宋_GB2312"/>
                <w:b w:val="0"/>
                <w:color w:val="000000"/>
                <w:sz w:val="32"/>
              </w:rPr>
              <w:t>公共实验室</w:t>
            </w:r>
          </w:p>
        </w:tc>
        <w:tc>
          <w:tcPr>
            <w:tcW w:type="dxa" w:w="1701"/>
          </w:tcPr>
          <w:p>
            <w:pPr>
              <w:spacing w:lineRule="exact" w:line="600"/>
              <w:jc w:val="center"/>
            </w:pPr>
            <w:r/>
            <w:r>
              <w:rPr>
                <w:rFonts w:ascii="仿宋_GB2312" w:hAnsi="仿宋_GB2312" w:eastAsia="仿宋_GB2312"/>
                <w:b w:val="0"/>
                <w:color w:val="000000"/>
                <w:sz w:val="32"/>
              </w:rPr>
              <w:t>行业研判</w:t>
            </w:r>
          </w:p>
        </w:tc>
      </w:tr>
      <w:tr>
        <w:tc>
          <w:tcPr>
            <w:tcW w:type="dxa" w:w="1701"/>
          </w:tcPr>
          <w:p>
            <w:pPr>
              <w:spacing w:lineRule="exact" w:line="600"/>
              <w:jc w:val="center"/>
            </w:pPr>
            <w:r/>
            <w:r>
              <w:rPr>
                <w:rFonts w:ascii="仿宋_GB2312" w:hAnsi="仿宋_GB2312" w:eastAsia="仿宋_GB2312"/>
                <w:b w:val="0"/>
                <w:color w:val="000000"/>
                <w:sz w:val="32"/>
              </w:rPr>
              <w:t>供应链金融</w:t>
            </w:r>
          </w:p>
        </w:tc>
        <w:tc>
          <w:tcPr>
            <w:tcW w:type="dxa" w:w="2268"/>
          </w:tcPr>
          <w:p>
            <w:pPr>
              <w:spacing w:lineRule="exact" w:line="600"/>
              <w:jc w:val="center"/>
            </w:pPr>
            <w:r/>
            <w:r>
              <w:rPr>
                <w:rFonts w:ascii="仿宋_GB2312" w:hAnsi="仿宋_GB2312" w:eastAsia="仿宋_GB2312"/>
                <w:b w:val="0"/>
                <w:color w:val="000000"/>
                <w:sz w:val="32"/>
              </w:rPr>
              <w:t>放大授信</w:t>
            </w:r>
          </w:p>
        </w:tc>
        <w:tc>
          <w:tcPr>
            <w:tcW w:type="dxa" w:w="2551"/>
          </w:tcPr>
          <w:p>
            <w:pPr>
              <w:spacing w:lineRule="exact" w:line="600"/>
              <w:jc w:val="center"/>
            </w:pPr>
            <w:r/>
            <w:r>
              <w:rPr>
                <w:rFonts w:ascii="仿宋_GB2312" w:hAnsi="仿宋_GB2312" w:eastAsia="仿宋_GB2312"/>
                <w:b w:val="0"/>
                <w:color w:val="000000"/>
                <w:sz w:val="32"/>
              </w:rPr>
              <w:t>中小企业</w:t>
            </w:r>
          </w:p>
        </w:tc>
        <w:tc>
          <w:tcPr>
            <w:tcW w:type="dxa" w:w="1701"/>
          </w:tcPr>
          <w:p>
            <w:pPr>
              <w:spacing w:lineRule="exact" w:line="600"/>
              <w:jc w:val="center"/>
            </w:pPr>
            <w:r/>
            <w:r>
              <w:rPr>
                <w:rFonts w:ascii="仿宋_GB2312" w:hAnsi="仿宋_GB2312" w:eastAsia="仿宋_GB2312"/>
                <w:b w:val="0"/>
                <w:color w:val="000000"/>
                <w:sz w:val="32"/>
              </w:rPr>
              <w:t>经济日报</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辰信轴承科技（山东）有限公司：链主企业，建设「四中心一平台」（研发设计、质量检测、原料供应、金融支持中心+云联钢球产业大脑），提供钢球检测、集采、金融等公共服务，赋能320余家钢球企业。来源：辰信轴承科技官网、山东省装备制造业协会。</w:t>
      </w:r>
    </w:p>
    <w:p>
      <w:pPr>
        <w:spacing w:lineRule="exact" w:line="600" w:before="0" w:after="0"/>
        <w:ind w:firstLine="420"/>
        <w:jc w:val="both"/>
      </w:pPr>
      <w:r>
        <w:rPr>
          <w:rFonts w:ascii="仿宋_GB2312" w:hAnsi="仿宋_GB2312" w:eastAsia="仿宋_GB2312"/>
          <w:b w:val="0"/>
          <w:color w:val="000000"/>
          <w:sz w:val="32"/>
        </w:rPr>
        <w:t>宁阳县新东工贸有限公司：钢球外贸骨干，年产3000吨、出口率99%，依托平台与自营渠道将宁阳钢球销往海外，是钢球商贸环节重要主体。来源：企业官网、天眼查。</w:t>
      </w:r>
    </w:p>
    <w:p>
      <w:pPr>
        <w:spacing w:lineRule="exact" w:line="600" w:before="0" w:after="0"/>
        <w:ind w:firstLine="420"/>
        <w:jc w:val="both"/>
      </w:pPr>
      <w:r>
        <w:rPr>
          <w:rFonts w:ascii="仿宋_GB2312" w:hAnsi="仿宋_GB2312" w:eastAsia="仿宋_GB2312"/>
          <w:b w:val="0"/>
          <w:color w:val="000000"/>
          <w:sz w:val="32"/>
        </w:rPr>
        <w:t>云联钢球（平台运营单位）：山东省首批数字经济产业创新中心，运营「钢球产业大脑」与云联钢球数字经济总部，集采代采+产业商城，已入驻50家企业、12家金融机构，完成交易4000余万元。来源：经济日报、宁阳县政府。</w:t>
      </w:r>
    </w:p>
    <w:p>
      <w:pPr>
        <w:spacing w:lineRule="exact" w:line="600" w:before="0" w:after="0"/>
        <w:jc w:val="left"/>
      </w:pPr>
      <w:r>
        <w:rPr>
          <w:rFonts w:ascii="仿宋_GB2312" w:hAnsi="仿宋_GB2312" w:eastAsia="仿宋_GB2312"/>
          <w:b w:val="0"/>
          <w:color w:val="000000"/>
          <w:sz w:val="28"/>
        </w:rPr>
        <w:t>主要数据来源：宁阳县政府官网《小钢珠「滚」出大产业》（2024-09-14）；中国经济网《智改数转推动制造业高质量发展》（2024-10-20，ce.cn）；中国产业经济信息网《山东宁阳：小钢球滚出大产业》（cinic.org.cn）；山东省装备制造业协会《协会探厂：辰信轴承链主风采》（2026-04-15）；辰信轴承科技（山东）有限公司官网；恒州诚思《轴承钢球市场报告》（yhresearch.cn）；博研咨询《中国配套轴承钢球行业市场前景预测及投资价值评估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